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90B5F" w:rsidRPr="00F52350" w:rsidRDefault="00390B5F" w:rsidP="00390B5F">
      <w:pPr>
        <w:rPr>
          <w:rFonts w:ascii="Arial" w:eastAsia="MS Mincho" w:hAnsi="Arial" w:cs="Arial"/>
          <w:lang w:val="en-US"/>
        </w:rPr>
      </w:pPr>
    </w:p>
    <w:p w:rsidR="00390B5F" w:rsidRPr="00F52350" w:rsidRDefault="00390B5F" w:rsidP="00390B5F">
      <w:pPr>
        <w:spacing w:after="0" w:line="240" w:lineRule="auto"/>
        <w:jc w:val="center"/>
        <w:rPr>
          <w:rFonts w:ascii="Arial" w:eastAsia="Arial" w:hAnsi="Arial" w:cs="Arial"/>
          <w:b/>
          <w:sz w:val="24"/>
          <w:szCs w:val="24"/>
          <w:lang w:eastAsia="en-GB"/>
        </w:rPr>
      </w:pPr>
      <w:r w:rsidRPr="00F52350">
        <w:rPr>
          <w:rFonts w:ascii="Arial" w:eastAsia="Arial" w:hAnsi="Arial" w:cs="Arial"/>
          <w:noProof/>
          <w:sz w:val="24"/>
          <w:szCs w:val="24"/>
          <w:lang w:eastAsia="en-GB"/>
        </w:rPr>
        <w:drawing>
          <wp:inline distT="0" distB="0" distL="0" distR="0" wp14:anchorId="4673EE36" wp14:editId="68865BFD">
            <wp:extent cx="4514850" cy="1714500"/>
            <wp:effectExtent l="0" t="0" r="0" b="0"/>
            <wp:docPr id="1" name="Picture 1" descr="Description: 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rsidR="00390B5F" w:rsidRPr="00F52350" w:rsidRDefault="00390B5F" w:rsidP="00390B5F">
      <w:pPr>
        <w:spacing w:after="0" w:line="240" w:lineRule="auto"/>
        <w:jc w:val="center"/>
        <w:rPr>
          <w:rFonts w:ascii="Arial" w:eastAsia="Arial" w:hAnsi="Arial" w:cs="Arial"/>
          <w:b/>
          <w:sz w:val="24"/>
          <w:szCs w:val="24"/>
          <w:lang w:eastAsia="en-GB"/>
        </w:rPr>
      </w:pPr>
    </w:p>
    <w:p w:rsidR="00390B5F" w:rsidRPr="00F52350" w:rsidRDefault="00390B5F" w:rsidP="00390B5F">
      <w:pPr>
        <w:spacing w:after="0" w:line="240" w:lineRule="auto"/>
        <w:jc w:val="center"/>
        <w:rPr>
          <w:rFonts w:ascii="Arial" w:eastAsia="Arial" w:hAnsi="Arial" w:cs="Arial"/>
          <w:b/>
          <w:sz w:val="24"/>
          <w:szCs w:val="24"/>
          <w:lang w:eastAsia="en-GB"/>
        </w:rPr>
      </w:pPr>
    </w:p>
    <w:p w:rsidR="00390B5F" w:rsidRPr="00F52350" w:rsidRDefault="00390B5F" w:rsidP="00390B5F">
      <w:pPr>
        <w:rPr>
          <w:rFonts w:ascii="Arial" w:eastAsia="MS Mincho" w:hAnsi="Arial" w:cs="Arial"/>
          <w:lang w:val="en-US"/>
        </w:rPr>
      </w:pPr>
    </w:p>
    <w:p w:rsidR="00390B5F" w:rsidRPr="00F52350" w:rsidRDefault="00390B5F" w:rsidP="00390B5F">
      <w:pPr>
        <w:rPr>
          <w:rFonts w:ascii="Arial" w:eastAsia="MS Mincho" w:hAnsi="Arial" w:cs="Arial"/>
          <w:lang w:val="en-US"/>
        </w:rPr>
      </w:pPr>
    </w:p>
    <w:p w:rsidR="00390B5F" w:rsidRPr="00F52350" w:rsidRDefault="00390B5F" w:rsidP="00390B5F">
      <w:pPr>
        <w:jc w:val="center"/>
        <w:rPr>
          <w:rFonts w:ascii="Arial" w:eastAsia="MS Mincho" w:hAnsi="Arial" w:cs="Arial"/>
          <w:b/>
          <w:sz w:val="24"/>
          <w:szCs w:val="24"/>
          <w:lang w:val="en-US"/>
        </w:rPr>
      </w:pPr>
      <w:r w:rsidRPr="00F52350">
        <w:rPr>
          <w:rFonts w:ascii="Arial" w:eastAsia="Arial" w:hAnsi="Arial" w:cs="Arial"/>
          <w:b/>
          <w:sz w:val="24"/>
          <w:szCs w:val="24"/>
          <w:lang w:val="en-US"/>
        </w:rPr>
        <w:t xml:space="preserve">Module:  Financial Management </w:t>
      </w:r>
      <w:r w:rsidRPr="00F52350">
        <w:rPr>
          <w:rFonts w:ascii="Arial" w:eastAsia="Calibri" w:hAnsi="Arial" w:cs="Arial"/>
          <w:b/>
          <w:sz w:val="24"/>
          <w:szCs w:val="24"/>
        </w:rPr>
        <w:t>LCMB7002</w:t>
      </w:r>
    </w:p>
    <w:p w:rsidR="00390B5F" w:rsidRPr="00F52350" w:rsidRDefault="00390B5F" w:rsidP="00390B5F">
      <w:pPr>
        <w:rPr>
          <w:rFonts w:ascii="Arial" w:eastAsia="MS Mincho" w:hAnsi="Arial" w:cs="Arial"/>
          <w:lang w:val="en-US"/>
        </w:rPr>
      </w:pPr>
    </w:p>
    <w:p w:rsidR="00390B5F" w:rsidRPr="00F52350" w:rsidRDefault="00390B5F" w:rsidP="00390B5F">
      <w:pPr>
        <w:jc w:val="center"/>
        <w:rPr>
          <w:rFonts w:ascii="Arial" w:eastAsia="MS Mincho" w:hAnsi="Arial" w:cs="Arial"/>
          <w:lang w:val="en-US"/>
        </w:rPr>
      </w:pPr>
      <w:r w:rsidRPr="00F52350">
        <w:rPr>
          <w:rFonts w:ascii="Arial" w:eastAsia="Arial" w:hAnsi="Arial" w:cs="Arial"/>
          <w:b/>
          <w:sz w:val="28"/>
          <w:lang w:val="en-US"/>
        </w:rPr>
        <w:t xml:space="preserve">Assessment: </w:t>
      </w:r>
      <w:r w:rsidRPr="00F52350">
        <w:rPr>
          <w:rFonts w:ascii="Arial" w:eastAsia="Calibri" w:hAnsi="Arial" w:cs="Arial"/>
          <w:b/>
          <w:sz w:val="28"/>
          <w:szCs w:val="28"/>
        </w:rPr>
        <w:t>Financial performance and management</w:t>
      </w:r>
    </w:p>
    <w:p w:rsidR="00390B5F" w:rsidRPr="00F52350" w:rsidRDefault="00390B5F" w:rsidP="00390B5F">
      <w:pPr>
        <w:jc w:val="center"/>
        <w:rPr>
          <w:rFonts w:ascii="Arial" w:eastAsia="MS Mincho" w:hAnsi="Arial" w:cs="Arial"/>
          <w:lang w:val="en-US"/>
        </w:rPr>
      </w:pPr>
      <w:r w:rsidRPr="00F52350">
        <w:rPr>
          <w:rFonts w:ascii="Arial" w:eastAsia="Arial" w:hAnsi="Arial" w:cs="Arial"/>
          <w:b/>
          <w:sz w:val="26"/>
          <w:lang w:val="en-US"/>
        </w:rPr>
        <w:t>Selected Company: InterContinental Hotels Group (IHG)</w:t>
      </w:r>
    </w:p>
    <w:p w:rsidR="00390B5F" w:rsidRPr="00F52350" w:rsidRDefault="00390B5F" w:rsidP="00390B5F">
      <w:pPr>
        <w:rPr>
          <w:rFonts w:ascii="Arial" w:eastAsia="MS Mincho" w:hAnsi="Arial" w:cs="Arial"/>
          <w:lang w:val="en-US"/>
        </w:rPr>
      </w:pPr>
    </w:p>
    <w:p w:rsidR="00390B5F" w:rsidRPr="00F52350" w:rsidRDefault="00390B5F" w:rsidP="00390B5F">
      <w:pPr>
        <w:rPr>
          <w:rFonts w:ascii="Arial" w:eastAsia="MS Mincho" w:hAnsi="Arial" w:cs="Arial"/>
          <w:lang w:val="en-US"/>
        </w:rPr>
      </w:pPr>
    </w:p>
    <w:p w:rsidR="00390B5F" w:rsidRPr="00F52350" w:rsidRDefault="00390B5F" w:rsidP="00390B5F">
      <w:pPr>
        <w:jc w:val="center"/>
        <w:rPr>
          <w:rFonts w:ascii="Arial" w:eastAsia="MS Mincho" w:hAnsi="Arial" w:cs="Arial"/>
          <w:lang w:val="en-US"/>
        </w:rPr>
      </w:pPr>
      <w:r w:rsidRPr="00F52350">
        <w:rPr>
          <w:rFonts w:ascii="Arial" w:eastAsia="Arial" w:hAnsi="Arial" w:cs="Arial"/>
          <w:b/>
          <w:sz w:val="24"/>
          <w:lang w:val="en-US"/>
        </w:rPr>
        <w:t xml:space="preserve">Student Name: </w:t>
      </w:r>
      <w:r w:rsidRPr="00F52350">
        <w:rPr>
          <w:rFonts w:ascii="Arial" w:eastAsia="Arial" w:hAnsi="Arial" w:cs="Arial"/>
          <w:sz w:val="24"/>
          <w:lang w:val="en-US"/>
        </w:rPr>
        <w:t>Jawel Israel</w:t>
      </w:r>
    </w:p>
    <w:p w:rsidR="00390B5F" w:rsidRPr="00F52350" w:rsidRDefault="00390B5F" w:rsidP="00390B5F">
      <w:pPr>
        <w:jc w:val="center"/>
        <w:rPr>
          <w:rFonts w:ascii="Arial" w:eastAsia="Arial" w:hAnsi="Arial" w:cs="Arial"/>
          <w:sz w:val="24"/>
          <w:lang w:val="en-US"/>
        </w:rPr>
      </w:pPr>
      <w:r w:rsidRPr="00F52350">
        <w:rPr>
          <w:rFonts w:ascii="Arial" w:eastAsia="Arial" w:hAnsi="Arial" w:cs="Arial"/>
          <w:b/>
          <w:sz w:val="24"/>
          <w:lang w:val="en-US"/>
        </w:rPr>
        <w:t xml:space="preserve">Student ID: </w:t>
      </w:r>
      <w:r w:rsidRPr="00F52350">
        <w:rPr>
          <w:rFonts w:ascii="Arial" w:eastAsia="Arial" w:hAnsi="Arial" w:cs="Arial"/>
          <w:sz w:val="24"/>
          <w:lang w:val="en-US"/>
        </w:rPr>
        <w:t>2246633</w:t>
      </w:r>
    </w:p>
    <w:p w:rsidR="00390B5F" w:rsidRPr="00F52350" w:rsidRDefault="00390B5F" w:rsidP="00390B5F">
      <w:pPr>
        <w:jc w:val="center"/>
        <w:rPr>
          <w:rFonts w:ascii="Arial" w:eastAsia="MS Mincho" w:hAnsi="Arial" w:cs="Arial"/>
          <w:lang w:val="en-US"/>
        </w:rPr>
      </w:pPr>
      <w:r w:rsidRPr="00F52350">
        <w:rPr>
          <w:rFonts w:ascii="Arial" w:eastAsia="Calibri" w:hAnsi="Arial" w:cs="Arial"/>
          <w:b/>
          <w:sz w:val="24"/>
          <w:szCs w:val="24"/>
        </w:rPr>
        <w:t>Lecturer:</w:t>
      </w:r>
      <w:r w:rsidRPr="00F52350">
        <w:rPr>
          <w:rFonts w:ascii="Arial" w:eastAsia="Calibri" w:hAnsi="Arial" w:cs="Arial"/>
        </w:rPr>
        <w:t xml:space="preserve"> </w:t>
      </w:r>
      <w:r w:rsidRPr="00F52350">
        <w:rPr>
          <w:rFonts w:ascii="Arial" w:eastAsia="Calibri" w:hAnsi="Arial" w:cs="Arial"/>
          <w:sz w:val="24"/>
          <w:szCs w:val="24"/>
        </w:rPr>
        <w:t xml:space="preserve">Dr </w:t>
      </w:r>
      <w:proofErr w:type="spellStart"/>
      <w:r w:rsidRPr="00F52350">
        <w:rPr>
          <w:rFonts w:ascii="Arial" w:eastAsia="Calibri" w:hAnsi="Arial" w:cs="Arial"/>
          <w:sz w:val="24"/>
          <w:szCs w:val="24"/>
        </w:rPr>
        <w:t>Shengfeng</w:t>
      </w:r>
      <w:proofErr w:type="spellEnd"/>
      <w:r w:rsidRPr="00F52350">
        <w:rPr>
          <w:rFonts w:ascii="Arial" w:eastAsia="Calibri" w:hAnsi="Arial" w:cs="Arial"/>
          <w:sz w:val="24"/>
          <w:szCs w:val="24"/>
        </w:rPr>
        <w:t xml:space="preserve"> Mei</w:t>
      </w:r>
      <w:r w:rsidRPr="00F52350">
        <w:rPr>
          <w:rFonts w:ascii="Arial" w:eastAsia="Calibri" w:hAnsi="Arial" w:cs="Arial"/>
        </w:rPr>
        <w:t xml:space="preserve"> </w:t>
      </w:r>
    </w:p>
    <w:p w:rsidR="00390B5F" w:rsidRPr="00F52350" w:rsidRDefault="00390B5F" w:rsidP="00390B5F">
      <w:pPr>
        <w:jc w:val="center"/>
        <w:rPr>
          <w:rFonts w:ascii="Arial" w:eastAsia="MS Mincho" w:hAnsi="Arial" w:cs="Arial"/>
          <w:lang w:val="en-US"/>
        </w:rPr>
      </w:pPr>
      <w:r w:rsidRPr="00F52350">
        <w:rPr>
          <w:rFonts w:ascii="Arial" w:eastAsia="Arial" w:hAnsi="Arial" w:cs="Arial"/>
          <w:b/>
          <w:sz w:val="24"/>
          <w:lang w:val="en-US"/>
        </w:rPr>
        <w:t>Word Count</w:t>
      </w:r>
      <w:r w:rsidR="000B6EA7">
        <w:rPr>
          <w:rFonts w:ascii="Arial" w:eastAsia="Arial" w:hAnsi="Arial" w:cs="Arial"/>
          <w:sz w:val="24"/>
          <w:lang w:val="en-US"/>
        </w:rPr>
        <w:t xml:space="preserve"> 5200</w:t>
      </w:r>
    </w:p>
    <w:p w:rsidR="00390B5F" w:rsidRPr="00F52350" w:rsidRDefault="00390B5F" w:rsidP="00390B5F">
      <w:pPr>
        <w:jc w:val="center"/>
        <w:rPr>
          <w:rFonts w:ascii="Arial" w:eastAsia="MS Mincho" w:hAnsi="Arial" w:cs="Arial"/>
          <w:lang w:val="en-US"/>
        </w:rPr>
      </w:pPr>
      <w:r w:rsidRPr="00F52350">
        <w:rPr>
          <w:rFonts w:ascii="Arial" w:eastAsia="Arial" w:hAnsi="Arial" w:cs="Arial"/>
          <w:b/>
          <w:sz w:val="24"/>
          <w:lang w:val="en-US"/>
        </w:rPr>
        <w:t xml:space="preserve">Submission Date: </w:t>
      </w:r>
      <w:r w:rsidRPr="00F52350">
        <w:rPr>
          <w:rFonts w:ascii="Arial" w:eastAsia="Arial" w:hAnsi="Arial" w:cs="Arial"/>
          <w:sz w:val="24"/>
          <w:lang w:val="en-US"/>
        </w:rPr>
        <w:t>13th August 2026</w:t>
      </w:r>
    </w:p>
    <w:p w:rsidR="00390B5F" w:rsidRPr="00F52350" w:rsidRDefault="00390B5F" w:rsidP="00390B5F">
      <w:pPr>
        <w:rPr>
          <w:rFonts w:ascii="Arial" w:eastAsia="MS Mincho" w:hAnsi="Arial" w:cs="Arial"/>
          <w:lang w:val="en-US"/>
        </w:rPr>
      </w:pPr>
      <w:r w:rsidRPr="00F52350">
        <w:rPr>
          <w:rFonts w:ascii="Arial" w:eastAsia="MS Mincho" w:hAnsi="Arial" w:cs="Arial"/>
          <w:lang w:val="en-US"/>
        </w:rPr>
        <w:br w:type="page"/>
      </w:r>
    </w:p>
    <w:sdt>
      <w:sdtPr>
        <w:rPr>
          <w:rFonts w:ascii="Arial" w:eastAsia="Times New Roman" w:hAnsi="Arial" w:cs="Arial"/>
          <w:b/>
          <w:bCs/>
          <w:sz w:val="28"/>
          <w:szCs w:val="28"/>
          <w:lang w:val="en-US" w:eastAsia="ja-JP"/>
        </w:rPr>
        <w:id w:val="1341119532"/>
        <w:docPartObj>
          <w:docPartGallery w:val="Table of Contents"/>
          <w:docPartUnique/>
        </w:docPartObj>
      </w:sdtPr>
      <w:sdtContent>
        <w:p w:rsidR="00390B5F" w:rsidRPr="00F52350" w:rsidRDefault="00390B5F" w:rsidP="00390B5F">
          <w:pPr>
            <w:keepNext/>
            <w:keepLines/>
            <w:spacing w:before="480" w:after="0" w:line="360" w:lineRule="auto"/>
            <w:rPr>
              <w:rFonts w:ascii="Arial" w:eastAsia="Times New Roman" w:hAnsi="Arial" w:cs="Arial"/>
              <w:b/>
              <w:bCs/>
              <w:sz w:val="28"/>
              <w:szCs w:val="28"/>
              <w:lang w:val="en-US" w:eastAsia="ja-JP"/>
            </w:rPr>
          </w:pPr>
          <w:r w:rsidRPr="00F52350">
            <w:rPr>
              <w:rFonts w:ascii="Arial" w:eastAsia="Times New Roman" w:hAnsi="Arial" w:cs="Arial"/>
              <w:b/>
              <w:bCs/>
              <w:sz w:val="28"/>
              <w:szCs w:val="28"/>
              <w:lang w:val="en-US" w:eastAsia="ja-JP"/>
            </w:rPr>
            <w:t>Table of Contents</w:t>
          </w:r>
        </w:p>
        <w:p w:rsidR="00483C97" w:rsidRDefault="00390B5F">
          <w:pPr>
            <w:pStyle w:val="TOC1"/>
            <w:rPr>
              <w:rFonts w:asciiTheme="minorHAnsi" w:eastAsiaTheme="minorEastAsia" w:hAnsiTheme="minorHAnsi" w:cstheme="minorBidi"/>
              <w:b w:val="0"/>
              <w:lang w:val="en-GB" w:eastAsia="en-GB"/>
            </w:rPr>
          </w:pPr>
          <w:r w:rsidRPr="00F52350">
            <w:rPr>
              <w:rFonts w:eastAsia="Calibri"/>
            </w:rPr>
            <w:fldChar w:fldCharType="begin"/>
          </w:r>
          <w:r w:rsidRPr="00F52350">
            <w:rPr>
              <w:rFonts w:eastAsia="Calibri"/>
            </w:rPr>
            <w:instrText xml:space="preserve"> TOC \o "1-3" \h \z \u </w:instrText>
          </w:r>
          <w:r w:rsidRPr="00F52350">
            <w:rPr>
              <w:rFonts w:eastAsia="Calibri"/>
            </w:rPr>
            <w:fldChar w:fldCharType="separate"/>
          </w:r>
          <w:hyperlink w:anchor="_Toc237510903" w:history="1">
            <w:r w:rsidR="00483C97" w:rsidRPr="00DC0600">
              <w:rPr>
                <w:rStyle w:val="Hyperlink"/>
                <w:rFonts w:eastAsia="Arial"/>
                <w:bCs/>
              </w:rPr>
              <w:t>1.</w:t>
            </w:r>
            <w:r w:rsidR="00483C97">
              <w:rPr>
                <w:rFonts w:asciiTheme="minorHAnsi" w:eastAsiaTheme="minorEastAsia" w:hAnsiTheme="minorHAnsi" w:cstheme="minorBidi"/>
                <w:b w:val="0"/>
                <w:lang w:val="en-GB" w:eastAsia="en-GB"/>
              </w:rPr>
              <w:tab/>
            </w:r>
            <w:r w:rsidR="00483C97" w:rsidRPr="00DC0600">
              <w:rPr>
                <w:rStyle w:val="Hyperlink"/>
                <w:rFonts w:eastAsia="Arial"/>
                <w:bCs/>
              </w:rPr>
              <w:t>Introduction</w:t>
            </w:r>
            <w:r w:rsidR="00483C97">
              <w:rPr>
                <w:webHidden/>
              </w:rPr>
              <w:tab/>
            </w:r>
            <w:r w:rsidR="00483C97">
              <w:rPr>
                <w:webHidden/>
              </w:rPr>
              <w:fldChar w:fldCharType="begin"/>
            </w:r>
            <w:r w:rsidR="00483C97">
              <w:rPr>
                <w:webHidden/>
              </w:rPr>
              <w:instrText xml:space="preserve"> PAGEREF _Toc237510903 \h </w:instrText>
            </w:r>
            <w:r w:rsidR="00483C97">
              <w:rPr>
                <w:webHidden/>
              </w:rPr>
            </w:r>
            <w:r w:rsidR="00483C97">
              <w:rPr>
                <w:webHidden/>
              </w:rPr>
              <w:fldChar w:fldCharType="separate"/>
            </w:r>
            <w:r w:rsidR="00483C97">
              <w:rPr>
                <w:webHidden/>
              </w:rPr>
              <w:t>3</w:t>
            </w:r>
            <w:r w:rsidR="00483C97">
              <w:rPr>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04" w:history="1">
            <w:r w:rsidRPr="00DC0600">
              <w:rPr>
                <w:rStyle w:val="Hyperlink"/>
                <w:rFonts w:eastAsia="Arial"/>
                <w:bCs/>
              </w:rPr>
              <w:t>2.</w:t>
            </w:r>
            <w:r>
              <w:rPr>
                <w:rFonts w:asciiTheme="minorHAnsi" w:eastAsiaTheme="minorEastAsia" w:hAnsiTheme="minorHAnsi" w:cstheme="minorBidi"/>
                <w:b w:val="0"/>
                <w:lang w:val="en-GB" w:eastAsia="en-GB"/>
              </w:rPr>
              <w:tab/>
            </w:r>
            <w:r w:rsidRPr="00DC0600">
              <w:rPr>
                <w:rStyle w:val="Hyperlink"/>
                <w:rFonts w:eastAsia="Arial"/>
                <w:bCs/>
              </w:rPr>
              <w:t>Financial Health Check</w:t>
            </w:r>
            <w:r>
              <w:rPr>
                <w:webHidden/>
              </w:rPr>
              <w:tab/>
            </w:r>
            <w:r>
              <w:rPr>
                <w:webHidden/>
              </w:rPr>
              <w:fldChar w:fldCharType="begin"/>
            </w:r>
            <w:r>
              <w:rPr>
                <w:webHidden/>
              </w:rPr>
              <w:instrText xml:space="preserve"> PAGEREF _Toc237510904 \h </w:instrText>
            </w:r>
            <w:r>
              <w:rPr>
                <w:webHidden/>
              </w:rPr>
            </w:r>
            <w:r>
              <w:rPr>
                <w:webHidden/>
              </w:rPr>
              <w:fldChar w:fldCharType="separate"/>
            </w:r>
            <w:r>
              <w:rPr>
                <w:webHidden/>
              </w:rPr>
              <w:t>4</w:t>
            </w:r>
            <w:r>
              <w:rPr>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05" w:history="1">
            <w:r w:rsidRPr="00DC0600">
              <w:rPr>
                <w:rStyle w:val="Hyperlink"/>
                <w:rFonts w:ascii="Arial" w:eastAsia="Arial" w:hAnsi="Arial" w:cs="Times New Roman"/>
                <w:b/>
                <w:bCs/>
                <w:noProof/>
                <w:lang w:val="en-US"/>
              </w:rPr>
              <w:t>2.1</w:t>
            </w:r>
            <w:r>
              <w:rPr>
                <w:rFonts w:eastAsiaTheme="minorEastAsia"/>
                <w:noProof/>
                <w:lang w:eastAsia="en-GB"/>
              </w:rPr>
              <w:tab/>
            </w:r>
            <w:r w:rsidRPr="00DC0600">
              <w:rPr>
                <w:rStyle w:val="Hyperlink"/>
                <w:rFonts w:ascii="Arial" w:eastAsia="Arial" w:hAnsi="Arial" w:cs="Arial"/>
                <w:b/>
                <w:bCs/>
                <w:noProof/>
                <w:lang w:val="en-US"/>
              </w:rPr>
              <w:t>Analysis of Financial Statements (2021–2025)</w:t>
            </w:r>
            <w:r>
              <w:rPr>
                <w:noProof/>
                <w:webHidden/>
              </w:rPr>
              <w:tab/>
            </w:r>
            <w:r>
              <w:rPr>
                <w:noProof/>
                <w:webHidden/>
              </w:rPr>
              <w:fldChar w:fldCharType="begin"/>
            </w:r>
            <w:r>
              <w:rPr>
                <w:noProof/>
                <w:webHidden/>
              </w:rPr>
              <w:instrText xml:space="preserve"> PAGEREF _Toc237510905 \h </w:instrText>
            </w:r>
            <w:r>
              <w:rPr>
                <w:noProof/>
                <w:webHidden/>
              </w:rPr>
            </w:r>
            <w:r>
              <w:rPr>
                <w:noProof/>
                <w:webHidden/>
              </w:rPr>
              <w:fldChar w:fldCharType="separate"/>
            </w:r>
            <w:r>
              <w:rPr>
                <w:noProof/>
                <w:webHidden/>
              </w:rPr>
              <w:t>4</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06" w:history="1">
            <w:r w:rsidRPr="00DC0600">
              <w:rPr>
                <w:rStyle w:val="Hyperlink"/>
                <w:rFonts w:ascii="Arial" w:eastAsia="Arial" w:hAnsi="Arial" w:cs="Times New Roman"/>
                <w:b/>
                <w:bCs/>
                <w:noProof/>
                <w:lang w:val="en-US"/>
              </w:rPr>
              <w:t>2.2</w:t>
            </w:r>
            <w:r>
              <w:rPr>
                <w:rFonts w:eastAsiaTheme="minorEastAsia"/>
                <w:noProof/>
                <w:lang w:eastAsia="en-GB"/>
              </w:rPr>
              <w:tab/>
            </w:r>
            <w:r w:rsidRPr="00DC0600">
              <w:rPr>
                <w:rStyle w:val="Hyperlink"/>
                <w:rFonts w:ascii="Arial" w:eastAsia="Arial" w:hAnsi="Arial" w:cs="Arial"/>
                <w:b/>
                <w:bCs/>
                <w:noProof/>
                <w:lang w:val="en-US"/>
              </w:rPr>
              <w:t>Comprehensive Ratio Analysis</w:t>
            </w:r>
            <w:r>
              <w:rPr>
                <w:noProof/>
                <w:webHidden/>
              </w:rPr>
              <w:tab/>
            </w:r>
            <w:r>
              <w:rPr>
                <w:noProof/>
                <w:webHidden/>
              </w:rPr>
              <w:fldChar w:fldCharType="begin"/>
            </w:r>
            <w:r>
              <w:rPr>
                <w:noProof/>
                <w:webHidden/>
              </w:rPr>
              <w:instrText xml:space="preserve"> PAGEREF _Toc237510906 \h </w:instrText>
            </w:r>
            <w:r>
              <w:rPr>
                <w:noProof/>
                <w:webHidden/>
              </w:rPr>
            </w:r>
            <w:r>
              <w:rPr>
                <w:noProof/>
                <w:webHidden/>
              </w:rPr>
              <w:fldChar w:fldCharType="separate"/>
            </w:r>
            <w:r>
              <w:rPr>
                <w:noProof/>
                <w:webHidden/>
              </w:rPr>
              <w:t>7</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07" w:history="1">
            <w:r w:rsidRPr="00DC0600">
              <w:rPr>
                <w:rStyle w:val="Hyperlink"/>
                <w:rFonts w:ascii="Arial" w:eastAsia="Arial" w:hAnsi="Arial" w:cs="Times New Roman"/>
                <w:b/>
                <w:bCs/>
                <w:noProof/>
                <w:lang w:val="en-US"/>
              </w:rPr>
              <w:t>2.3</w:t>
            </w:r>
            <w:r>
              <w:rPr>
                <w:rFonts w:eastAsiaTheme="minorEastAsia"/>
                <w:noProof/>
                <w:lang w:eastAsia="en-GB"/>
              </w:rPr>
              <w:tab/>
            </w:r>
            <w:r w:rsidRPr="00DC0600">
              <w:rPr>
                <w:rStyle w:val="Hyperlink"/>
                <w:rFonts w:ascii="Arial" w:eastAsia="Arial" w:hAnsi="Arial" w:cs="Arial"/>
                <w:b/>
                <w:bCs/>
                <w:noProof/>
                <w:lang w:val="en-US"/>
              </w:rPr>
              <w:t>Trends, Strengths and Potential Threats</w:t>
            </w:r>
            <w:r>
              <w:rPr>
                <w:noProof/>
                <w:webHidden/>
              </w:rPr>
              <w:tab/>
            </w:r>
            <w:r>
              <w:rPr>
                <w:noProof/>
                <w:webHidden/>
              </w:rPr>
              <w:fldChar w:fldCharType="begin"/>
            </w:r>
            <w:r>
              <w:rPr>
                <w:noProof/>
                <w:webHidden/>
              </w:rPr>
              <w:instrText xml:space="preserve"> PAGEREF _Toc237510907 \h </w:instrText>
            </w:r>
            <w:r>
              <w:rPr>
                <w:noProof/>
                <w:webHidden/>
              </w:rPr>
            </w:r>
            <w:r>
              <w:rPr>
                <w:noProof/>
                <w:webHidden/>
              </w:rPr>
              <w:fldChar w:fldCharType="separate"/>
            </w:r>
            <w:r>
              <w:rPr>
                <w:noProof/>
                <w:webHidden/>
              </w:rPr>
              <w:t>10</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08" w:history="1">
            <w:r w:rsidRPr="00DC0600">
              <w:rPr>
                <w:rStyle w:val="Hyperlink"/>
                <w:rFonts w:ascii="Arial" w:eastAsia="Arial" w:hAnsi="Arial" w:cs="Times New Roman"/>
                <w:b/>
                <w:bCs/>
                <w:noProof/>
                <w:lang w:val="en-US"/>
              </w:rPr>
              <w:t>2.4</w:t>
            </w:r>
            <w:r>
              <w:rPr>
                <w:rFonts w:eastAsiaTheme="minorEastAsia"/>
                <w:noProof/>
                <w:lang w:eastAsia="en-GB"/>
              </w:rPr>
              <w:tab/>
            </w:r>
            <w:r w:rsidRPr="00DC0600">
              <w:rPr>
                <w:rStyle w:val="Hyperlink"/>
                <w:rFonts w:ascii="Arial" w:eastAsia="Arial" w:hAnsi="Arial" w:cs="Arial"/>
                <w:b/>
                <w:bCs/>
                <w:noProof/>
                <w:lang w:val="en-US"/>
              </w:rPr>
              <w:t>Liquidity Ratios vs. Industry Benchmarks</w:t>
            </w:r>
            <w:r>
              <w:rPr>
                <w:noProof/>
                <w:webHidden/>
              </w:rPr>
              <w:tab/>
            </w:r>
            <w:r>
              <w:rPr>
                <w:noProof/>
                <w:webHidden/>
              </w:rPr>
              <w:fldChar w:fldCharType="begin"/>
            </w:r>
            <w:r>
              <w:rPr>
                <w:noProof/>
                <w:webHidden/>
              </w:rPr>
              <w:instrText xml:space="preserve"> PAGEREF _Toc237510908 \h </w:instrText>
            </w:r>
            <w:r>
              <w:rPr>
                <w:noProof/>
                <w:webHidden/>
              </w:rPr>
            </w:r>
            <w:r>
              <w:rPr>
                <w:noProof/>
                <w:webHidden/>
              </w:rPr>
              <w:fldChar w:fldCharType="separate"/>
            </w:r>
            <w:r>
              <w:rPr>
                <w:noProof/>
                <w:webHidden/>
              </w:rPr>
              <w:t>10</w:t>
            </w:r>
            <w:r>
              <w:rPr>
                <w:noProof/>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09" w:history="1">
            <w:r w:rsidRPr="00DC0600">
              <w:rPr>
                <w:rStyle w:val="Hyperlink"/>
                <w:rFonts w:eastAsia="Arial"/>
              </w:rPr>
              <w:t>3.</w:t>
            </w:r>
            <w:r>
              <w:rPr>
                <w:rFonts w:asciiTheme="minorHAnsi" w:eastAsiaTheme="minorEastAsia" w:hAnsiTheme="minorHAnsi" w:cstheme="minorBidi"/>
                <w:b w:val="0"/>
                <w:lang w:val="en-GB" w:eastAsia="en-GB"/>
              </w:rPr>
              <w:tab/>
            </w:r>
            <w:r w:rsidRPr="00DC0600">
              <w:rPr>
                <w:rStyle w:val="Hyperlink"/>
                <w:rFonts w:eastAsia="Arial"/>
              </w:rPr>
              <w:t>Working Capital Management Analysis</w:t>
            </w:r>
            <w:r>
              <w:rPr>
                <w:webHidden/>
              </w:rPr>
              <w:tab/>
            </w:r>
            <w:r>
              <w:rPr>
                <w:webHidden/>
              </w:rPr>
              <w:fldChar w:fldCharType="begin"/>
            </w:r>
            <w:r>
              <w:rPr>
                <w:webHidden/>
              </w:rPr>
              <w:instrText xml:space="preserve"> PAGEREF _Toc237510909 \h </w:instrText>
            </w:r>
            <w:r>
              <w:rPr>
                <w:webHidden/>
              </w:rPr>
            </w:r>
            <w:r>
              <w:rPr>
                <w:webHidden/>
              </w:rPr>
              <w:fldChar w:fldCharType="separate"/>
            </w:r>
            <w:r>
              <w:rPr>
                <w:webHidden/>
              </w:rPr>
              <w:t>11</w:t>
            </w:r>
            <w:r>
              <w:rPr>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2" w:history="1">
            <w:r w:rsidRPr="00DC0600">
              <w:rPr>
                <w:rStyle w:val="Hyperlink"/>
                <w:rFonts w:eastAsia="Arial"/>
                <w:noProof/>
                <w:lang w:val="en-US"/>
              </w:rPr>
              <w:t>3.1</w:t>
            </w:r>
            <w:r>
              <w:rPr>
                <w:rFonts w:eastAsiaTheme="minorEastAsia"/>
                <w:noProof/>
                <w:lang w:eastAsia="en-GB"/>
              </w:rPr>
              <w:tab/>
            </w:r>
            <w:r w:rsidRPr="00DC0600">
              <w:rPr>
                <w:rStyle w:val="Hyperlink"/>
                <w:rFonts w:eastAsia="Arial" w:cs="Arial"/>
                <w:noProof/>
                <w:lang w:val="en-US"/>
              </w:rPr>
              <w:t>Cash Operating Cycle Assessment</w:t>
            </w:r>
            <w:r>
              <w:rPr>
                <w:noProof/>
                <w:webHidden/>
              </w:rPr>
              <w:tab/>
            </w:r>
            <w:r>
              <w:rPr>
                <w:noProof/>
                <w:webHidden/>
              </w:rPr>
              <w:fldChar w:fldCharType="begin"/>
            </w:r>
            <w:r>
              <w:rPr>
                <w:noProof/>
                <w:webHidden/>
              </w:rPr>
              <w:instrText xml:space="preserve"> PAGEREF _Toc237510912 \h </w:instrText>
            </w:r>
            <w:r>
              <w:rPr>
                <w:noProof/>
                <w:webHidden/>
              </w:rPr>
            </w:r>
            <w:r>
              <w:rPr>
                <w:noProof/>
                <w:webHidden/>
              </w:rPr>
              <w:fldChar w:fldCharType="separate"/>
            </w:r>
            <w:r>
              <w:rPr>
                <w:noProof/>
                <w:webHidden/>
              </w:rPr>
              <w:t>11</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3" w:history="1">
            <w:r w:rsidRPr="00DC0600">
              <w:rPr>
                <w:rStyle w:val="Hyperlink"/>
                <w:rFonts w:eastAsia="Arial"/>
                <w:noProof/>
                <w:lang w:val="en-US"/>
              </w:rPr>
              <w:t>3.2</w:t>
            </w:r>
            <w:r>
              <w:rPr>
                <w:rFonts w:eastAsiaTheme="minorEastAsia"/>
                <w:noProof/>
                <w:lang w:eastAsia="en-GB"/>
              </w:rPr>
              <w:tab/>
            </w:r>
            <w:r w:rsidRPr="00DC0600">
              <w:rPr>
                <w:rStyle w:val="Hyperlink"/>
                <w:rFonts w:eastAsia="Arial" w:cs="Arial"/>
                <w:noProof/>
                <w:lang w:val="en-US"/>
              </w:rPr>
              <w:t>Strategies to Improve Liquidity through Working Capital Reforms</w:t>
            </w:r>
            <w:r>
              <w:rPr>
                <w:noProof/>
                <w:webHidden/>
              </w:rPr>
              <w:tab/>
            </w:r>
            <w:r>
              <w:rPr>
                <w:noProof/>
                <w:webHidden/>
              </w:rPr>
              <w:fldChar w:fldCharType="begin"/>
            </w:r>
            <w:r>
              <w:rPr>
                <w:noProof/>
                <w:webHidden/>
              </w:rPr>
              <w:instrText xml:space="preserve"> PAGEREF _Toc237510913 \h </w:instrText>
            </w:r>
            <w:r>
              <w:rPr>
                <w:noProof/>
                <w:webHidden/>
              </w:rPr>
            </w:r>
            <w:r>
              <w:rPr>
                <w:noProof/>
                <w:webHidden/>
              </w:rPr>
              <w:fldChar w:fldCharType="separate"/>
            </w:r>
            <w:r>
              <w:rPr>
                <w:noProof/>
                <w:webHidden/>
              </w:rPr>
              <w:t>12</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4" w:history="1">
            <w:r w:rsidRPr="00DC0600">
              <w:rPr>
                <w:rStyle w:val="Hyperlink"/>
                <w:rFonts w:eastAsia="Arial"/>
                <w:noProof/>
                <w:lang w:val="en-US"/>
              </w:rPr>
              <w:t>3.3</w:t>
            </w:r>
            <w:r>
              <w:rPr>
                <w:rFonts w:eastAsiaTheme="minorEastAsia"/>
                <w:noProof/>
                <w:lang w:eastAsia="en-GB"/>
              </w:rPr>
              <w:tab/>
            </w:r>
            <w:r w:rsidRPr="00DC0600">
              <w:rPr>
                <w:rStyle w:val="Hyperlink"/>
                <w:rFonts w:eastAsia="Arial" w:cs="Arial"/>
                <w:noProof/>
                <w:lang w:val="en-US"/>
              </w:rPr>
              <w:t>Short-term vs. Long-term Financing Options</w:t>
            </w:r>
            <w:r>
              <w:rPr>
                <w:noProof/>
                <w:webHidden/>
              </w:rPr>
              <w:tab/>
            </w:r>
            <w:r>
              <w:rPr>
                <w:noProof/>
                <w:webHidden/>
              </w:rPr>
              <w:fldChar w:fldCharType="begin"/>
            </w:r>
            <w:r>
              <w:rPr>
                <w:noProof/>
                <w:webHidden/>
              </w:rPr>
              <w:instrText xml:space="preserve"> PAGEREF _Toc237510914 \h </w:instrText>
            </w:r>
            <w:r>
              <w:rPr>
                <w:noProof/>
                <w:webHidden/>
              </w:rPr>
            </w:r>
            <w:r>
              <w:rPr>
                <w:noProof/>
                <w:webHidden/>
              </w:rPr>
              <w:fldChar w:fldCharType="separate"/>
            </w:r>
            <w:r>
              <w:rPr>
                <w:noProof/>
                <w:webHidden/>
              </w:rPr>
              <w:t>12</w:t>
            </w:r>
            <w:r>
              <w:rPr>
                <w:noProof/>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15" w:history="1">
            <w:r w:rsidRPr="00DC0600">
              <w:rPr>
                <w:rStyle w:val="Hyperlink"/>
                <w:rFonts w:eastAsia="Arial"/>
              </w:rPr>
              <w:t>4.</w:t>
            </w:r>
            <w:r>
              <w:rPr>
                <w:rFonts w:asciiTheme="minorHAnsi" w:eastAsiaTheme="minorEastAsia" w:hAnsiTheme="minorHAnsi" w:cstheme="minorBidi"/>
                <w:b w:val="0"/>
                <w:lang w:val="en-GB" w:eastAsia="en-GB"/>
              </w:rPr>
              <w:tab/>
            </w:r>
            <w:r w:rsidRPr="00DC0600">
              <w:rPr>
                <w:rStyle w:val="Hyperlink"/>
                <w:rFonts w:eastAsia="Arial"/>
              </w:rPr>
              <w:t>Strategic Financial Restructuring Plan</w:t>
            </w:r>
            <w:r>
              <w:rPr>
                <w:webHidden/>
              </w:rPr>
              <w:tab/>
            </w:r>
            <w:r>
              <w:rPr>
                <w:webHidden/>
              </w:rPr>
              <w:fldChar w:fldCharType="begin"/>
            </w:r>
            <w:r>
              <w:rPr>
                <w:webHidden/>
              </w:rPr>
              <w:instrText xml:space="preserve"> PAGEREF _Toc237510915 \h </w:instrText>
            </w:r>
            <w:r>
              <w:rPr>
                <w:webHidden/>
              </w:rPr>
            </w:r>
            <w:r>
              <w:rPr>
                <w:webHidden/>
              </w:rPr>
              <w:fldChar w:fldCharType="separate"/>
            </w:r>
            <w:r>
              <w:rPr>
                <w:webHidden/>
              </w:rPr>
              <w:t>13</w:t>
            </w:r>
            <w:r>
              <w:rPr>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7" w:history="1">
            <w:r w:rsidRPr="00DC0600">
              <w:rPr>
                <w:rStyle w:val="Hyperlink"/>
                <w:rFonts w:eastAsia="Arial"/>
                <w:noProof/>
                <w:lang w:val="en-US"/>
              </w:rPr>
              <w:t>4.1</w:t>
            </w:r>
            <w:r>
              <w:rPr>
                <w:rFonts w:eastAsiaTheme="minorEastAsia"/>
                <w:noProof/>
                <w:lang w:eastAsia="en-GB"/>
              </w:rPr>
              <w:tab/>
            </w:r>
            <w:r w:rsidRPr="00DC0600">
              <w:rPr>
                <w:rStyle w:val="Hyperlink"/>
                <w:rFonts w:eastAsia="Arial" w:cs="Arial"/>
                <w:noProof/>
                <w:lang w:val="en-US"/>
              </w:rPr>
              <w:t>Recommended Restructuring Options</w:t>
            </w:r>
            <w:r>
              <w:rPr>
                <w:noProof/>
                <w:webHidden/>
              </w:rPr>
              <w:tab/>
            </w:r>
            <w:r>
              <w:rPr>
                <w:noProof/>
                <w:webHidden/>
              </w:rPr>
              <w:fldChar w:fldCharType="begin"/>
            </w:r>
            <w:r>
              <w:rPr>
                <w:noProof/>
                <w:webHidden/>
              </w:rPr>
              <w:instrText xml:space="preserve"> PAGEREF _Toc237510917 \h </w:instrText>
            </w:r>
            <w:r>
              <w:rPr>
                <w:noProof/>
                <w:webHidden/>
              </w:rPr>
            </w:r>
            <w:r>
              <w:rPr>
                <w:noProof/>
                <w:webHidden/>
              </w:rPr>
              <w:fldChar w:fldCharType="separate"/>
            </w:r>
            <w:r>
              <w:rPr>
                <w:noProof/>
                <w:webHidden/>
              </w:rPr>
              <w:t>13</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8" w:history="1">
            <w:r w:rsidRPr="00DC0600">
              <w:rPr>
                <w:rStyle w:val="Hyperlink"/>
                <w:rFonts w:eastAsia="Arial"/>
                <w:noProof/>
                <w:lang w:val="en-US"/>
              </w:rPr>
              <w:t>4.2</w:t>
            </w:r>
            <w:r>
              <w:rPr>
                <w:rFonts w:eastAsiaTheme="minorEastAsia"/>
                <w:noProof/>
                <w:lang w:eastAsia="en-GB"/>
              </w:rPr>
              <w:tab/>
            </w:r>
            <w:r w:rsidRPr="00DC0600">
              <w:rPr>
                <w:rStyle w:val="Hyperlink"/>
                <w:rFonts w:eastAsia="Arial" w:cs="Arial"/>
                <w:noProof/>
                <w:lang w:val="en-US"/>
              </w:rPr>
              <w:t>Impact on Shareholder Value, Debt Structure and Operational Flexibility</w:t>
            </w:r>
            <w:r>
              <w:rPr>
                <w:noProof/>
                <w:webHidden/>
              </w:rPr>
              <w:tab/>
            </w:r>
            <w:r>
              <w:rPr>
                <w:noProof/>
                <w:webHidden/>
              </w:rPr>
              <w:fldChar w:fldCharType="begin"/>
            </w:r>
            <w:r>
              <w:rPr>
                <w:noProof/>
                <w:webHidden/>
              </w:rPr>
              <w:instrText xml:space="preserve"> PAGEREF _Toc237510918 \h </w:instrText>
            </w:r>
            <w:r>
              <w:rPr>
                <w:noProof/>
                <w:webHidden/>
              </w:rPr>
            </w:r>
            <w:r>
              <w:rPr>
                <w:noProof/>
                <w:webHidden/>
              </w:rPr>
              <w:fldChar w:fldCharType="separate"/>
            </w:r>
            <w:r>
              <w:rPr>
                <w:noProof/>
                <w:webHidden/>
              </w:rPr>
              <w:t>13</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19" w:history="1">
            <w:r w:rsidRPr="00DC0600">
              <w:rPr>
                <w:rStyle w:val="Hyperlink"/>
                <w:rFonts w:eastAsia="Arial"/>
                <w:noProof/>
                <w:lang w:val="en-US"/>
              </w:rPr>
              <w:t>4.3</w:t>
            </w:r>
            <w:r>
              <w:rPr>
                <w:rFonts w:eastAsiaTheme="minorEastAsia"/>
                <w:noProof/>
                <w:lang w:eastAsia="en-GB"/>
              </w:rPr>
              <w:tab/>
            </w:r>
            <w:r w:rsidRPr="00DC0600">
              <w:rPr>
                <w:rStyle w:val="Hyperlink"/>
                <w:rFonts w:eastAsia="Arial" w:cs="Arial"/>
                <w:noProof/>
                <w:lang w:val="en-US"/>
              </w:rPr>
              <w:t>International and Ethical Considerations</w:t>
            </w:r>
            <w:r>
              <w:rPr>
                <w:noProof/>
                <w:webHidden/>
              </w:rPr>
              <w:tab/>
            </w:r>
            <w:r>
              <w:rPr>
                <w:noProof/>
                <w:webHidden/>
              </w:rPr>
              <w:fldChar w:fldCharType="begin"/>
            </w:r>
            <w:r>
              <w:rPr>
                <w:noProof/>
                <w:webHidden/>
              </w:rPr>
              <w:instrText xml:space="preserve"> PAGEREF _Toc237510919 \h </w:instrText>
            </w:r>
            <w:r>
              <w:rPr>
                <w:noProof/>
                <w:webHidden/>
              </w:rPr>
            </w:r>
            <w:r>
              <w:rPr>
                <w:noProof/>
                <w:webHidden/>
              </w:rPr>
              <w:fldChar w:fldCharType="separate"/>
            </w:r>
            <w:r>
              <w:rPr>
                <w:noProof/>
                <w:webHidden/>
              </w:rPr>
              <w:t>14</w:t>
            </w:r>
            <w:r>
              <w:rPr>
                <w:noProof/>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20" w:history="1">
            <w:r w:rsidRPr="00DC0600">
              <w:rPr>
                <w:rStyle w:val="Hyperlink"/>
                <w:rFonts w:eastAsia="Arial"/>
              </w:rPr>
              <w:t>5.</w:t>
            </w:r>
            <w:r>
              <w:rPr>
                <w:rFonts w:asciiTheme="minorHAnsi" w:eastAsiaTheme="minorEastAsia" w:hAnsiTheme="minorHAnsi" w:cstheme="minorBidi"/>
                <w:b w:val="0"/>
                <w:lang w:val="en-GB" w:eastAsia="en-GB"/>
              </w:rPr>
              <w:tab/>
            </w:r>
            <w:r w:rsidRPr="00DC0600">
              <w:rPr>
                <w:rStyle w:val="Hyperlink"/>
                <w:rFonts w:eastAsia="Arial"/>
              </w:rPr>
              <w:t>Investment Appraisal and Capital Budgeting</w:t>
            </w:r>
            <w:r>
              <w:rPr>
                <w:webHidden/>
              </w:rPr>
              <w:tab/>
            </w:r>
            <w:r>
              <w:rPr>
                <w:webHidden/>
              </w:rPr>
              <w:fldChar w:fldCharType="begin"/>
            </w:r>
            <w:r>
              <w:rPr>
                <w:webHidden/>
              </w:rPr>
              <w:instrText xml:space="preserve"> PAGEREF _Toc237510920 \h </w:instrText>
            </w:r>
            <w:r>
              <w:rPr>
                <w:webHidden/>
              </w:rPr>
            </w:r>
            <w:r>
              <w:rPr>
                <w:webHidden/>
              </w:rPr>
              <w:fldChar w:fldCharType="separate"/>
            </w:r>
            <w:r>
              <w:rPr>
                <w:webHidden/>
              </w:rPr>
              <w:t>14</w:t>
            </w:r>
            <w:r>
              <w:rPr>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2" w:history="1">
            <w:r w:rsidRPr="00DC0600">
              <w:rPr>
                <w:rStyle w:val="Hyperlink"/>
                <w:rFonts w:eastAsia="Arial"/>
                <w:noProof/>
                <w:lang w:val="en-US"/>
              </w:rPr>
              <w:t>5.1</w:t>
            </w:r>
            <w:r>
              <w:rPr>
                <w:rFonts w:eastAsiaTheme="minorEastAsia"/>
                <w:noProof/>
                <w:lang w:eastAsia="en-GB"/>
              </w:rPr>
              <w:tab/>
            </w:r>
            <w:r w:rsidRPr="00DC0600">
              <w:rPr>
                <w:rStyle w:val="Hyperlink"/>
                <w:rFonts w:eastAsia="Arial" w:cs="Arial"/>
                <w:noProof/>
                <w:lang w:val="en-US"/>
              </w:rPr>
              <w:t>Project Evaluation (PBP, ARR, NPV, PI, IRR)</w:t>
            </w:r>
            <w:r>
              <w:rPr>
                <w:noProof/>
                <w:webHidden/>
              </w:rPr>
              <w:tab/>
            </w:r>
            <w:r>
              <w:rPr>
                <w:noProof/>
                <w:webHidden/>
              </w:rPr>
              <w:fldChar w:fldCharType="begin"/>
            </w:r>
            <w:r>
              <w:rPr>
                <w:noProof/>
                <w:webHidden/>
              </w:rPr>
              <w:instrText xml:space="preserve"> PAGEREF _Toc237510922 \h </w:instrText>
            </w:r>
            <w:r>
              <w:rPr>
                <w:noProof/>
                <w:webHidden/>
              </w:rPr>
            </w:r>
            <w:r>
              <w:rPr>
                <w:noProof/>
                <w:webHidden/>
              </w:rPr>
              <w:fldChar w:fldCharType="separate"/>
            </w:r>
            <w:r>
              <w:rPr>
                <w:noProof/>
                <w:webHidden/>
              </w:rPr>
              <w:t>14</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3" w:history="1">
            <w:r w:rsidRPr="00DC0600">
              <w:rPr>
                <w:rStyle w:val="Hyperlink"/>
                <w:rFonts w:eastAsia="Arial"/>
                <w:noProof/>
                <w:lang w:val="en-US"/>
              </w:rPr>
              <w:t>5.2</w:t>
            </w:r>
            <w:r>
              <w:rPr>
                <w:rFonts w:eastAsiaTheme="minorEastAsia"/>
                <w:noProof/>
                <w:lang w:eastAsia="en-GB"/>
              </w:rPr>
              <w:tab/>
            </w:r>
            <w:r w:rsidRPr="00DC0600">
              <w:rPr>
                <w:rStyle w:val="Hyperlink"/>
                <w:rFonts w:eastAsia="Arial" w:cs="Arial"/>
                <w:noProof/>
                <w:lang w:val="en-US"/>
              </w:rPr>
              <w:t>Single Project Recommendation</w:t>
            </w:r>
            <w:r>
              <w:rPr>
                <w:noProof/>
                <w:webHidden/>
              </w:rPr>
              <w:tab/>
            </w:r>
            <w:r>
              <w:rPr>
                <w:noProof/>
                <w:webHidden/>
              </w:rPr>
              <w:fldChar w:fldCharType="begin"/>
            </w:r>
            <w:r>
              <w:rPr>
                <w:noProof/>
                <w:webHidden/>
              </w:rPr>
              <w:instrText xml:space="preserve"> PAGEREF _Toc237510923 \h </w:instrText>
            </w:r>
            <w:r>
              <w:rPr>
                <w:noProof/>
                <w:webHidden/>
              </w:rPr>
            </w:r>
            <w:r>
              <w:rPr>
                <w:noProof/>
                <w:webHidden/>
              </w:rPr>
              <w:fldChar w:fldCharType="separate"/>
            </w:r>
            <w:r>
              <w:rPr>
                <w:noProof/>
                <w:webHidden/>
              </w:rPr>
              <w:t>17</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4" w:history="1">
            <w:r w:rsidRPr="00DC0600">
              <w:rPr>
                <w:rStyle w:val="Hyperlink"/>
                <w:rFonts w:eastAsia="Arial"/>
                <w:noProof/>
                <w:lang w:val="en-US"/>
              </w:rPr>
              <w:t>5.3</w:t>
            </w:r>
            <w:r>
              <w:rPr>
                <w:rFonts w:eastAsiaTheme="minorEastAsia"/>
                <w:noProof/>
                <w:lang w:eastAsia="en-GB"/>
              </w:rPr>
              <w:tab/>
            </w:r>
            <w:r w:rsidRPr="00DC0600">
              <w:rPr>
                <w:rStyle w:val="Hyperlink"/>
                <w:rFonts w:eastAsia="Arial" w:cs="Arial"/>
                <w:noProof/>
                <w:lang w:val="en-US"/>
              </w:rPr>
              <w:t>Capital Rationing Optimal Combination</w:t>
            </w:r>
            <w:r>
              <w:rPr>
                <w:noProof/>
                <w:webHidden/>
              </w:rPr>
              <w:tab/>
            </w:r>
            <w:r>
              <w:rPr>
                <w:noProof/>
                <w:webHidden/>
              </w:rPr>
              <w:fldChar w:fldCharType="begin"/>
            </w:r>
            <w:r>
              <w:rPr>
                <w:noProof/>
                <w:webHidden/>
              </w:rPr>
              <w:instrText xml:space="preserve"> PAGEREF _Toc237510924 \h </w:instrText>
            </w:r>
            <w:r>
              <w:rPr>
                <w:noProof/>
                <w:webHidden/>
              </w:rPr>
            </w:r>
            <w:r>
              <w:rPr>
                <w:noProof/>
                <w:webHidden/>
              </w:rPr>
              <w:fldChar w:fldCharType="separate"/>
            </w:r>
            <w:r>
              <w:rPr>
                <w:noProof/>
                <w:webHidden/>
              </w:rPr>
              <w:t>18</w:t>
            </w:r>
            <w:r>
              <w:rPr>
                <w:noProof/>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25" w:history="1">
            <w:r w:rsidRPr="00DC0600">
              <w:rPr>
                <w:rStyle w:val="Hyperlink"/>
                <w:rFonts w:eastAsia="Arial"/>
              </w:rPr>
              <w:t>6.</w:t>
            </w:r>
            <w:r>
              <w:rPr>
                <w:rFonts w:asciiTheme="minorHAnsi" w:eastAsiaTheme="minorEastAsia" w:hAnsiTheme="minorHAnsi" w:cstheme="minorBidi"/>
                <w:b w:val="0"/>
                <w:lang w:val="en-GB" w:eastAsia="en-GB"/>
              </w:rPr>
              <w:tab/>
            </w:r>
            <w:r w:rsidRPr="00DC0600">
              <w:rPr>
                <w:rStyle w:val="Hyperlink"/>
                <w:rFonts w:eastAsia="Arial"/>
              </w:rPr>
              <w:t>Critical Reflection on AI Usage</w:t>
            </w:r>
            <w:r>
              <w:rPr>
                <w:webHidden/>
              </w:rPr>
              <w:tab/>
            </w:r>
            <w:r>
              <w:rPr>
                <w:webHidden/>
              </w:rPr>
              <w:fldChar w:fldCharType="begin"/>
            </w:r>
            <w:r>
              <w:rPr>
                <w:webHidden/>
              </w:rPr>
              <w:instrText xml:space="preserve"> PAGEREF _Toc237510925 \h </w:instrText>
            </w:r>
            <w:r>
              <w:rPr>
                <w:webHidden/>
              </w:rPr>
            </w:r>
            <w:r>
              <w:rPr>
                <w:webHidden/>
              </w:rPr>
              <w:fldChar w:fldCharType="separate"/>
            </w:r>
            <w:r>
              <w:rPr>
                <w:webHidden/>
              </w:rPr>
              <w:t>22</w:t>
            </w:r>
            <w:r>
              <w:rPr>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7" w:history="1">
            <w:r w:rsidRPr="00DC0600">
              <w:rPr>
                <w:rStyle w:val="Hyperlink"/>
                <w:rFonts w:eastAsia="Arial"/>
                <w:noProof/>
                <w:lang w:val="en-US"/>
              </w:rPr>
              <w:t>6.1</w:t>
            </w:r>
            <w:r>
              <w:rPr>
                <w:rFonts w:eastAsiaTheme="minorEastAsia"/>
                <w:noProof/>
                <w:lang w:eastAsia="en-GB"/>
              </w:rPr>
              <w:tab/>
            </w:r>
            <w:r w:rsidRPr="00DC0600">
              <w:rPr>
                <w:rStyle w:val="Hyperlink"/>
                <w:rFonts w:eastAsia="Arial" w:cs="Arial"/>
                <w:noProof/>
                <w:lang w:val="en-US"/>
              </w:rPr>
              <w:t>Tool Disclosure</w:t>
            </w:r>
            <w:r>
              <w:rPr>
                <w:noProof/>
                <w:webHidden/>
              </w:rPr>
              <w:tab/>
            </w:r>
            <w:r>
              <w:rPr>
                <w:noProof/>
                <w:webHidden/>
              </w:rPr>
              <w:fldChar w:fldCharType="begin"/>
            </w:r>
            <w:r>
              <w:rPr>
                <w:noProof/>
                <w:webHidden/>
              </w:rPr>
              <w:instrText xml:space="preserve"> PAGEREF _Toc237510927 \h </w:instrText>
            </w:r>
            <w:r>
              <w:rPr>
                <w:noProof/>
                <w:webHidden/>
              </w:rPr>
            </w:r>
            <w:r>
              <w:rPr>
                <w:noProof/>
                <w:webHidden/>
              </w:rPr>
              <w:fldChar w:fldCharType="separate"/>
            </w:r>
            <w:r>
              <w:rPr>
                <w:noProof/>
                <w:webHidden/>
              </w:rPr>
              <w:t>22</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8" w:history="1">
            <w:r w:rsidRPr="00DC0600">
              <w:rPr>
                <w:rStyle w:val="Hyperlink"/>
                <w:rFonts w:eastAsia="Arial"/>
                <w:noProof/>
                <w:lang w:val="en-US"/>
              </w:rPr>
              <w:t>6.2</w:t>
            </w:r>
            <w:r>
              <w:rPr>
                <w:rFonts w:eastAsiaTheme="minorEastAsia"/>
                <w:noProof/>
                <w:lang w:eastAsia="en-GB"/>
              </w:rPr>
              <w:tab/>
            </w:r>
            <w:r w:rsidRPr="00DC0600">
              <w:rPr>
                <w:rStyle w:val="Hyperlink"/>
                <w:rFonts w:eastAsia="Arial" w:cs="Arial"/>
                <w:noProof/>
                <w:lang w:val="en-US"/>
              </w:rPr>
              <w:t>Critical Evaluation of AI Output</w:t>
            </w:r>
            <w:r>
              <w:rPr>
                <w:noProof/>
                <w:webHidden/>
              </w:rPr>
              <w:tab/>
            </w:r>
            <w:r>
              <w:rPr>
                <w:noProof/>
                <w:webHidden/>
              </w:rPr>
              <w:fldChar w:fldCharType="begin"/>
            </w:r>
            <w:r>
              <w:rPr>
                <w:noProof/>
                <w:webHidden/>
              </w:rPr>
              <w:instrText xml:space="preserve"> PAGEREF _Toc237510928 \h </w:instrText>
            </w:r>
            <w:r>
              <w:rPr>
                <w:noProof/>
                <w:webHidden/>
              </w:rPr>
            </w:r>
            <w:r>
              <w:rPr>
                <w:noProof/>
                <w:webHidden/>
              </w:rPr>
              <w:fldChar w:fldCharType="separate"/>
            </w:r>
            <w:r>
              <w:rPr>
                <w:noProof/>
                <w:webHidden/>
              </w:rPr>
              <w:t>22</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29" w:history="1">
            <w:r w:rsidRPr="00DC0600">
              <w:rPr>
                <w:rStyle w:val="Hyperlink"/>
                <w:rFonts w:eastAsia="Arial"/>
                <w:noProof/>
                <w:lang w:val="en-US"/>
              </w:rPr>
              <w:t>6.3</w:t>
            </w:r>
            <w:r>
              <w:rPr>
                <w:rFonts w:eastAsiaTheme="minorEastAsia"/>
                <w:noProof/>
                <w:lang w:eastAsia="en-GB"/>
              </w:rPr>
              <w:tab/>
            </w:r>
            <w:r w:rsidRPr="00DC0600">
              <w:rPr>
                <w:rStyle w:val="Hyperlink"/>
                <w:rFonts w:eastAsia="Arial" w:cs="Arial"/>
                <w:noProof/>
                <w:lang w:val="en-US"/>
              </w:rPr>
              <w:t>Contribution Analysis</w:t>
            </w:r>
            <w:r>
              <w:rPr>
                <w:noProof/>
                <w:webHidden/>
              </w:rPr>
              <w:tab/>
            </w:r>
            <w:r>
              <w:rPr>
                <w:noProof/>
                <w:webHidden/>
              </w:rPr>
              <w:fldChar w:fldCharType="begin"/>
            </w:r>
            <w:r>
              <w:rPr>
                <w:noProof/>
                <w:webHidden/>
              </w:rPr>
              <w:instrText xml:space="preserve"> PAGEREF _Toc237510929 \h </w:instrText>
            </w:r>
            <w:r>
              <w:rPr>
                <w:noProof/>
                <w:webHidden/>
              </w:rPr>
            </w:r>
            <w:r>
              <w:rPr>
                <w:noProof/>
                <w:webHidden/>
              </w:rPr>
              <w:fldChar w:fldCharType="separate"/>
            </w:r>
            <w:r>
              <w:rPr>
                <w:noProof/>
                <w:webHidden/>
              </w:rPr>
              <w:t>23</w:t>
            </w:r>
            <w:r>
              <w:rPr>
                <w:noProof/>
                <w:webHidden/>
              </w:rPr>
              <w:fldChar w:fldCharType="end"/>
            </w:r>
          </w:hyperlink>
        </w:p>
        <w:p w:rsidR="00483C97" w:rsidRDefault="00483C97">
          <w:pPr>
            <w:pStyle w:val="TOC2"/>
            <w:tabs>
              <w:tab w:val="left" w:pos="880"/>
              <w:tab w:val="right" w:leader="dot" w:pos="9016"/>
            </w:tabs>
            <w:rPr>
              <w:rFonts w:eastAsiaTheme="minorEastAsia"/>
              <w:noProof/>
              <w:lang w:eastAsia="en-GB"/>
            </w:rPr>
          </w:pPr>
          <w:hyperlink w:anchor="_Toc237510930" w:history="1">
            <w:r w:rsidRPr="00DC0600">
              <w:rPr>
                <w:rStyle w:val="Hyperlink"/>
                <w:rFonts w:eastAsia="Arial"/>
                <w:noProof/>
                <w:lang w:val="en-US"/>
              </w:rPr>
              <w:t>6.4</w:t>
            </w:r>
            <w:r>
              <w:rPr>
                <w:rFonts w:eastAsiaTheme="minorEastAsia"/>
                <w:noProof/>
                <w:lang w:eastAsia="en-GB"/>
              </w:rPr>
              <w:tab/>
            </w:r>
            <w:r w:rsidRPr="00DC0600">
              <w:rPr>
                <w:rStyle w:val="Hyperlink"/>
                <w:rFonts w:eastAsia="Arial" w:cs="Arial"/>
                <w:noProof/>
                <w:lang w:val="en-US"/>
              </w:rPr>
              <w:t>Ethical and Professional Reflection</w:t>
            </w:r>
            <w:r>
              <w:rPr>
                <w:noProof/>
                <w:webHidden/>
              </w:rPr>
              <w:tab/>
            </w:r>
            <w:r>
              <w:rPr>
                <w:noProof/>
                <w:webHidden/>
              </w:rPr>
              <w:fldChar w:fldCharType="begin"/>
            </w:r>
            <w:r>
              <w:rPr>
                <w:noProof/>
                <w:webHidden/>
              </w:rPr>
              <w:instrText xml:space="preserve"> PAGEREF _Toc237510930 \h </w:instrText>
            </w:r>
            <w:r>
              <w:rPr>
                <w:noProof/>
                <w:webHidden/>
              </w:rPr>
            </w:r>
            <w:r>
              <w:rPr>
                <w:noProof/>
                <w:webHidden/>
              </w:rPr>
              <w:fldChar w:fldCharType="separate"/>
            </w:r>
            <w:r>
              <w:rPr>
                <w:noProof/>
                <w:webHidden/>
              </w:rPr>
              <w:t>23</w:t>
            </w:r>
            <w:r>
              <w:rPr>
                <w:noProof/>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31" w:history="1">
            <w:r w:rsidRPr="00DC0600">
              <w:rPr>
                <w:rStyle w:val="Hyperlink"/>
                <w:rFonts w:eastAsia="Arial"/>
              </w:rPr>
              <w:t>7.</w:t>
            </w:r>
            <w:r>
              <w:rPr>
                <w:rFonts w:asciiTheme="minorHAnsi" w:eastAsiaTheme="minorEastAsia" w:hAnsiTheme="minorHAnsi" w:cstheme="minorBidi"/>
                <w:b w:val="0"/>
                <w:lang w:val="en-GB" w:eastAsia="en-GB"/>
              </w:rPr>
              <w:tab/>
            </w:r>
            <w:r w:rsidRPr="00DC0600">
              <w:rPr>
                <w:rStyle w:val="Hyperlink"/>
                <w:rFonts w:eastAsia="Arial"/>
              </w:rPr>
              <w:t>Conclusion</w:t>
            </w:r>
            <w:r>
              <w:rPr>
                <w:webHidden/>
              </w:rPr>
              <w:tab/>
            </w:r>
            <w:r>
              <w:rPr>
                <w:webHidden/>
              </w:rPr>
              <w:fldChar w:fldCharType="begin"/>
            </w:r>
            <w:r>
              <w:rPr>
                <w:webHidden/>
              </w:rPr>
              <w:instrText xml:space="preserve"> PAGEREF _Toc237510931 \h </w:instrText>
            </w:r>
            <w:r>
              <w:rPr>
                <w:webHidden/>
              </w:rPr>
            </w:r>
            <w:r>
              <w:rPr>
                <w:webHidden/>
              </w:rPr>
              <w:fldChar w:fldCharType="separate"/>
            </w:r>
            <w:r>
              <w:rPr>
                <w:webHidden/>
              </w:rPr>
              <w:t>24</w:t>
            </w:r>
            <w:r>
              <w:rPr>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32" w:history="1">
            <w:r w:rsidRPr="00DC0600">
              <w:rPr>
                <w:rStyle w:val="Hyperlink"/>
                <w:rFonts w:eastAsia="Arial"/>
              </w:rPr>
              <w:t>References</w:t>
            </w:r>
            <w:r>
              <w:rPr>
                <w:webHidden/>
              </w:rPr>
              <w:tab/>
            </w:r>
            <w:r>
              <w:rPr>
                <w:webHidden/>
              </w:rPr>
              <w:fldChar w:fldCharType="begin"/>
            </w:r>
            <w:r>
              <w:rPr>
                <w:webHidden/>
              </w:rPr>
              <w:instrText xml:space="preserve"> PAGEREF _Toc237510932 \h </w:instrText>
            </w:r>
            <w:r>
              <w:rPr>
                <w:webHidden/>
              </w:rPr>
            </w:r>
            <w:r>
              <w:rPr>
                <w:webHidden/>
              </w:rPr>
              <w:fldChar w:fldCharType="separate"/>
            </w:r>
            <w:r>
              <w:rPr>
                <w:webHidden/>
              </w:rPr>
              <w:t>25</w:t>
            </w:r>
            <w:r>
              <w:rPr>
                <w:webHidden/>
              </w:rPr>
              <w:fldChar w:fldCharType="end"/>
            </w:r>
          </w:hyperlink>
        </w:p>
        <w:p w:rsidR="00483C97" w:rsidRDefault="00483C97">
          <w:pPr>
            <w:pStyle w:val="TOC1"/>
            <w:rPr>
              <w:rFonts w:asciiTheme="minorHAnsi" w:eastAsiaTheme="minorEastAsia" w:hAnsiTheme="minorHAnsi" w:cstheme="minorBidi"/>
              <w:b w:val="0"/>
              <w:lang w:val="en-GB" w:eastAsia="en-GB"/>
            </w:rPr>
          </w:pPr>
          <w:hyperlink w:anchor="_Toc237510933" w:history="1">
            <w:r w:rsidRPr="00DC0600">
              <w:rPr>
                <w:rStyle w:val="Hyperlink"/>
                <w:rFonts w:eastAsia="Arial"/>
              </w:rPr>
              <w:t>Appendices</w:t>
            </w:r>
            <w:r>
              <w:rPr>
                <w:webHidden/>
              </w:rPr>
              <w:tab/>
            </w:r>
            <w:r>
              <w:rPr>
                <w:webHidden/>
              </w:rPr>
              <w:fldChar w:fldCharType="begin"/>
            </w:r>
            <w:r>
              <w:rPr>
                <w:webHidden/>
              </w:rPr>
              <w:instrText xml:space="preserve"> PAGEREF _Toc237510933 \h </w:instrText>
            </w:r>
            <w:r>
              <w:rPr>
                <w:webHidden/>
              </w:rPr>
            </w:r>
            <w:r>
              <w:rPr>
                <w:webHidden/>
              </w:rPr>
              <w:fldChar w:fldCharType="separate"/>
            </w:r>
            <w:r>
              <w:rPr>
                <w:webHidden/>
              </w:rPr>
              <w:t>27</w:t>
            </w:r>
            <w:r>
              <w:rPr>
                <w:webHidden/>
              </w:rPr>
              <w:fldChar w:fldCharType="end"/>
            </w:r>
          </w:hyperlink>
        </w:p>
        <w:p w:rsidR="00DF4891" w:rsidRDefault="00390B5F" w:rsidP="00DF4891">
          <w:pPr>
            <w:spacing w:line="360" w:lineRule="auto"/>
            <w:rPr>
              <w:rFonts w:ascii="Arial" w:eastAsia="Calibri" w:hAnsi="Arial" w:cs="Arial"/>
            </w:rPr>
          </w:pPr>
          <w:r w:rsidRPr="00F52350">
            <w:rPr>
              <w:rFonts w:ascii="Arial" w:eastAsia="Calibri" w:hAnsi="Arial" w:cs="Arial"/>
              <w:b/>
              <w:bCs/>
              <w:noProof/>
            </w:rPr>
            <w:fldChar w:fldCharType="end"/>
          </w:r>
        </w:p>
        <w:p w:rsidR="00DF4891" w:rsidRDefault="00DF4891" w:rsidP="00DF4891">
          <w:pPr>
            <w:spacing w:line="360" w:lineRule="auto"/>
            <w:rPr>
              <w:rFonts w:ascii="Arial" w:eastAsia="Calibri" w:hAnsi="Arial" w:cs="Arial"/>
            </w:rPr>
          </w:pPr>
        </w:p>
        <w:p w:rsidR="00DF4891" w:rsidRPr="00DF4891" w:rsidRDefault="00046CB0" w:rsidP="00DF4891">
          <w:pPr>
            <w:spacing w:line="360" w:lineRule="auto"/>
            <w:rPr>
              <w:rFonts w:ascii="Arial" w:eastAsia="Calibri" w:hAnsi="Arial" w:cs="Arial"/>
            </w:rPr>
          </w:pPr>
        </w:p>
      </w:sdtContent>
    </w:sdt>
    <w:p w:rsidR="00DF4891" w:rsidRPr="00DF4891" w:rsidRDefault="00DF4891" w:rsidP="000B6EA7">
      <w:pPr>
        <w:pStyle w:val="ListParagraph"/>
        <w:keepNext/>
        <w:keepLines/>
        <w:spacing w:before="480" w:after="0" w:line="360" w:lineRule="auto"/>
        <w:outlineLvl w:val="0"/>
        <w:rPr>
          <w:rFonts w:ascii="Arial" w:eastAsia="MS Gothic" w:hAnsi="Arial" w:cs="Arial"/>
          <w:b/>
          <w:bCs/>
          <w:sz w:val="32"/>
          <w:szCs w:val="28"/>
          <w:lang w:val="en-US"/>
        </w:rPr>
      </w:pPr>
    </w:p>
    <w:p w:rsidR="002942FB" w:rsidRDefault="002942FB" w:rsidP="00A97DC1">
      <w:pPr>
        <w:spacing w:after="160" w:line="360" w:lineRule="auto"/>
        <w:jc w:val="both"/>
        <w:rPr>
          <w:rFonts w:ascii="Arial" w:eastAsia="Arial" w:hAnsi="Arial"/>
          <w:sz w:val="24"/>
        </w:rPr>
      </w:pPr>
    </w:p>
    <w:p w:rsidR="000B6EA7" w:rsidRPr="000B6EA7" w:rsidRDefault="000B6EA7" w:rsidP="000B6EA7">
      <w:pPr>
        <w:pStyle w:val="ListParagraph"/>
        <w:keepNext/>
        <w:keepLines/>
        <w:numPr>
          <w:ilvl w:val="0"/>
          <w:numId w:val="8"/>
        </w:numPr>
        <w:spacing w:before="480" w:after="0" w:line="360" w:lineRule="auto"/>
        <w:outlineLvl w:val="0"/>
        <w:rPr>
          <w:rFonts w:ascii="Arial" w:eastAsia="MS Gothic" w:hAnsi="Arial" w:cs="Arial"/>
          <w:b/>
          <w:bCs/>
          <w:sz w:val="32"/>
          <w:szCs w:val="28"/>
          <w:lang w:val="en-US"/>
        </w:rPr>
      </w:pPr>
      <w:bookmarkStart w:id="0" w:name="_Toc237510903"/>
      <w:r w:rsidRPr="00F52350">
        <w:rPr>
          <w:rFonts w:ascii="Arial" w:eastAsia="Arial" w:hAnsi="Arial" w:cs="Arial"/>
          <w:b/>
          <w:bCs/>
          <w:sz w:val="32"/>
          <w:szCs w:val="28"/>
          <w:lang w:val="en-US"/>
        </w:rPr>
        <w:lastRenderedPageBreak/>
        <w:t>Introduction</w:t>
      </w:r>
      <w:bookmarkEnd w:id="0"/>
    </w:p>
    <w:p w:rsidR="002942FB" w:rsidRPr="000B6EA7" w:rsidRDefault="000B6EA7" w:rsidP="000B6EA7">
      <w:pPr>
        <w:pStyle w:val="NormalWeb"/>
        <w:spacing w:line="360" w:lineRule="auto"/>
        <w:jc w:val="both"/>
        <w:rPr>
          <w:rFonts w:ascii="Arial" w:hAnsi="Arial" w:cs="Arial"/>
        </w:rPr>
      </w:pPr>
      <w:r w:rsidRPr="000B6EA7">
        <w:rPr>
          <w:rFonts w:ascii="Arial" w:hAnsi="Arial" w:cs="Arial"/>
        </w:rPr>
        <w:t>I</w:t>
      </w:r>
      <w:r>
        <w:rPr>
          <w:rFonts w:ascii="Arial" w:hAnsi="Arial" w:cs="Arial"/>
        </w:rPr>
        <w:t>nterContinental Hotels Group PLC</w:t>
      </w:r>
      <w:r w:rsidR="002942FB" w:rsidRPr="000B6EA7">
        <w:rPr>
          <w:rFonts w:ascii="Arial" w:hAnsi="Arial" w:cs="Arial"/>
        </w:rPr>
        <w:t xml:space="preserve"> (IHG) is one of the world’s leading pure-play hotel companies, operating an asset-light model based on franchising and management contracts across brands including InterContinental, Crowne</w:t>
      </w:r>
      <w:r>
        <w:rPr>
          <w:rFonts w:ascii="Arial" w:hAnsi="Arial" w:cs="Arial"/>
        </w:rPr>
        <w:t>d</w:t>
      </w:r>
      <w:r w:rsidR="002942FB" w:rsidRPr="000B6EA7">
        <w:rPr>
          <w:rFonts w:ascii="Arial" w:hAnsi="Arial" w:cs="Arial"/>
        </w:rPr>
        <w:t xml:space="preserve"> Plaza, Holiday Inn and Holiday Inn Express (IHG, 2026a). As newly appointed Chief Financial Officer, I have been charged by the Board with examining the Group’s financial performance over 2021–2025, identifying core challenges, and formulating a turnaround and growth strategy that is financially viable, globally scalable and ethically sound.</w:t>
      </w:r>
    </w:p>
    <w:p w:rsidR="002942FB" w:rsidRPr="000B6EA7" w:rsidRDefault="002942FB" w:rsidP="000B6EA7">
      <w:pPr>
        <w:pStyle w:val="NormalWeb"/>
        <w:spacing w:line="360" w:lineRule="auto"/>
        <w:jc w:val="both"/>
        <w:rPr>
          <w:rFonts w:ascii="Arial" w:hAnsi="Arial" w:cs="Arial"/>
        </w:rPr>
      </w:pPr>
      <w:r w:rsidRPr="000B6EA7">
        <w:rPr>
          <w:rFonts w:ascii="Arial" w:hAnsi="Arial" w:cs="Arial"/>
        </w:rPr>
        <w:t>The hospitality sector has recovered strongly from the COVID-19 shock, yet continues to face elevated interest rates, geopolitical uncertainty, cost inflation and rising expectations on sustainability and digital experience (UNWTO, 2025; Deloitte, 2025). Against this backdrop, IHG has achieved fee-margin expansion, robust free-cash-flow generation and disciplined capital returns, while maintaining a structurally negative equity position driven by cumulat</w:t>
      </w:r>
      <w:r w:rsidR="000B6EA7">
        <w:rPr>
          <w:rFonts w:ascii="Arial" w:hAnsi="Arial" w:cs="Arial"/>
        </w:rPr>
        <w:t xml:space="preserve">ive share buybacks </w:t>
      </w:r>
      <w:r w:rsidRPr="000B6EA7">
        <w:rPr>
          <w:rFonts w:ascii="Arial" w:hAnsi="Arial" w:cs="Arial"/>
        </w:rPr>
        <w:t>a feature shared with peers such as Marriott and Hilton (Marriott International, 2026; Hilton Worldwide, 2026).</w:t>
      </w:r>
    </w:p>
    <w:p w:rsidR="002942FB" w:rsidRPr="000B6EA7" w:rsidRDefault="002942FB" w:rsidP="000B6EA7">
      <w:pPr>
        <w:pStyle w:val="NormalWeb"/>
        <w:spacing w:line="360" w:lineRule="auto"/>
        <w:jc w:val="both"/>
        <w:rPr>
          <w:rFonts w:ascii="Arial" w:hAnsi="Arial" w:cs="Arial"/>
        </w:rPr>
      </w:pPr>
      <w:r w:rsidRPr="000B6EA7">
        <w:rPr>
          <w:rFonts w:ascii="Arial" w:hAnsi="Arial" w:cs="Arial"/>
        </w:rPr>
        <w:t>This report is organised as follows. Section 2 presents a financial health check based on the financial statements and multi-dimensional ratio analysis, including liquidity benchmarking. Section 3 examines working-capital management and the cash conversion cycle. Section 4 develops a strategic restructuring plan covering divestiture, equity dynamics and ethical considerations. Section 5 appraises three capital projects using payback, ARR, NPV, PI and IRR under capital rationing. Section 6 reflects critically on the use of artificial intelligence. Supporting calculations appear in the Excel workbook and Appendices.</w:t>
      </w:r>
    </w:p>
    <w:p w:rsidR="002942FB" w:rsidRDefault="002942FB" w:rsidP="00A97DC1">
      <w:pPr>
        <w:spacing w:after="160" w:line="360" w:lineRule="auto"/>
        <w:jc w:val="both"/>
        <w:rPr>
          <w:rFonts w:ascii="Arial" w:eastAsia="Arial" w:hAnsi="Arial"/>
          <w:sz w:val="24"/>
        </w:rPr>
      </w:pPr>
    </w:p>
    <w:p w:rsidR="002942FB" w:rsidRDefault="002942FB" w:rsidP="00A97DC1">
      <w:pPr>
        <w:spacing w:after="160" w:line="360" w:lineRule="auto"/>
        <w:jc w:val="both"/>
        <w:rPr>
          <w:rFonts w:ascii="Arial" w:eastAsia="Arial" w:hAnsi="Arial"/>
          <w:sz w:val="24"/>
        </w:rPr>
      </w:pPr>
    </w:p>
    <w:p w:rsidR="002942FB" w:rsidRDefault="002942FB" w:rsidP="00A97DC1">
      <w:pPr>
        <w:spacing w:after="160" w:line="360" w:lineRule="auto"/>
        <w:jc w:val="both"/>
        <w:rPr>
          <w:rFonts w:ascii="Arial" w:eastAsia="Arial" w:hAnsi="Arial"/>
          <w:sz w:val="24"/>
        </w:rPr>
      </w:pPr>
    </w:p>
    <w:p w:rsidR="00046CB0" w:rsidRDefault="00046CB0" w:rsidP="00390B5F">
      <w:pPr>
        <w:spacing w:after="160" w:line="360" w:lineRule="auto"/>
        <w:jc w:val="both"/>
        <w:rPr>
          <w:rFonts w:ascii="Arial" w:eastAsia="Arial" w:hAnsi="Arial" w:cs="Arial"/>
          <w:sz w:val="24"/>
          <w:lang w:val="en-US"/>
        </w:rPr>
      </w:pPr>
      <w:bookmarkStart w:id="1" w:name="_GoBack"/>
      <w:bookmarkEnd w:id="1"/>
    </w:p>
    <w:p w:rsidR="00390B5F" w:rsidRPr="00F52350" w:rsidRDefault="00390B5F" w:rsidP="000B6EA7">
      <w:pPr>
        <w:pStyle w:val="ListParagraph"/>
        <w:keepNext/>
        <w:keepLines/>
        <w:numPr>
          <w:ilvl w:val="0"/>
          <w:numId w:val="8"/>
        </w:numPr>
        <w:spacing w:before="480" w:after="0" w:line="360" w:lineRule="auto"/>
        <w:outlineLvl w:val="0"/>
        <w:rPr>
          <w:rFonts w:ascii="Arial" w:eastAsia="MS Gothic" w:hAnsi="Arial" w:cs="Arial"/>
          <w:b/>
          <w:bCs/>
          <w:sz w:val="32"/>
          <w:szCs w:val="28"/>
          <w:lang w:val="en-US"/>
        </w:rPr>
      </w:pPr>
      <w:bookmarkStart w:id="2" w:name="_Toc237510904"/>
      <w:r w:rsidRPr="00F52350">
        <w:rPr>
          <w:rFonts w:ascii="Arial" w:eastAsia="Arial" w:hAnsi="Arial" w:cs="Arial"/>
          <w:b/>
          <w:bCs/>
          <w:sz w:val="32"/>
          <w:szCs w:val="28"/>
          <w:lang w:val="en-US"/>
        </w:rPr>
        <w:lastRenderedPageBreak/>
        <w:t>Financial Health Check</w:t>
      </w:r>
      <w:bookmarkEnd w:id="2"/>
    </w:p>
    <w:p w:rsidR="00390B5F" w:rsidRPr="00F52350" w:rsidRDefault="00390B5F" w:rsidP="00390B5F">
      <w:pPr>
        <w:keepNext/>
        <w:keepLines/>
        <w:numPr>
          <w:ilvl w:val="1"/>
          <w:numId w:val="2"/>
        </w:numPr>
        <w:spacing w:before="200" w:after="0" w:line="360" w:lineRule="auto"/>
        <w:outlineLvl w:val="1"/>
        <w:rPr>
          <w:rFonts w:ascii="Arial" w:eastAsia="MS Gothic" w:hAnsi="Arial" w:cs="Arial"/>
          <w:b/>
          <w:bCs/>
          <w:sz w:val="26"/>
          <w:szCs w:val="26"/>
          <w:lang w:val="en-US"/>
        </w:rPr>
      </w:pPr>
      <w:bookmarkStart w:id="3" w:name="_Toc237510905"/>
      <w:r w:rsidRPr="00F52350">
        <w:rPr>
          <w:rFonts w:ascii="Arial" w:eastAsia="Arial" w:hAnsi="Arial" w:cs="Arial"/>
          <w:b/>
          <w:bCs/>
          <w:sz w:val="28"/>
          <w:szCs w:val="26"/>
          <w:lang w:val="en-US"/>
        </w:rPr>
        <w:t>Analysis of Financial Statements (2021–2025)</w:t>
      </w:r>
      <w:bookmarkEnd w:id="3"/>
    </w:p>
    <w:p w:rsidR="00A97DC1" w:rsidRDefault="00A97DC1" w:rsidP="00A97DC1">
      <w:pPr>
        <w:spacing w:after="160" w:line="360" w:lineRule="auto"/>
        <w:jc w:val="both"/>
      </w:pPr>
      <w:r>
        <w:rPr>
          <w:rFonts w:ascii="Arial" w:eastAsia="Arial" w:hAnsi="Arial"/>
          <w:sz w:val="24"/>
        </w:rPr>
        <w:t xml:space="preserve">IHG’s income statement over the review period reveals a clear post-pandemic recovery trajectory. Total revenue rose from US$2,907 million in 2021 to US$5,189 million in 2025, representing a compound annual growth rate of approximately 15.6 per cent (IHG, 2022; 2023; 2024; 2025; 2026a). Operating profit (IFRS) increased from US$494 million to US$1,198 million over the same horizon, while net income advanced from US$265 million to US$759 million. The most rapid improvement occurred between 2021 and 2023 as global travel demand normalised; subsequent years show more moderate but still positive growth, consistent with system-size expansion and </w:t>
      </w:r>
      <w:proofErr w:type="spellStart"/>
      <w:r>
        <w:rPr>
          <w:rFonts w:ascii="Arial" w:eastAsia="Arial" w:hAnsi="Arial"/>
          <w:sz w:val="24"/>
        </w:rPr>
        <w:t>RevPAR</w:t>
      </w:r>
      <w:proofErr w:type="spellEnd"/>
      <w:r>
        <w:rPr>
          <w:rFonts w:ascii="Arial" w:eastAsia="Arial" w:hAnsi="Arial"/>
          <w:sz w:val="24"/>
        </w:rPr>
        <w:t xml:space="preserve"> gains (IHG, 2026a).</w:t>
      </w:r>
    </w:p>
    <w:p w:rsidR="00A97DC1" w:rsidRDefault="00A97DC1" w:rsidP="00390B5F">
      <w:pPr>
        <w:spacing w:after="160" w:line="360" w:lineRule="auto"/>
        <w:jc w:val="both"/>
        <w:rPr>
          <w:rFonts w:ascii="Arial" w:eastAsia="Arial" w:hAnsi="Arial" w:cs="Arial"/>
          <w:sz w:val="24"/>
          <w:lang w:val="en-US"/>
        </w:rPr>
      </w:pPr>
    </w:p>
    <w:p w:rsidR="00A97DC1" w:rsidRDefault="00A97DC1" w:rsidP="00390B5F">
      <w:pPr>
        <w:spacing w:after="160" w:line="360" w:lineRule="auto"/>
        <w:jc w:val="both"/>
        <w:rPr>
          <w:rFonts w:ascii="Arial" w:eastAsia="Arial" w:hAnsi="Arial" w:cs="Arial"/>
          <w:sz w:val="24"/>
          <w:lang w:val="en-US"/>
        </w:rPr>
      </w:pPr>
      <w:r>
        <w:rPr>
          <w:noProof/>
          <w:lang w:eastAsia="en-GB"/>
        </w:rPr>
        <w:drawing>
          <wp:inline distT="0" distB="0" distL="0" distR="0" wp14:anchorId="5E4F4B0F" wp14:editId="22FF7630">
            <wp:extent cx="5120640" cy="281922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Revenue_Operating_Profit.png"/>
                    <pic:cNvPicPr/>
                  </pic:nvPicPr>
                  <pic:blipFill>
                    <a:blip r:embed="rId8"/>
                    <a:stretch>
                      <a:fillRect/>
                    </a:stretch>
                  </pic:blipFill>
                  <pic:spPr>
                    <a:xfrm>
                      <a:off x="0" y="0"/>
                      <a:ext cx="5120640" cy="2819229"/>
                    </a:xfrm>
                    <a:prstGeom prst="rect">
                      <a:avLst/>
                    </a:prstGeom>
                  </pic:spPr>
                </pic:pic>
              </a:graphicData>
            </a:graphic>
          </wp:inline>
        </w:drawing>
      </w:r>
    </w:p>
    <w:p w:rsidR="00A97DC1" w:rsidRPr="00690D65" w:rsidRDefault="00A97DC1" w:rsidP="00A97DC1">
      <w:pPr>
        <w:jc w:val="center"/>
        <w:rPr>
          <w:rFonts w:ascii="Cambria" w:eastAsia="MS Mincho" w:hAnsi="Cambria" w:cs="Times New Roman"/>
          <w:lang w:val="en-US"/>
        </w:rPr>
      </w:pPr>
      <w:proofErr w:type="gramStart"/>
      <w:r w:rsidRPr="00690D65">
        <w:rPr>
          <w:rFonts w:ascii="Arial" w:eastAsia="Arial" w:hAnsi="Arial" w:cs="Times New Roman"/>
          <w:b/>
          <w:sz w:val="18"/>
          <w:lang w:val="en-US"/>
        </w:rPr>
        <w:t>Figure 1.</w:t>
      </w:r>
      <w:proofErr w:type="gramEnd"/>
      <w:r w:rsidRPr="00690D65">
        <w:rPr>
          <w:rFonts w:ascii="Arial" w:eastAsia="Arial" w:hAnsi="Arial" w:cs="Times New Roman"/>
          <w:b/>
          <w:sz w:val="18"/>
          <w:lang w:val="en-US"/>
        </w:rPr>
        <w:t xml:space="preserve"> Revenue and Operating Profit Trend 2021–2025</w:t>
      </w:r>
    </w:p>
    <w:p w:rsidR="00A97DC1" w:rsidRPr="00690D65" w:rsidRDefault="00A97DC1" w:rsidP="00A97DC1">
      <w:pPr>
        <w:jc w:val="center"/>
        <w:rPr>
          <w:rFonts w:ascii="Cambria" w:eastAsia="MS Mincho" w:hAnsi="Cambria" w:cs="Times New Roman"/>
          <w:lang w:val="en-US"/>
        </w:rPr>
      </w:pPr>
      <w:r w:rsidRPr="00690D65">
        <w:rPr>
          <w:rFonts w:ascii="Arial" w:eastAsia="Arial" w:hAnsi="Arial" w:cs="Times New Roman"/>
          <w:sz w:val="16"/>
          <w:lang w:val="en-US"/>
        </w:rPr>
        <w:t>Source: Author’s chart from IHG Full Year Results 2021–2025.</w:t>
      </w:r>
    </w:p>
    <w:p w:rsidR="00A97DC1" w:rsidRDefault="00A97DC1" w:rsidP="00390B5F">
      <w:pPr>
        <w:spacing w:after="160" w:line="360" w:lineRule="auto"/>
        <w:jc w:val="both"/>
        <w:rPr>
          <w:rFonts w:ascii="Arial" w:eastAsia="Arial" w:hAnsi="Arial" w:cs="Arial"/>
          <w:sz w:val="24"/>
          <w:lang w:val="en-US"/>
        </w:rPr>
      </w:pPr>
    </w:p>
    <w:p w:rsidR="00A97DC1" w:rsidRPr="00A97DC1" w:rsidRDefault="00690D65" w:rsidP="00A97DC1">
      <w:pPr>
        <w:spacing w:after="160" w:line="360" w:lineRule="auto"/>
        <w:jc w:val="both"/>
        <w:rPr>
          <w:rFonts w:ascii="Cambria" w:eastAsia="MS Mincho" w:hAnsi="Cambria" w:cs="Times New Roman"/>
          <w:lang w:val="en-US"/>
        </w:rPr>
      </w:pPr>
      <w:r>
        <w:rPr>
          <w:rFonts w:ascii="Arial" w:eastAsia="Arial" w:hAnsi="Arial" w:cs="Times New Roman"/>
          <w:sz w:val="24"/>
          <w:lang w:val="en-US"/>
        </w:rPr>
        <w:t xml:space="preserve">Table1 </w:t>
      </w:r>
      <w:r w:rsidRPr="00A97DC1">
        <w:rPr>
          <w:rFonts w:ascii="Arial" w:eastAsia="Arial" w:hAnsi="Arial" w:cs="Times New Roman"/>
          <w:sz w:val="24"/>
          <w:lang w:val="en-US"/>
        </w:rPr>
        <w:t>summarizes</w:t>
      </w:r>
      <w:r w:rsidR="00A97DC1" w:rsidRPr="00A97DC1">
        <w:rPr>
          <w:rFonts w:ascii="Arial" w:eastAsia="Arial" w:hAnsi="Arial" w:cs="Times New Roman"/>
          <w:sz w:val="24"/>
          <w:lang w:val="en-US"/>
        </w:rPr>
        <w:t xml:space="preserve"> the principal income-statement indicators. Fee-business operating profit and the associated fee margin have been particularly strong, rising from approximately 49.6 per cent in 2021 to 64.8 per cent in 2025. This expansion underscores the operating leverage inherent in IHG’s franchising and management </w:t>
      </w:r>
      <w:r w:rsidR="00A97DC1" w:rsidRPr="00A97DC1">
        <w:rPr>
          <w:rFonts w:ascii="Arial" w:eastAsia="Arial" w:hAnsi="Arial" w:cs="Times New Roman"/>
          <w:sz w:val="24"/>
          <w:lang w:val="en-US"/>
        </w:rPr>
        <w:lastRenderedPageBreak/>
        <w:t xml:space="preserve">model, in which incremental system revenue flows through to the bottom line with relatively modest incremental cost (IHG, 2026a; </w:t>
      </w:r>
      <w:proofErr w:type="spellStart"/>
      <w:r w:rsidR="00A97DC1" w:rsidRPr="00A97DC1">
        <w:rPr>
          <w:rFonts w:ascii="Arial" w:eastAsia="Arial" w:hAnsi="Arial" w:cs="Times New Roman"/>
          <w:sz w:val="24"/>
          <w:lang w:val="en-US"/>
        </w:rPr>
        <w:t>Brealey</w:t>
      </w:r>
      <w:proofErr w:type="spellEnd"/>
      <w:r w:rsidR="00A97DC1" w:rsidRPr="00A97DC1">
        <w:rPr>
          <w:rFonts w:ascii="Arial" w:eastAsia="Arial" w:hAnsi="Arial" w:cs="Times New Roman"/>
          <w:sz w:val="24"/>
          <w:lang w:val="en-US"/>
        </w:rPr>
        <w:t>, Myers and Allen, 2023).</w:t>
      </w:r>
    </w:p>
    <w:p w:rsidR="00A97DC1" w:rsidRDefault="00A97DC1" w:rsidP="00390B5F">
      <w:pPr>
        <w:spacing w:after="160" w:line="360" w:lineRule="auto"/>
        <w:jc w:val="both"/>
        <w:rPr>
          <w:rFonts w:ascii="Arial" w:eastAsia="Arial" w:hAnsi="Arial" w:cs="Arial"/>
          <w:sz w:val="24"/>
          <w:lang w:val="en-US"/>
        </w:rPr>
      </w:pPr>
    </w:p>
    <w:p w:rsidR="00A97DC1" w:rsidRPr="00A97DC1" w:rsidRDefault="00A97DC1" w:rsidP="00A97DC1">
      <w:pPr>
        <w:jc w:val="center"/>
        <w:rPr>
          <w:rFonts w:ascii="Cambria" w:eastAsia="MS Mincho" w:hAnsi="Cambria" w:cs="Times New Roman"/>
          <w:lang w:val="en-US"/>
        </w:rPr>
      </w:pPr>
      <w:proofErr w:type="gramStart"/>
      <w:r w:rsidRPr="00A97DC1">
        <w:rPr>
          <w:rFonts w:ascii="Arial" w:eastAsia="Arial" w:hAnsi="Arial" w:cs="Times New Roman"/>
          <w:b/>
          <w:i/>
          <w:sz w:val="20"/>
          <w:lang w:val="en-US"/>
        </w:rPr>
        <w:t>Table 1.</w:t>
      </w:r>
      <w:proofErr w:type="gramEnd"/>
      <w:r w:rsidRPr="00A97DC1">
        <w:rPr>
          <w:rFonts w:ascii="Arial" w:eastAsia="Arial" w:hAnsi="Arial" w:cs="Times New Roman"/>
          <w:b/>
          <w:i/>
          <w:sz w:val="20"/>
          <w:lang w:val="en-US"/>
        </w:rPr>
        <w:t xml:space="preserve"> Key Income Statement Indicators 2021–2025 (US$ million)</w:t>
      </w:r>
    </w:p>
    <w:tbl>
      <w:tblPr>
        <w:tblStyle w:val="TableGrid6"/>
        <w:tblW w:w="0" w:type="auto"/>
        <w:tblLook w:val="04A0" w:firstRow="1" w:lastRow="0" w:firstColumn="1" w:lastColumn="0" w:noHBand="0" w:noVBand="1"/>
      </w:tblPr>
      <w:tblGrid>
        <w:gridCol w:w="1504"/>
        <w:gridCol w:w="1504"/>
        <w:gridCol w:w="1504"/>
        <w:gridCol w:w="1504"/>
        <w:gridCol w:w="1504"/>
        <w:gridCol w:w="1504"/>
      </w:tblGrid>
      <w:tr w:rsidR="00A97DC1" w:rsidRPr="00A97DC1" w:rsidTr="00F65FEF">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Line Item</w:t>
            </w:r>
          </w:p>
        </w:tc>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2025</w:t>
            </w:r>
          </w:p>
        </w:tc>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2024</w:t>
            </w:r>
          </w:p>
        </w:tc>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2023</w:t>
            </w:r>
          </w:p>
        </w:tc>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2022</w:t>
            </w:r>
          </w:p>
        </w:tc>
        <w:tc>
          <w:tcPr>
            <w:tcW w:w="1504" w:type="dxa"/>
            <w:shd w:val="clear" w:color="auto" w:fill="1F4E79"/>
          </w:tcPr>
          <w:p w:rsidR="00A97DC1" w:rsidRPr="00A97DC1" w:rsidRDefault="00A97DC1" w:rsidP="00A97DC1">
            <w:pPr>
              <w:jc w:val="center"/>
              <w:rPr>
                <w:rFonts w:ascii="Cambria" w:hAnsi="Cambria" w:cs="Times New Roman"/>
              </w:rPr>
            </w:pPr>
            <w:r w:rsidRPr="00A97DC1">
              <w:rPr>
                <w:rFonts w:ascii="Arial" w:eastAsia="Arial" w:hAnsi="Arial" w:cs="Times New Roman"/>
                <w:b/>
                <w:color w:val="FFFFFF"/>
                <w:sz w:val="14"/>
              </w:rPr>
              <w:t>2021</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Revenue from fee business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1,897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1,774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1,672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1,434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1,153</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Revenue from owned, leased &amp; managed lease hotels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544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515</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471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394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237</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Revenue from insurance activities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15</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System Fund revenue</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1,717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928</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Reimbursable revenue</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1,004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589</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System Fund and reimbursable revenues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2,611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2,460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2,049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r>
      <w:tr w:rsidR="00A97DC1" w:rsidRPr="00A97DC1" w:rsidTr="00F65FEF">
        <w:tc>
          <w:tcPr>
            <w:tcW w:w="1504" w:type="dxa"/>
            <w:shd w:val="clear" w:color="auto" w:fill="D6EAF8"/>
          </w:tcPr>
          <w:p w:rsidR="00A97DC1" w:rsidRPr="00A97DC1" w:rsidRDefault="00A97DC1" w:rsidP="00A97DC1">
            <w:pPr>
              <w:rPr>
                <w:rFonts w:ascii="Cambria" w:hAnsi="Cambria" w:cs="Times New Roman"/>
              </w:rPr>
            </w:pPr>
            <w:r w:rsidRPr="00A97DC1">
              <w:rPr>
                <w:rFonts w:ascii="Arial" w:eastAsia="Arial" w:hAnsi="Arial" w:cs="Times New Roman"/>
                <w:b/>
                <w:sz w:val="14"/>
              </w:rPr>
              <w:t>Total revenue</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5,189</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4,923</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4,624</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3,892</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2,907</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Cost of sales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(794)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(745)</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(742)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(648)</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(486)</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System Fund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(1,763)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(939)</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Reimbursable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(1,004)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(589)</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System Fund and reimbursable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(2,694)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(2,441)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(2,154)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Administrative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(386)</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(359)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(338)</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(353)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(300)</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Insurance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Share of profits/(losses) of associates &amp; JVs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(59)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(8)</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Other operating income</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11</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 xml:space="preserve">Depreciation and </w:t>
            </w:r>
            <w:proofErr w:type="spellStart"/>
            <w:r w:rsidRPr="00A97DC1">
              <w:rPr>
                <w:rFonts w:ascii="Arial" w:eastAsia="Arial" w:hAnsi="Arial" w:cs="Times New Roman"/>
                <w:sz w:val="14"/>
              </w:rPr>
              <w:t>amortisation</w:t>
            </w:r>
            <w:proofErr w:type="spellEnd"/>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(72)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(65)</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(68)</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(98)</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Impairment &amp; other net charges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(4)</w:t>
            </w:r>
          </w:p>
        </w:tc>
      </w:tr>
      <w:tr w:rsidR="00A97DC1" w:rsidRPr="00A97DC1" w:rsidTr="00F65FEF">
        <w:tc>
          <w:tcPr>
            <w:tcW w:w="1504" w:type="dxa"/>
            <w:shd w:val="clear" w:color="auto" w:fill="D6EAF8"/>
          </w:tcPr>
          <w:p w:rsidR="00A97DC1" w:rsidRPr="00A97DC1" w:rsidRDefault="00A97DC1" w:rsidP="00A97DC1">
            <w:pPr>
              <w:rPr>
                <w:rFonts w:ascii="Cambria" w:hAnsi="Cambria" w:cs="Times New Roman"/>
              </w:rPr>
            </w:pPr>
            <w:r w:rsidRPr="00A97DC1">
              <w:rPr>
                <w:rFonts w:ascii="Arial" w:eastAsia="Arial" w:hAnsi="Arial" w:cs="Times New Roman"/>
                <w:b/>
                <w:sz w:val="14"/>
              </w:rPr>
              <w:t>Operating profit</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1,198</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1,041</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1,066</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628</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494</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Financial income</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63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8</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Financial expenses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(223)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(203)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(91)</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(118)</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(147)</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Fair value &amp; other items</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(87)</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(23)</w:t>
            </w:r>
          </w:p>
        </w:tc>
      </w:tr>
      <w:tr w:rsidR="00A97DC1" w:rsidRPr="00A97DC1" w:rsidTr="00F65FEF">
        <w:tc>
          <w:tcPr>
            <w:tcW w:w="1504" w:type="dxa"/>
            <w:shd w:val="clear" w:color="auto" w:fill="D6EAF8"/>
          </w:tcPr>
          <w:p w:rsidR="00A97DC1" w:rsidRPr="00A97DC1" w:rsidRDefault="00A97DC1" w:rsidP="00A97DC1">
            <w:pPr>
              <w:rPr>
                <w:rFonts w:ascii="Cambria" w:hAnsi="Cambria" w:cs="Times New Roman"/>
              </w:rPr>
            </w:pPr>
            <w:r w:rsidRPr="00A97DC1">
              <w:rPr>
                <w:rFonts w:ascii="Arial" w:eastAsia="Arial" w:hAnsi="Arial" w:cs="Times New Roman"/>
                <w:b/>
                <w:sz w:val="14"/>
              </w:rPr>
              <w:t>Profit before tax</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1,041</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897</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1,010</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540</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361</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Tax</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(283)</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(269)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(260)</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(164)</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(96)</w:t>
            </w:r>
          </w:p>
        </w:tc>
      </w:tr>
      <w:tr w:rsidR="00A97DC1" w:rsidRPr="00A97DC1" w:rsidTr="00F65FEF">
        <w:tc>
          <w:tcPr>
            <w:tcW w:w="1504" w:type="dxa"/>
            <w:shd w:val="clear" w:color="auto" w:fill="D6EAF8"/>
          </w:tcPr>
          <w:p w:rsidR="00A97DC1" w:rsidRPr="00A97DC1" w:rsidRDefault="00A97DC1" w:rsidP="00A97DC1">
            <w:pPr>
              <w:rPr>
                <w:rFonts w:ascii="Cambria" w:hAnsi="Cambria" w:cs="Times New Roman"/>
              </w:rPr>
            </w:pPr>
            <w:r w:rsidRPr="00A97DC1">
              <w:rPr>
                <w:rFonts w:ascii="Arial" w:eastAsia="Arial" w:hAnsi="Arial" w:cs="Times New Roman"/>
                <w:b/>
                <w:sz w:val="14"/>
              </w:rPr>
              <w:t>Profit for the year</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758</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628</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750</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376</w:t>
            </w:r>
          </w:p>
        </w:tc>
        <w:tc>
          <w:tcPr>
            <w:tcW w:w="1504" w:type="dxa"/>
            <w:shd w:val="clear" w:color="auto" w:fill="D6EAF8"/>
          </w:tcPr>
          <w:p w:rsidR="00A97DC1" w:rsidRPr="00A97DC1" w:rsidRDefault="00A97DC1" w:rsidP="00A97DC1">
            <w:pPr>
              <w:jc w:val="center"/>
              <w:rPr>
                <w:rFonts w:ascii="Cambria" w:hAnsi="Cambria" w:cs="Times New Roman"/>
              </w:rPr>
            </w:pPr>
            <w:r w:rsidRPr="00A97DC1">
              <w:rPr>
                <w:rFonts w:ascii="Arial" w:eastAsia="Arial" w:hAnsi="Arial" w:cs="Times New Roman"/>
                <w:b/>
                <w:sz w:val="14"/>
              </w:rPr>
              <w:t>265</w:t>
            </w:r>
          </w:p>
        </w:tc>
      </w:tr>
      <w:tr w:rsidR="00A97DC1" w:rsidRPr="00A97DC1" w:rsidTr="00F65FEF">
        <w:tc>
          <w:tcPr>
            <w:tcW w:w="1504" w:type="dxa"/>
          </w:tcPr>
          <w:p w:rsidR="00A97DC1" w:rsidRPr="00A97DC1" w:rsidRDefault="00A97DC1" w:rsidP="00A97DC1">
            <w:pPr>
              <w:rPr>
                <w:rFonts w:ascii="Cambria" w:hAnsi="Cambria" w:cs="Times New Roman"/>
              </w:rPr>
            </w:pPr>
            <w:r w:rsidRPr="00A97DC1">
              <w:rPr>
                <w:rFonts w:ascii="Arial" w:eastAsia="Arial" w:hAnsi="Arial" w:cs="Times New Roman"/>
                <w:sz w:val="14"/>
              </w:rPr>
              <w:t>Basic EPS (¢)</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490.9</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389.6</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443.8</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207.2</w:t>
            </w:r>
          </w:p>
        </w:tc>
        <w:tc>
          <w:tcPr>
            <w:tcW w:w="1504" w:type="dxa"/>
          </w:tcPr>
          <w:p w:rsidR="00A97DC1" w:rsidRPr="00A97DC1" w:rsidRDefault="00A97DC1" w:rsidP="00A97DC1">
            <w:pPr>
              <w:jc w:val="center"/>
              <w:rPr>
                <w:rFonts w:ascii="Cambria" w:hAnsi="Cambria" w:cs="Times New Roman"/>
              </w:rPr>
            </w:pPr>
            <w:r w:rsidRPr="00A97DC1">
              <w:rPr>
                <w:rFonts w:ascii="Arial" w:eastAsia="Arial" w:hAnsi="Arial" w:cs="Times New Roman"/>
                <w:sz w:val="14"/>
              </w:rPr>
              <w:t>145.4</w:t>
            </w:r>
          </w:p>
        </w:tc>
      </w:tr>
    </w:tbl>
    <w:p w:rsidR="00A97DC1" w:rsidRPr="00A97DC1" w:rsidRDefault="00A97DC1" w:rsidP="00A97DC1">
      <w:pPr>
        <w:jc w:val="center"/>
        <w:rPr>
          <w:rFonts w:ascii="Cambria" w:eastAsia="MS Mincho" w:hAnsi="Cambria" w:cs="Times New Roman"/>
          <w:lang w:val="en-US"/>
        </w:rPr>
      </w:pPr>
      <w:r w:rsidRPr="00A97DC1">
        <w:rPr>
          <w:rFonts w:ascii="Arial" w:eastAsia="Arial" w:hAnsi="Arial" w:cs="Times New Roman"/>
          <w:i/>
          <w:sz w:val="18"/>
          <w:lang w:val="en-US"/>
        </w:rPr>
        <w:t>Source: IHG Full Year Results 2021–2025; author’s calculations.</w:t>
      </w:r>
    </w:p>
    <w:p w:rsidR="00A97DC1" w:rsidRPr="00A97DC1" w:rsidRDefault="00A97DC1" w:rsidP="00A97DC1">
      <w:pPr>
        <w:spacing w:after="160" w:line="360" w:lineRule="auto"/>
        <w:jc w:val="both"/>
        <w:rPr>
          <w:rFonts w:ascii="Cambria" w:eastAsia="MS Mincho" w:hAnsi="Cambria" w:cs="Times New Roman"/>
          <w:lang w:val="en-US"/>
        </w:rPr>
      </w:pPr>
      <w:r w:rsidRPr="00A97DC1">
        <w:rPr>
          <w:rFonts w:ascii="Arial" w:eastAsia="Arial" w:hAnsi="Arial" w:cs="Times New Roman"/>
          <w:sz w:val="24"/>
          <w:lang w:val="en-US"/>
        </w:rPr>
        <w:t xml:space="preserve">Turning to the balance sheet, total assets increased from US$4,716 million in 2021 to US$5,345 million in 2025. Property, plant and equipment remains modest (approximately US$148 million in 2025), confirming the asset-light character of the business. Cash and cash equivalents have fluctuated with the timing of shareholder returns and debt issuance, ending 2025 at US$1,129 million. Trade and other receivables have grown broadly in line with revenue. Shareholders’ equity has been negative throughout the period, declining from –US$1,474 million to –US$2,736 million, primarily as a result of share buybacks and dividends that have exceeded retained earnings (IHG, 2026a). Net debt rose from approximately US$1.4 billion to </w:t>
      </w:r>
      <w:r w:rsidRPr="00A97DC1">
        <w:rPr>
          <w:rFonts w:ascii="Arial" w:eastAsia="Arial" w:hAnsi="Arial" w:cs="Times New Roman"/>
          <w:sz w:val="24"/>
          <w:lang w:val="en-US"/>
        </w:rPr>
        <w:lastRenderedPageBreak/>
        <w:t>US$3.3 billion, yet</w:t>
      </w:r>
      <w:r w:rsidR="00220ECC">
        <w:rPr>
          <w:rFonts w:ascii="Arial" w:eastAsia="Arial" w:hAnsi="Arial" w:cs="Times New Roman"/>
          <w:sz w:val="24"/>
          <w:lang w:val="en-US"/>
        </w:rPr>
        <w:t xml:space="preserve"> the key leverage metric net debt / adjusted EBITDA </w:t>
      </w:r>
      <w:r w:rsidRPr="00A97DC1">
        <w:rPr>
          <w:rFonts w:ascii="Arial" w:eastAsia="Arial" w:hAnsi="Arial" w:cs="Times New Roman"/>
          <w:sz w:val="24"/>
          <w:lang w:val="en-US"/>
        </w:rPr>
        <w:t xml:space="preserve"> remained within a controlled range of 2.1x–3.0x (IHG, 2026a).</w:t>
      </w:r>
    </w:p>
    <w:p w:rsidR="00220ECC" w:rsidRPr="00220ECC" w:rsidRDefault="00220ECC" w:rsidP="00220ECC">
      <w:pPr>
        <w:jc w:val="center"/>
        <w:rPr>
          <w:rFonts w:ascii="Cambria" w:eastAsia="MS Mincho" w:hAnsi="Cambria" w:cs="Times New Roman"/>
          <w:lang w:val="en-US"/>
        </w:rPr>
      </w:pPr>
      <w:proofErr w:type="gramStart"/>
      <w:r w:rsidRPr="00220ECC">
        <w:rPr>
          <w:rFonts w:ascii="Arial" w:eastAsia="Arial" w:hAnsi="Arial" w:cs="Times New Roman"/>
          <w:b/>
          <w:i/>
          <w:sz w:val="20"/>
          <w:lang w:val="en-US"/>
        </w:rPr>
        <w:t>Table 2.</w:t>
      </w:r>
      <w:proofErr w:type="gramEnd"/>
      <w:r w:rsidRPr="00220ECC">
        <w:rPr>
          <w:rFonts w:ascii="Arial" w:eastAsia="Arial" w:hAnsi="Arial" w:cs="Times New Roman"/>
          <w:b/>
          <w:i/>
          <w:sz w:val="20"/>
          <w:lang w:val="en-US"/>
        </w:rPr>
        <w:t xml:space="preserve"> Selected Balance Sheet Items 2021–2025 (US$ million)</w:t>
      </w:r>
    </w:p>
    <w:tbl>
      <w:tblPr>
        <w:tblStyle w:val="TableGrid7"/>
        <w:tblW w:w="0" w:type="auto"/>
        <w:tblLook w:val="04A0" w:firstRow="1" w:lastRow="0" w:firstColumn="1" w:lastColumn="0" w:noHBand="0" w:noVBand="1"/>
      </w:tblPr>
      <w:tblGrid>
        <w:gridCol w:w="1504"/>
        <w:gridCol w:w="1504"/>
        <w:gridCol w:w="1504"/>
        <w:gridCol w:w="1504"/>
        <w:gridCol w:w="1504"/>
        <w:gridCol w:w="1504"/>
      </w:tblGrid>
      <w:tr w:rsidR="00220ECC" w:rsidRPr="00220ECC" w:rsidTr="00F65FEF">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Line Item</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2025</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2024</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2023</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2022</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4"/>
              </w:rPr>
              <w:t>2021</w:t>
            </w:r>
          </w:p>
        </w:tc>
      </w:tr>
      <w:tr w:rsidR="00220ECC" w:rsidRPr="00220ECC" w:rsidTr="00F65FEF">
        <w:tc>
          <w:tcPr>
            <w:tcW w:w="1504" w:type="dxa"/>
            <w:shd w:val="clear" w:color="auto" w:fill="2E75B6"/>
          </w:tcPr>
          <w:p w:rsidR="00220ECC" w:rsidRPr="00220ECC" w:rsidRDefault="00220ECC" w:rsidP="00220ECC">
            <w:pPr>
              <w:rPr>
                <w:rFonts w:ascii="Cambria" w:hAnsi="Cambria" w:cs="Times New Roman"/>
              </w:rPr>
            </w:pPr>
            <w:r w:rsidRPr="00220ECC">
              <w:rPr>
                <w:rFonts w:ascii="Arial" w:eastAsia="Arial" w:hAnsi="Arial" w:cs="Times New Roman"/>
                <w:b/>
                <w:color w:val="FFFFFF"/>
                <w:sz w:val="14"/>
              </w:rPr>
              <w:t>ASSETS</w:t>
            </w: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Goodwill and other intangible assets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1,155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1,042</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1,099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1,144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1,100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Property, plant and equipment</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148</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146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153</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157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150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Right-of-use assets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269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276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273</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280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270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Investment in associates and JVs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51</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48</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Other non-current assets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734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1,364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1,111</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921</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832</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non-current assets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3,296</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2,879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2,684</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2,538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2,382</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Inventories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Trade and other receivables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860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807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755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662</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575</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Cash and cash equivalents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1,129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1,008</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1,322</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976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1,450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Other current assets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36</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current assets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2,049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1,869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2,129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1,678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2,066</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ASSETS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5,345</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4,748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4,813</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4,216</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4,448</w:t>
            </w:r>
          </w:p>
        </w:tc>
      </w:tr>
      <w:tr w:rsidR="00220ECC" w:rsidRPr="00220ECC" w:rsidTr="00F65FEF">
        <w:tc>
          <w:tcPr>
            <w:tcW w:w="1504" w:type="dxa"/>
            <w:shd w:val="clear" w:color="auto" w:fill="2E75B6"/>
          </w:tcPr>
          <w:p w:rsidR="00220ECC" w:rsidRPr="00220ECC" w:rsidRDefault="00220ECC" w:rsidP="00220ECC">
            <w:pPr>
              <w:rPr>
                <w:rFonts w:ascii="Cambria" w:hAnsi="Cambria" w:cs="Times New Roman"/>
              </w:rPr>
            </w:pPr>
            <w:r w:rsidRPr="00220ECC">
              <w:rPr>
                <w:rFonts w:ascii="Arial" w:eastAsia="Arial" w:hAnsi="Arial" w:cs="Times New Roman"/>
                <w:b/>
                <w:color w:val="FFFFFF"/>
                <w:sz w:val="14"/>
              </w:rPr>
              <w:t>LIABILITIES</w:t>
            </w: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c>
          <w:tcPr>
            <w:tcW w:w="1504" w:type="dxa"/>
            <w:shd w:val="clear" w:color="auto" w:fill="2E75B6"/>
          </w:tcPr>
          <w:p w:rsidR="00220ECC" w:rsidRPr="00220ECC" w:rsidRDefault="00220ECC" w:rsidP="00220ECC">
            <w:pPr>
              <w:jc w:val="center"/>
              <w:rPr>
                <w:rFonts w:ascii="Cambria" w:hAnsi="Cambria" w:cs="Times New Roman"/>
              </w:rPr>
            </w:pP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current liabilities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(2,100)</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(1,928)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(2,190)</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(1,544)</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(1,624)</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Loans and borrowings (non-current)</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(3,723)</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(2,876)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(2,567)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(2,341)</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(2,200)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Lease liabilities (non-current)</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(378)</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(388)</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(396)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(401)</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(380)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Deferred revenue (non-current)</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(1,340)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(1,294)</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(1,096)</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(1,043)</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(900)</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sz w:val="14"/>
              </w:rPr>
              <w:t>Other non-current liabilities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(540)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(570)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(510)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(495)</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4"/>
              </w:rPr>
              <w:t>(435)</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non-current liabilities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(5,981)</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(5,128)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(4,569)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(4,280)</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(3,915)</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LIABILITIES</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(8,081)</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(7,056)</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(6,759)</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(5,824)</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(5,539)</w:t>
            </w:r>
          </w:p>
        </w:tc>
      </w:tr>
      <w:tr w:rsidR="00220ECC" w:rsidRPr="00220ECC" w:rsidTr="00F65FEF">
        <w:tc>
          <w:tcPr>
            <w:tcW w:w="1504" w:type="dxa"/>
            <w:shd w:val="clear" w:color="auto" w:fill="D6EAF8"/>
          </w:tcPr>
          <w:p w:rsidR="00220ECC" w:rsidRPr="00220ECC" w:rsidRDefault="00220ECC" w:rsidP="00220ECC">
            <w:pPr>
              <w:rPr>
                <w:rFonts w:ascii="Cambria" w:hAnsi="Cambria" w:cs="Times New Roman"/>
              </w:rPr>
            </w:pPr>
            <w:r w:rsidRPr="00220ECC">
              <w:rPr>
                <w:rFonts w:ascii="Arial" w:eastAsia="Arial" w:hAnsi="Arial" w:cs="Times New Roman"/>
                <w:b/>
                <w:sz w:val="14"/>
              </w:rPr>
              <w:t>TOTAL EQUITY (negative)</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(2,736)</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(2,308)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(1,946)</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(1,608)</w:t>
            </w:r>
          </w:p>
        </w:tc>
        <w:tc>
          <w:tcPr>
            <w:tcW w:w="1504" w:type="dxa"/>
            <w:shd w:val="clear" w:color="auto" w:fill="D6EAF8"/>
          </w:tcPr>
          <w:p w:rsidR="00220ECC" w:rsidRPr="00220ECC" w:rsidRDefault="00220ECC" w:rsidP="00220ECC">
            <w:pPr>
              <w:jc w:val="center"/>
              <w:rPr>
                <w:rFonts w:ascii="Cambria" w:hAnsi="Cambria" w:cs="Times New Roman"/>
              </w:rPr>
            </w:pPr>
            <w:r w:rsidRPr="00220ECC">
              <w:rPr>
                <w:rFonts w:ascii="Arial" w:eastAsia="Arial" w:hAnsi="Arial" w:cs="Times New Roman"/>
                <w:b/>
                <w:sz w:val="14"/>
              </w:rPr>
              <w:t>(1,091)</w:t>
            </w:r>
          </w:p>
        </w:tc>
      </w:tr>
    </w:tbl>
    <w:p w:rsidR="00220ECC" w:rsidRPr="00690D65" w:rsidRDefault="00220ECC" w:rsidP="00220ECC">
      <w:pPr>
        <w:jc w:val="center"/>
        <w:rPr>
          <w:rFonts w:ascii="Cambria" w:eastAsia="MS Mincho" w:hAnsi="Cambria" w:cs="Times New Roman"/>
          <w:sz w:val="18"/>
          <w:szCs w:val="18"/>
          <w:lang w:val="en-US"/>
        </w:rPr>
      </w:pPr>
      <w:r w:rsidRPr="00690D65">
        <w:rPr>
          <w:rFonts w:ascii="Arial" w:eastAsia="Arial" w:hAnsi="Arial" w:cs="Times New Roman"/>
          <w:sz w:val="18"/>
          <w:szCs w:val="18"/>
          <w:lang w:val="en-US"/>
        </w:rPr>
        <w:t xml:space="preserve">Source: IHG Annual Reports / Form 20-F and Full Year Results. </w:t>
      </w:r>
      <w:proofErr w:type="gramStart"/>
      <w:r w:rsidRPr="00690D65">
        <w:rPr>
          <w:rFonts w:ascii="Arial" w:eastAsia="Arial" w:hAnsi="Arial" w:cs="Times New Roman"/>
          <w:sz w:val="18"/>
          <w:szCs w:val="18"/>
          <w:lang w:val="en-US"/>
        </w:rPr>
        <w:t>Equity negative due to cumulative buybacks.</w:t>
      </w:r>
      <w:proofErr w:type="gramEnd"/>
      <w:r w:rsidRPr="00690D65">
        <w:rPr>
          <w:rFonts w:ascii="Arial" w:eastAsia="Arial" w:hAnsi="Arial" w:cs="Times New Roman"/>
          <w:sz w:val="18"/>
          <w:szCs w:val="18"/>
          <w:lang w:val="en-US"/>
        </w:rPr>
        <w:t xml:space="preserve"> </w:t>
      </w:r>
      <w:proofErr w:type="gramStart"/>
      <w:r w:rsidRPr="00690D65">
        <w:rPr>
          <w:rFonts w:ascii="Arial" w:eastAsia="Arial" w:hAnsi="Arial" w:cs="Times New Roman"/>
          <w:sz w:val="18"/>
          <w:szCs w:val="18"/>
          <w:lang w:val="en-US"/>
        </w:rPr>
        <w:t>Full line-by-line detail in Appendix B.</w:t>
      </w:r>
      <w:proofErr w:type="gramEnd"/>
    </w:p>
    <w:p w:rsidR="00171B43" w:rsidRDefault="00220ECC" w:rsidP="00690D65">
      <w:pPr>
        <w:spacing w:after="160" w:line="360" w:lineRule="auto"/>
        <w:jc w:val="both"/>
        <w:rPr>
          <w:rFonts w:ascii="Cambria" w:eastAsia="MS Mincho" w:hAnsi="Cambria" w:cs="Times New Roman"/>
          <w:lang w:val="en-US"/>
        </w:rPr>
      </w:pPr>
      <w:r w:rsidRPr="00220ECC">
        <w:rPr>
          <w:rFonts w:ascii="Arial" w:eastAsia="Arial" w:hAnsi="Arial" w:cs="Times New Roman"/>
          <w:sz w:val="24"/>
          <w:lang w:val="en-US"/>
        </w:rPr>
        <w:t xml:space="preserve">The cash-flow statement demonstrates consistently positive net cash from operating activities (US$636 million in 2021 rising to US$898 million in 2025) and robust adjusted free cash flow, which reached US$893 million in 2025. This cash generation has funded ordinary dividends, substantial share-repurchase </w:t>
      </w:r>
      <w:r w:rsidR="00585BFA" w:rsidRPr="00220ECC">
        <w:rPr>
          <w:rFonts w:ascii="Arial" w:eastAsia="Arial" w:hAnsi="Arial" w:cs="Times New Roman"/>
          <w:sz w:val="24"/>
          <w:lang w:val="en-US"/>
        </w:rPr>
        <w:t>programs</w:t>
      </w:r>
      <w:r w:rsidRPr="00220ECC">
        <w:rPr>
          <w:rFonts w:ascii="Arial" w:eastAsia="Arial" w:hAnsi="Arial" w:cs="Times New Roman"/>
          <w:sz w:val="24"/>
          <w:lang w:val="en-US"/>
        </w:rPr>
        <w:t xml:space="preserve"> (more than US$1.1 billion returned in 2025 alone) and selective acquisitions, while still preserving an investment-grade credit profile (IHG, 2026a; S&amp;P Global, 2025).</w:t>
      </w:r>
    </w:p>
    <w:p w:rsidR="00690D65" w:rsidRPr="00690D65" w:rsidRDefault="00690D65" w:rsidP="00690D65">
      <w:pPr>
        <w:spacing w:after="160" w:line="360" w:lineRule="auto"/>
        <w:jc w:val="both"/>
        <w:rPr>
          <w:rFonts w:ascii="Cambria" w:eastAsia="MS Mincho" w:hAnsi="Cambria" w:cs="Times New Roman"/>
          <w:lang w:val="en-US"/>
        </w:rPr>
      </w:pPr>
    </w:p>
    <w:p w:rsidR="00220ECC" w:rsidRPr="00171B43" w:rsidRDefault="00171B43" w:rsidP="00171B43">
      <w:pPr>
        <w:keepNext/>
        <w:keepLines/>
        <w:numPr>
          <w:ilvl w:val="1"/>
          <w:numId w:val="2"/>
        </w:numPr>
        <w:spacing w:before="200" w:after="0" w:line="360" w:lineRule="auto"/>
        <w:outlineLvl w:val="1"/>
        <w:rPr>
          <w:rFonts w:ascii="Arial" w:eastAsia="MS Gothic" w:hAnsi="Arial" w:cs="Arial"/>
          <w:b/>
          <w:bCs/>
          <w:sz w:val="26"/>
          <w:szCs w:val="26"/>
          <w:lang w:val="en-US"/>
        </w:rPr>
      </w:pPr>
      <w:r w:rsidRPr="00F52350">
        <w:rPr>
          <w:rFonts w:ascii="Arial" w:eastAsia="Arial" w:hAnsi="Arial" w:cs="Arial"/>
          <w:b/>
          <w:bCs/>
          <w:sz w:val="28"/>
          <w:szCs w:val="26"/>
          <w:lang w:val="en-US"/>
        </w:rPr>
        <w:t xml:space="preserve">  </w:t>
      </w:r>
      <w:bookmarkStart w:id="4" w:name="_Toc237510906"/>
      <w:r w:rsidRPr="00F52350">
        <w:rPr>
          <w:rFonts w:ascii="Arial" w:eastAsia="Arial" w:hAnsi="Arial" w:cs="Arial"/>
          <w:b/>
          <w:bCs/>
          <w:sz w:val="28"/>
          <w:szCs w:val="26"/>
          <w:lang w:val="en-US"/>
        </w:rPr>
        <w:t>Comprehensive Ratio Analysis</w:t>
      </w:r>
      <w:bookmarkEnd w:id="4"/>
    </w:p>
    <w:p w:rsidR="00220ECC" w:rsidRPr="00220ECC" w:rsidRDefault="00220ECC" w:rsidP="00220ECC">
      <w:pPr>
        <w:spacing w:after="160" w:line="360" w:lineRule="auto"/>
        <w:jc w:val="both"/>
        <w:rPr>
          <w:rFonts w:ascii="Cambria" w:eastAsia="MS Mincho" w:hAnsi="Cambria" w:cs="Times New Roman"/>
          <w:lang w:val="en-US"/>
        </w:rPr>
      </w:pPr>
      <w:r w:rsidRPr="00220ECC">
        <w:rPr>
          <w:rFonts w:ascii="Arial" w:eastAsia="Arial" w:hAnsi="Arial" w:cs="Times New Roman"/>
          <w:sz w:val="24"/>
          <w:lang w:val="en-US"/>
        </w:rPr>
        <w:t>A multi-dimensional ratio analysis covering profitability, liquidity, efficiency, gearing, investment and cash-flow metrics is presented below and in the accompanying Excel workbook (sheet “Ratios_5yr”).</w:t>
      </w:r>
    </w:p>
    <w:p w:rsidR="00220ECC" w:rsidRPr="00220ECC" w:rsidRDefault="00220ECC" w:rsidP="00220ECC">
      <w:pPr>
        <w:spacing w:after="160" w:line="360" w:lineRule="auto"/>
        <w:jc w:val="both"/>
        <w:rPr>
          <w:rFonts w:ascii="Cambria" w:eastAsia="MS Mincho" w:hAnsi="Cambria" w:cs="Times New Roman"/>
          <w:lang w:val="en-US"/>
        </w:rPr>
      </w:pPr>
      <w:r>
        <w:rPr>
          <w:rFonts w:ascii="Arial" w:eastAsia="Arial" w:hAnsi="Arial" w:cs="Times New Roman"/>
          <w:sz w:val="24"/>
          <w:lang w:val="en-US"/>
        </w:rPr>
        <w:lastRenderedPageBreak/>
        <w:t>Profitability:</w:t>
      </w:r>
      <w:r w:rsidRPr="00220ECC">
        <w:rPr>
          <w:rFonts w:ascii="Arial" w:eastAsia="Arial" w:hAnsi="Arial" w:cs="Times New Roman"/>
          <w:sz w:val="24"/>
          <w:lang w:val="en-US"/>
        </w:rPr>
        <w:t xml:space="preserve"> Operating margin (IFRS) improved from 17.0 per cent in 2021 to 23.1 per cent in 2025, while net profit margin rose from 9.1 per cent to 14.6 per cent. The fee margin expansion to 64.8 per cent is the clearest indicator of the model’s inherent leverage. Return on assets (ROA) more than doubled from 5.6 per cent to 14.2 per cent, reflecting both higher absolute profits and efficient </w:t>
      </w:r>
      <w:r w:rsidR="00690D65" w:rsidRPr="00220ECC">
        <w:rPr>
          <w:rFonts w:ascii="Arial" w:eastAsia="Arial" w:hAnsi="Arial" w:cs="Times New Roman"/>
          <w:sz w:val="24"/>
          <w:lang w:val="en-US"/>
        </w:rPr>
        <w:t>utilization</w:t>
      </w:r>
      <w:r w:rsidRPr="00220ECC">
        <w:rPr>
          <w:rFonts w:ascii="Arial" w:eastAsia="Arial" w:hAnsi="Arial" w:cs="Times New Roman"/>
          <w:sz w:val="24"/>
          <w:lang w:val="en-US"/>
        </w:rPr>
        <w:t xml:space="preserve"> of a lean asset base (Watson and Head, 2019).</w:t>
      </w:r>
    </w:p>
    <w:p w:rsidR="00A97DC1" w:rsidRDefault="00220ECC" w:rsidP="00390B5F">
      <w:pPr>
        <w:spacing w:after="160" w:line="360" w:lineRule="auto"/>
        <w:jc w:val="both"/>
        <w:rPr>
          <w:rFonts w:ascii="Arial" w:eastAsia="Arial" w:hAnsi="Arial" w:cs="Arial"/>
          <w:sz w:val="24"/>
          <w:lang w:val="en-US"/>
        </w:rPr>
      </w:pPr>
      <w:r w:rsidRPr="00220ECC">
        <w:rPr>
          <w:rFonts w:ascii="Cambria" w:eastAsia="MS Mincho" w:hAnsi="Cambria" w:cs="Times New Roman"/>
          <w:noProof/>
          <w:lang w:eastAsia="en-GB"/>
        </w:rPr>
        <w:drawing>
          <wp:inline distT="0" distB="0" distL="0" distR="0" wp14:anchorId="3D65CCF4" wp14:editId="05748B5B">
            <wp:extent cx="5120640" cy="281922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Profit_Margins.png"/>
                    <pic:cNvPicPr/>
                  </pic:nvPicPr>
                  <pic:blipFill>
                    <a:blip r:embed="rId9"/>
                    <a:stretch>
                      <a:fillRect/>
                    </a:stretch>
                  </pic:blipFill>
                  <pic:spPr>
                    <a:xfrm>
                      <a:off x="0" y="0"/>
                      <a:ext cx="5120640" cy="2819229"/>
                    </a:xfrm>
                    <a:prstGeom prst="rect">
                      <a:avLst/>
                    </a:prstGeom>
                  </pic:spPr>
                </pic:pic>
              </a:graphicData>
            </a:graphic>
          </wp:inline>
        </w:drawing>
      </w:r>
    </w:p>
    <w:p w:rsidR="00220ECC" w:rsidRPr="00220ECC" w:rsidRDefault="00220ECC" w:rsidP="00220ECC">
      <w:pPr>
        <w:jc w:val="center"/>
        <w:rPr>
          <w:rFonts w:ascii="Cambria" w:eastAsia="MS Mincho" w:hAnsi="Cambria" w:cs="Times New Roman"/>
          <w:lang w:val="en-US"/>
        </w:rPr>
      </w:pPr>
      <w:proofErr w:type="gramStart"/>
      <w:r w:rsidRPr="00220ECC">
        <w:rPr>
          <w:rFonts w:ascii="Arial" w:eastAsia="Arial" w:hAnsi="Arial" w:cs="Times New Roman"/>
          <w:b/>
          <w:i/>
          <w:sz w:val="18"/>
          <w:lang w:val="en-US"/>
        </w:rPr>
        <w:t>Figure 2.</w:t>
      </w:r>
      <w:proofErr w:type="gramEnd"/>
      <w:r w:rsidRPr="00220ECC">
        <w:rPr>
          <w:rFonts w:ascii="Arial" w:eastAsia="Arial" w:hAnsi="Arial" w:cs="Times New Roman"/>
          <w:b/>
          <w:i/>
          <w:sz w:val="18"/>
          <w:lang w:val="en-US"/>
        </w:rPr>
        <w:t xml:space="preserve"> Operating and Net Profit Margins 2021–2025</w:t>
      </w:r>
    </w:p>
    <w:p w:rsidR="00220ECC" w:rsidRPr="00690D65" w:rsidRDefault="00220ECC" w:rsidP="00220ECC">
      <w:pPr>
        <w:jc w:val="center"/>
        <w:rPr>
          <w:rFonts w:ascii="Cambria" w:eastAsia="MS Mincho" w:hAnsi="Cambria" w:cs="Times New Roman"/>
          <w:sz w:val="18"/>
          <w:szCs w:val="18"/>
          <w:lang w:val="en-US"/>
        </w:rPr>
      </w:pPr>
      <w:r w:rsidRPr="00690D65">
        <w:rPr>
          <w:rFonts w:ascii="Arial" w:eastAsia="Arial" w:hAnsi="Arial" w:cs="Times New Roman"/>
          <w:sz w:val="18"/>
          <w:szCs w:val="18"/>
          <w:lang w:val="en-US"/>
        </w:rPr>
        <w:t>Source: Author’s chart from ratio calculations (Table 3).</w:t>
      </w:r>
    </w:p>
    <w:p w:rsidR="00171B43" w:rsidRDefault="00220ECC" w:rsidP="00390B5F">
      <w:pPr>
        <w:spacing w:after="160" w:line="360" w:lineRule="auto"/>
        <w:jc w:val="both"/>
        <w:rPr>
          <w:rFonts w:ascii="Cambria" w:eastAsia="MS Mincho" w:hAnsi="Cambria" w:cs="Times New Roman"/>
          <w:lang w:val="en-US"/>
        </w:rPr>
      </w:pPr>
      <w:r>
        <w:rPr>
          <w:rFonts w:ascii="Arial" w:eastAsia="Arial" w:hAnsi="Arial" w:cs="Times New Roman"/>
          <w:sz w:val="24"/>
          <w:lang w:val="en-US"/>
        </w:rPr>
        <w:t>Liquidity:</w:t>
      </w:r>
      <w:r w:rsidRPr="00220ECC">
        <w:rPr>
          <w:rFonts w:ascii="Arial" w:eastAsia="Arial" w:hAnsi="Arial" w:cs="Times New Roman"/>
          <w:sz w:val="24"/>
          <w:lang w:val="en-US"/>
        </w:rPr>
        <w:t xml:space="preserve"> The current ratio has hovered around 1.0 (0.97–1.27), the quick ratio is virtually identical because inventory is negligible, and the cash ratio has declined modestly from 0.89 to approximately 0.54. These levels are typical of asset-light hospitality companies that generate predictable fee cash flows and maintain undrawn revolving credit facilities (</w:t>
      </w:r>
      <w:proofErr w:type="spellStart"/>
      <w:r w:rsidRPr="00220ECC">
        <w:rPr>
          <w:rFonts w:ascii="Arial" w:eastAsia="Arial" w:hAnsi="Arial" w:cs="Times New Roman"/>
          <w:sz w:val="24"/>
          <w:lang w:val="en-US"/>
        </w:rPr>
        <w:t>Brealey</w:t>
      </w:r>
      <w:proofErr w:type="spellEnd"/>
      <w:r w:rsidRPr="00220ECC">
        <w:rPr>
          <w:rFonts w:ascii="Arial" w:eastAsia="Arial" w:hAnsi="Arial" w:cs="Times New Roman"/>
          <w:sz w:val="24"/>
          <w:lang w:val="en-US"/>
        </w:rPr>
        <w:t xml:space="preserve"> et al., 2023).</w:t>
      </w:r>
    </w:p>
    <w:p w:rsidR="00690D65" w:rsidRDefault="00690D65" w:rsidP="00390B5F">
      <w:pPr>
        <w:spacing w:after="160" w:line="360" w:lineRule="auto"/>
        <w:jc w:val="both"/>
        <w:rPr>
          <w:rFonts w:ascii="Cambria" w:eastAsia="MS Mincho" w:hAnsi="Cambria" w:cs="Times New Roman"/>
          <w:lang w:val="en-US"/>
        </w:rPr>
      </w:pPr>
    </w:p>
    <w:p w:rsidR="00690D65" w:rsidRPr="00690D65" w:rsidRDefault="00690D65" w:rsidP="00390B5F">
      <w:pPr>
        <w:spacing w:after="160" w:line="360" w:lineRule="auto"/>
        <w:jc w:val="both"/>
        <w:rPr>
          <w:rFonts w:ascii="Cambria" w:eastAsia="MS Mincho" w:hAnsi="Cambria" w:cs="Times New Roman"/>
          <w:lang w:val="en-US"/>
        </w:rPr>
      </w:pPr>
    </w:p>
    <w:p w:rsidR="00220ECC" w:rsidRPr="00220ECC" w:rsidRDefault="00220ECC" w:rsidP="00220ECC">
      <w:pPr>
        <w:jc w:val="center"/>
        <w:rPr>
          <w:rFonts w:ascii="Cambria" w:eastAsia="MS Mincho" w:hAnsi="Cambria" w:cs="Times New Roman"/>
          <w:lang w:val="en-US"/>
        </w:rPr>
      </w:pPr>
      <w:proofErr w:type="gramStart"/>
      <w:r w:rsidRPr="00220ECC">
        <w:rPr>
          <w:rFonts w:ascii="Arial" w:eastAsia="Arial" w:hAnsi="Arial" w:cs="Times New Roman"/>
          <w:b/>
          <w:i/>
          <w:sz w:val="20"/>
          <w:lang w:val="en-US"/>
        </w:rPr>
        <w:t>Table 4.</w:t>
      </w:r>
      <w:proofErr w:type="gramEnd"/>
      <w:r w:rsidRPr="00220ECC">
        <w:rPr>
          <w:rFonts w:ascii="Arial" w:eastAsia="Arial" w:hAnsi="Arial" w:cs="Times New Roman"/>
          <w:b/>
          <w:i/>
          <w:sz w:val="20"/>
          <w:lang w:val="en-US"/>
        </w:rPr>
        <w:t xml:space="preserve"> Liquidity Ratios 2021–2025</w:t>
      </w:r>
    </w:p>
    <w:tbl>
      <w:tblPr>
        <w:tblStyle w:val="TableGrid8"/>
        <w:tblW w:w="0" w:type="auto"/>
        <w:tblLook w:val="04A0" w:firstRow="1" w:lastRow="0" w:firstColumn="1" w:lastColumn="0" w:noHBand="0" w:noVBand="1"/>
      </w:tblPr>
      <w:tblGrid>
        <w:gridCol w:w="1504"/>
        <w:gridCol w:w="1504"/>
        <w:gridCol w:w="1504"/>
        <w:gridCol w:w="1504"/>
        <w:gridCol w:w="1504"/>
        <w:gridCol w:w="1504"/>
      </w:tblGrid>
      <w:tr w:rsidR="00220ECC" w:rsidRPr="00220ECC" w:rsidTr="00F65FEF">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Ratio</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2021</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2022</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2023</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2024</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2025</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Current Ratio</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1.27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1.09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0.98</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Quick Ratio</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1.27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1.09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Cash Ratio</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0.89</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0.63</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0.60</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0.52</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0.54</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OCF / Current Liabilities</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0.39x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0.42x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0.41x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0.38x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0.43x</w:t>
            </w:r>
          </w:p>
        </w:tc>
      </w:tr>
    </w:tbl>
    <w:p w:rsidR="00220ECC" w:rsidRPr="00690D65" w:rsidRDefault="00220ECC" w:rsidP="00220ECC">
      <w:pPr>
        <w:jc w:val="center"/>
        <w:rPr>
          <w:rFonts w:ascii="Cambria" w:eastAsia="MS Mincho" w:hAnsi="Cambria" w:cs="Times New Roman"/>
          <w:sz w:val="20"/>
          <w:szCs w:val="20"/>
          <w:lang w:val="en-US"/>
        </w:rPr>
      </w:pPr>
      <w:r w:rsidRPr="00690D65">
        <w:rPr>
          <w:rFonts w:ascii="Arial" w:eastAsia="Arial" w:hAnsi="Arial" w:cs="Times New Roman"/>
          <w:sz w:val="20"/>
          <w:szCs w:val="20"/>
          <w:lang w:val="en-US"/>
        </w:rPr>
        <w:t>Source: Author’s calculations. Current Ratio = CA/CL; Quick = (CA−Inventory)/CL; Cash = Cash/CL; OCF Ratio = Operating Cash Flow/CL.</w:t>
      </w:r>
    </w:p>
    <w:p w:rsidR="00220ECC" w:rsidRDefault="00220ECC" w:rsidP="00220ECC">
      <w:pPr>
        <w:spacing w:after="160" w:line="360" w:lineRule="auto"/>
        <w:jc w:val="both"/>
        <w:rPr>
          <w:rFonts w:ascii="Arial" w:eastAsia="Arial" w:hAnsi="Arial" w:cs="Times New Roman"/>
          <w:sz w:val="24"/>
          <w:lang w:val="en-US"/>
        </w:rPr>
      </w:pPr>
      <w:r>
        <w:rPr>
          <w:rFonts w:ascii="Arial" w:eastAsia="Arial" w:hAnsi="Arial" w:cs="Times New Roman"/>
          <w:sz w:val="24"/>
          <w:lang w:val="en-US"/>
        </w:rPr>
        <w:lastRenderedPageBreak/>
        <w:t>Efficiency:</w:t>
      </w:r>
      <w:r w:rsidRPr="00220ECC">
        <w:rPr>
          <w:rFonts w:ascii="Arial" w:eastAsia="Arial" w:hAnsi="Arial" w:cs="Times New Roman"/>
          <w:sz w:val="24"/>
          <w:lang w:val="en-US"/>
        </w:rPr>
        <w:t xml:space="preserve"> Asset turnover improved from 0.62x to approximately 0.97x, while fixed-asset turnover remains extraordinarily high (around 35x) because of the minimal owned PPE. Receivable days (DSO) stabilized near 60 days after an improvement from 72 days in 2021.</w:t>
      </w:r>
    </w:p>
    <w:p w:rsidR="00220ECC" w:rsidRPr="00220ECC" w:rsidRDefault="00690D65" w:rsidP="00220ECC">
      <w:pPr>
        <w:jc w:val="center"/>
        <w:rPr>
          <w:rFonts w:ascii="Cambria" w:eastAsia="MS Mincho" w:hAnsi="Cambria" w:cs="Times New Roman"/>
          <w:lang w:val="en-US"/>
        </w:rPr>
      </w:pPr>
      <w:r>
        <w:rPr>
          <w:rFonts w:ascii="Arial" w:eastAsia="Arial" w:hAnsi="Arial" w:cs="Times New Roman"/>
          <w:b/>
          <w:i/>
          <w:sz w:val="20"/>
          <w:lang w:val="en-US"/>
        </w:rPr>
        <w:t>Table</w:t>
      </w:r>
      <w:r w:rsidR="00220ECC" w:rsidRPr="00220ECC">
        <w:rPr>
          <w:rFonts w:ascii="Arial" w:eastAsia="Arial" w:hAnsi="Arial" w:cs="Times New Roman"/>
          <w:b/>
          <w:i/>
          <w:sz w:val="20"/>
          <w:lang w:val="en-US"/>
        </w:rPr>
        <w:t>5. Efficiency and Gearing Ratios 2021–2025</w:t>
      </w:r>
    </w:p>
    <w:tbl>
      <w:tblPr>
        <w:tblStyle w:val="TableGrid9"/>
        <w:tblW w:w="0" w:type="auto"/>
        <w:tblLook w:val="04A0" w:firstRow="1" w:lastRow="0" w:firstColumn="1" w:lastColumn="0" w:noHBand="0" w:noVBand="1"/>
      </w:tblPr>
      <w:tblGrid>
        <w:gridCol w:w="1504"/>
        <w:gridCol w:w="1504"/>
        <w:gridCol w:w="1504"/>
        <w:gridCol w:w="1504"/>
        <w:gridCol w:w="1504"/>
        <w:gridCol w:w="1504"/>
      </w:tblGrid>
      <w:tr w:rsidR="00220ECC" w:rsidRPr="00220ECC" w:rsidTr="00F65FEF">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Ratio</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2021</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2022</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2023</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2024</w:t>
            </w:r>
          </w:p>
        </w:tc>
        <w:tc>
          <w:tcPr>
            <w:tcW w:w="1504" w:type="dxa"/>
            <w:shd w:val="clear" w:color="auto" w:fill="1F4E79"/>
          </w:tcPr>
          <w:p w:rsidR="00220ECC" w:rsidRPr="00220ECC" w:rsidRDefault="00220ECC" w:rsidP="00220ECC">
            <w:pPr>
              <w:jc w:val="center"/>
              <w:rPr>
                <w:rFonts w:ascii="Cambria" w:hAnsi="Cambria" w:cs="Times New Roman"/>
              </w:rPr>
            </w:pPr>
            <w:r w:rsidRPr="00220ECC">
              <w:rPr>
                <w:rFonts w:ascii="Arial" w:eastAsia="Arial" w:hAnsi="Arial" w:cs="Times New Roman"/>
                <w:b/>
                <w:color w:val="FFFFFF"/>
                <w:sz w:val="16"/>
              </w:rPr>
              <w:t>2025</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Asset Turnover</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0.62x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0.92x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0.96x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1.04x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0.97x</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Fixed Asset Turnover</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~25x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~30x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~34x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~35x</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Interest Coverage</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~4.1x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~6.3x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~13.3x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~9.1x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~7.8x</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Net Debt / Adj. EBITDA</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3.0x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2.1x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2.3x</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2.5x</w:t>
            </w:r>
          </w:p>
        </w:tc>
      </w:tr>
      <w:tr w:rsidR="00220ECC" w:rsidRPr="00220ECC" w:rsidTr="00F65FEF">
        <w:tc>
          <w:tcPr>
            <w:tcW w:w="1504" w:type="dxa"/>
          </w:tcPr>
          <w:p w:rsidR="00220ECC" w:rsidRPr="00220ECC" w:rsidRDefault="00220ECC" w:rsidP="00220ECC">
            <w:pPr>
              <w:rPr>
                <w:rFonts w:ascii="Cambria" w:hAnsi="Cambria" w:cs="Times New Roman"/>
              </w:rPr>
            </w:pPr>
            <w:r w:rsidRPr="00220ECC">
              <w:rPr>
                <w:rFonts w:ascii="Arial" w:eastAsia="Arial" w:hAnsi="Arial" w:cs="Times New Roman"/>
                <w:b/>
                <w:sz w:val="16"/>
              </w:rPr>
              <w:t>Debt / Equity</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Neg.*</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Neg.*</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Neg.*</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Neg.*</w:t>
            </w:r>
          </w:p>
        </w:tc>
        <w:tc>
          <w:tcPr>
            <w:tcW w:w="1504" w:type="dxa"/>
          </w:tcPr>
          <w:p w:rsidR="00220ECC" w:rsidRPr="00220ECC" w:rsidRDefault="00220ECC" w:rsidP="00220ECC">
            <w:pPr>
              <w:jc w:val="center"/>
              <w:rPr>
                <w:rFonts w:ascii="Cambria" w:hAnsi="Cambria" w:cs="Times New Roman"/>
              </w:rPr>
            </w:pPr>
            <w:r w:rsidRPr="00220ECC">
              <w:rPr>
                <w:rFonts w:ascii="Arial" w:eastAsia="Arial" w:hAnsi="Arial" w:cs="Times New Roman"/>
                <w:sz w:val="16"/>
              </w:rPr>
              <w:t>Neg.*</w:t>
            </w:r>
          </w:p>
        </w:tc>
      </w:tr>
    </w:tbl>
    <w:p w:rsidR="00220ECC" w:rsidRPr="00690D65" w:rsidRDefault="00220ECC" w:rsidP="00220ECC">
      <w:pPr>
        <w:jc w:val="center"/>
        <w:rPr>
          <w:rFonts w:ascii="Cambria" w:eastAsia="MS Mincho" w:hAnsi="Cambria" w:cs="Times New Roman"/>
          <w:sz w:val="20"/>
          <w:szCs w:val="20"/>
          <w:lang w:val="en-US"/>
        </w:rPr>
      </w:pPr>
      <w:r w:rsidRPr="00690D65">
        <w:rPr>
          <w:rFonts w:ascii="Arial" w:eastAsia="Arial" w:hAnsi="Arial" w:cs="Times New Roman"/>
          <w:color w:val="666666"/>
          <w:sz w:val="20"/>
          <w:szCs w:val="20"/>
          <w:lang w:val="en-US"/>
        </w:rPr>
        <w:t>Source: Author’s calculations. *Debt/Equity not meaningful due to negative equity (same reason as ROE). Net Debt/EBITDA is the preferred leverage metric.</w:t>
      </w:r>
    </w:p>
    <w:p w:rsidR="00220ECC" w:rsidRPr="00220ECC" w:rsidRDefault="00220ECC" w:rsidP="00220ECC">
      <w:pPr>
        <w:spacing w:after="160" w:line="360" w:lineRule="auto"/>
        <w:jc w:val="both"/>
        <w:rPr>
          <w:rFonts w:ascii="Cambria" w:eastAsia="MS Mincho" w:hAnsi="Cambria" w:cs="Times New Roman"/>
          <w:lang w:val="en-US"/>
        </w:rPr>
      </w:pPr>
      <w:r>
        <w:rPr>
          <w:rFonts w:ascii="Arial" w:eastAsia="Arial" w:hAnsi="Arial" w:cs="Times New Roman"/>
          <w:sz w:val="24"/>
          <w:lang w:val="en-US"/>
        </w:rPr>
        <w:t>Gearing and</w:t>
      </w:r>
      <w:r w:rsidRPr="00220ECC">
        <w:rPr>
          <w:rFonts w:ascii="Arial" w:eastAsia="Arial" w:hAnsi="Arial" w:cs="Times New Roman"/>
          <w:sz w:val="24"/>
          <w:lang w:val="en-US"/>
        </w:rPr>
        <w:t xml:space="preserve"> Leverage. Interest coverage strengthened to approx</w:t>
      </w:r>
      <w:r>
        <w:rPr>
          <w:rFonts w:ascii="Arial" w:eastAsia="Arial" w:hAnsi="Arial" w:cs="Times New Roman"/>
          <w:sz w:val="24"/>
          <w:lang w:val="en-US"/>
        </w:rPr>
        <w:t xml:space="preserve">imately </w:t>
      </w:r>
      <w:proofErr w:type="gramStart"/>
      <w:r>
        <w:rPr>
          <w:rFonts w:ascii="Arial" w:eastAsia="Arial" w:hAnsi="Arial" w:cs="Times New Roman"/>
          <w:sz w:val="24"/>
          <w:lang w:val="en-US"/>
        </w:rPr>
        <w:t>7.8x</w:t>
      </w:r>
      <w:proofErr w:type="gramEnd"/>
      <w:r>
        <w:rPr>
          <w:rFonts w:ascii="Arial" w:eastAsia="Arial" w:hAnsi="Arial" w:cs="Times New Roman"/>
          <w:sz w:val="24"/>
          <w:lang w:val="en-US"/>
        </w:rPr>
        <w:t xml:space="preserve"> in 2025. </w:t>
      </w:r>
      <w:proofErr w:type="gramStart"/>
      <w:r>
        <w:rPr>
          <w:rFonts w:ascii="Arial" w:eastAsia="Arial" w:hAnsi="Arial" w:cs="Times New Roman"/>
          <w:sz w:val="24"/>
          <w:lang w:val="en-US"/>
        </w:rPr>
        <w:t>Net debt and</w:t>
      </w:r>
      <w:r w:rsidRPr="00220ECC">
        <w:rPr>
          <w:rFonts w:ascii="Arial" w:eastAsia="Arial" w:hAnsi="Arial" w:cs="Times New Roman"/>
          <w:sz w:val="24"/>
          <w:lang w:val="en-US"/>
        </w:rPr>
        <w:t xml:space="preserve"> adjusted EBITDA of 2.5x sits at the more conservative end of the peer range.</w:t>
      </w:r>
      <w:proofErr w:type="gramEnd"/>
      <w:r w:rsidRPr="00220ECC">
        <w:rPr>
          <w:rFonts w:ascii="Arial" w:eastAsia="Arial" w:hAnsi="Arial" w:cs="Times New Roman"/>
          <w:sz w:val="24"/>
          <w:lang w:val="en-US"/>
        </w:rPr>
        <w:t xml:space="preserve"> Conventional debt-to-equity is meaningless because of negative equity; the more informative metrics are net-debt ratios and interest coverage (Arnold and Lewis, 2019).</w:t>
      </w:r>
    </w:p>
    <w:p w:rsidR="00220ECC" w:rsidRPr="00220ECC" w:rsidRDefault="00220ECC" w:rsidP="00220ECC">
      <w:pPr>
        <w:spacing w:after="160" w:line="360" w:lineRule="auto"/>
        <w:jc w:val="both"/>
        <w:rPr>
          <w:rFonts w:ascii="Cambria" w:eastAsia="MS Mincho" w:hAnsi="Cambria" w:cs="Times New Roman"/>
          <w:lang w:val="en-US"/>
        </w:rPr>
      </w:pPr>
      <w:r w:rsidRPr="00220ECC">
        <w:rPr>
          <w:rFonts w:ascii="Cambria" w:eastAsia="MS Mincho" w:hAnsi="Cambria" w:cs="Times New Roman"/>
          <w:noProof/>
          <w:lang w:eastAsia="en-GB"/>
        </w:rPr>
        <w:drawing>
          <wp:inline distT="0" distB="0" distL="0" distR="0" wp14:anchorId="6312C5F3" wp14:editId="6240D557">
            <wp:extent cx="5120640" cy="281922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3_NetDebt_EBITDA.png"/>
                    <pic:cNvPicPr/>
                  </pic:nvPicPr>
                  <pic:blipFill>
                    <a:blip r:embed="rId10"/>
                    <a:stretch>
                      <a:fillRect/>
                    </a:stretch>
                  </pic:blipFill>
                  <pic:spPr>
                    <a:xfrm>
                      <a:off x="0" y="0"/>
                      <a:ext cx="5120640" cy="2819229"/>
                    </a:xfrm>
                    <a:prstGeom prst="rect">
                      <a:avLst/>
                    </a:prstGeom>
                  </pic:spPr>
                </pic:pic>
              </a:graphicData>
            </a:graphic>
          </wp:inline>
        </w:drawing>
      </w:r>
    </w:p>
    <w:p w:rsidR="00F65FEF" w:rsidRPr="00F65FEF" w:rsidRDefault="00F65FEF" w:rsidP="00F65FEF">
      <w:pPr>
        <w:jc w:val="center"/>
        <w:rPr>
          <w:rFonts w:ascii="Cambria" w:eastAsia="MS Mincho" w:hAnsi="Cambria" w:cs="Times New Roman"/>
          <w:lang w:val="en-US"/>
        </w:rPr>
      </w:pPr>
      <w:proofErr w:type="gramStart"/>
      <w:r w:rsidRPr="00F65FEF">
        <w:rPr>
          <w:rFonts w:ascii="Arial" w:eastAsia="Arial" w:hAnsi="Arial" w:cs="Times New Roman"/>
          <w:b/>
          <w:i/>
          <w:sz w:val="18"/>
          <w:lang w:val="en-US"/>
        </w:rPr>
        <w:t>Figure 3.</w:t>
      </w:r>
      <w:proofErr w:type="gramEnd"/>
      <w:r w:rsidRPr="00F65FEF">
        <w:rPr>
          <w:rFonts w:ascii="Arial" w:eastAsia="Arial" w:hAnsi="Arial" w:cs="Times New Roman"/>
          <w:b/>
          <w:i/>
          <w:sz w:val="18"/>
          <w:lang w:val="en-US"/>
        </w:rPr>
        <w:t xml:space="preserve"> Net Debt / Adjusted EBITDA 2021–2025</w:t>
      </w:r>
    </w:p>
    <w:p w:rsidR="00F65FEF" w:rsidRPr="00690D65" w:rsidRDefault="00F65FEF" w:rsidP="00F65FEF">
      <w:pPr>
        <w:jc w:val="center"/>
        <w:rPr>
          <w:rFonts w:ascii="Cambria" w:eastAsia="MS Mincho" w:hAnsi="Cambria" w:cs="Times New Roman"/>
          <w:sz w:val="20"/>
          <w:szCs w:val="20"/>
          <w:lang w:val="en-US"/>
        </w:rPr>
      </w:pPr>
      <w:r w:rsidRPr="00690D65">
        <w:rPr>
          <w:rFonts w:ascii="Arial" w:eastAsia="Arial" w:hAnsi="Arial" w:cs="Times New Roman"/>
          <w:sz w:val="20"/>
          <w:szCs w:val="20"/>
          <w:lang w:val="en-US"/>
        </w:rPr>
        <w:t>Source: Author’s chart from IHG reported net debt and adjusted EBITDA metrics.</w:t>
      </w:r>
    </w:p>
    <w:p w:rsidR="00F65FEF" w:rsidRPr="00F65FEF" w:rsidRDefault="00F65FEF" w:rsidP="00F65FEF">
      <w:pPr>
        <w:spacing w:after="160" w:line="360" w:lineRule="auto"/>
        <w:jc w:val="both"/>
        <w:rPr>
          <w:rFonts w:ascii="Cambria" w:eastAsia="MS Mincho" w:hAnsi="Cambria" w:cs="Times New Roman"/>
          <w:lang w:val="en-US"/>
        </w:rPr>
      </w:pPr>
      <w:r>
        <w:rPr>
          <w:rFonts w:ascii="Arial" w:eastAsia="Arial" w:hAnsi="Arial" w:cs="Times New Roman"/>
          <w:sz w:val="24"/>
          <w:lang w:val="en-US"/>
        </w:rPr>
        <w:t>Investment ratios:</w:t>
      </w:r>
      <w:r w:rsidRPr="00F65FEF">
        <w:rPr>
          <w:rFonts w:ascii="Arial" w:eastAsia="Arial" w:hAnsi="Arial" w:cs="Times New Roman"/>
          <w:sz w:val="24"/>
          <w:lang w:val="en-US"/>
        </w:rPr>
        <w:t xml:space="preserve"> ROE has been calculated and is shown in Table 3. Because shareholders’ equity is negative in every year (cumulative buybacks exceeding retained earnings), ROE is negative despite positive net income. This is a structural </w:t>
      </w:r>
      <w:r w:rsidRPr="00F65FEF">
        <w:rPr>
          <w:rFonts w:ascii="Arial" w:eastAsia="Arial" w:hAnsi="Arial" w:cs="Times New Roman"/>
          <w:sz w:val="24"/>
          <w:lang w:val="en-US"/>
        </w:rPr>
        <w:lastRenderedPageBreak/>
        <w:t>feature of IHG’s capital-return policy, also observed at Marriott and Hilton, and does not signal operating distress. ROA, net debt/adjusted EBITDA, interest coverage and free-cash-flow margin remain the more informative performance metrics. The price/earnings ratio compressed from the low-40s to approximately 28× as earnings recovered faster than the share price (</w:t>
      </w:r>
      <w:proofErr w:type="spellStart"/>
      <w:r w:rsidRPr="00F65FEF">
        <w:rPr>
          <w:rFonts w:ascii="Arial" w:eastAsia="Arial" w:hAnsi="Arial" w:cs="Times New Roman"/>
          <w:sz w:val="24"/>
          <w:lang w:val="en-US"/>
        </w:rPr>
        <w:t>Damodaran</w:t>
      </w:r>
      <w:proofErr w:type="spellEnd"/>
      <w:r w:rsidRPr="00F65FEF">
        <w:rPr>
          <w:rFonts w:ascii="Arial" w:eastAsia="Arial" w:hAnsi="Arial" w:cs="Times New Roman"/>
          <w:sz w:val="24"/>
          <w:lang w:val="en-US"/>
        </w:rPr>
        <w:t>, 2024).</w:t>
      </w:r>
    </w:p>
    <w:p w:rsidR="00F65FEF" w:rsidRPr="00F65FEF" w:rsidRDefault="00F65FEF" w:rsidP="00F65FEF">
      <w:pPr>
        <w:jc w:val="center"/>
        <w:rPr>
          <w:rFonts w:ascii="Cambria" w:eastAsia="MS Mincho" w:hAnsi="Cambria" w:cs="Times New Roman"/>
          <w:lang w:val="en-US"/>
        </w:rPr>
      </w:pPr>
      <w:proofErr w:type="gramStart"/>
      <w:r w:rsidRPr="00F65FEF">
        <w:rPr>
          <w:rFonts w:ascii="Arial" w:eastAsia="Arial" w:hAnsi="Arial" w:cs="Times New Roman"/>
          <w:b/>
          <w:i/>
          <w:sz w:val="20"/>
          <w:lang w:val="en-US"/>
        </w:rPr>
        <w:t>Table 6.</w:t>
      </w:r>
      <w:proofErr w:type="gramEnd"/>
      <w:r w:rsidRPr="00F65FEF">
        <w:rPr>
          <w:rFonts w:ascii="Arial" w:eastAsia="Arial" w:hAnsi="Arial" w:cs="Times New Roman"/>
          <w:b/>
          <w:i/>
          <w:sz w:val="20"/>
          <w:lang w:val="en-US"/>
        </w:rPr>
        <w:t xml:space="preserve"> Investment and Cash Flow Ratios 2021–2025</w:t>
      </w:r>
    </w:p>
    <w:tbl>
      <w:tblPr>
        <w:tblStyle w:val="TableGrid10"/>
        <w:tblW w:w="0" w:type="auto"/>
        <w:tblLook w:val="04A0" w:firstRow="1" w:lastRow="0" w:firstColumn="1" w:lastColumn="0" w:noHBand="0" w:noVBand="1"/>
      </w:tblPr>
      <w:tblGrid>
        <w:gridCol w:w="1504"/>
        <w:gridCol w:w="1504"/>
        <w:gridCol w:w="1504"/>
        <w:gridCol w:w="1504"/>
        <w:gridCol w:w="1504"/>
        <w:gridCol w:w="1504"/>
      </w:tblGrid>
      <w:tr w:rsidR="00F65FEF" w:rsidRPr="00F65FEF" w:rsidTr="00F65FEF">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Ratio</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2021</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2022</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2023</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2024</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2025</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P/E (approx.)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41x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26x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20x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31x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28x</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OCF Ratio (OCF/CL)</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0.39x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0.42x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0.41x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0.38x</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0.43x</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Free Cash Flow Margin</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19.6%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14.5%</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17.7%</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13.3%</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17.2%</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ROA</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5.6%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8.9%</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15.6%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13.2%</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14.2%</w:t>
            </w:r>
          </w:p>
        </w:tc>
      </w:tr>
    </w:tbl>
    <w:p w:rsidR="00F65FEF" w:rsidRPr="00690D65" w:rsidRDefault="00F65FEF" w:rsidP="00F65FEF">
      <w:pPr>
        <w:jc w:val="center"/>
        <w:rPr>
          <w:rFonts w:ascii="Cambria" w:eastAsia="MS Mincho" w:hAnsi="Cambria" w:cs="Times New Roman"/>
          <w:color w:val="000000" w:themeColor="text1"/>
          <w:sz w:val="20"/>
          <w:szCs w:val="20"/>
          <w:lang w:val="en-US"/>
        </w:rPr>
      </w:pPr>
      <w:r w:rsidRPr="00690D65">
        <w:rPr>
          <w:rFonts w:ascii="Arial" w:eastAsia="Arial" w:hAnsi="Arial" w:cs="Times New Roman"/>
          <w:color w:val="000000" w:themeColor="text1"/>
          <w:sz w:val="20"/>
          <w:szCs w:val="20"/>
          <w:lang w:val="en-US"/>
        </w:rPr>
        <w:t>Source: Author’s calculations. P/E uses approximate year-end ADR prices ÷ basic EPS. FCF Margin = Adjusted Free Cash Flow ÷ Revenue.</w:t>
      </w:r>
    </w:p>
    <w:p w:rsidR="00F65FEF" w:rsidRPr="00F65FEF" w:rsidRDefault="00690D65" w:rsidP="00F65FEF">
      <w:pPr>
        <w:spacing w:after="160" w:line="360" w:lineRule="auto"/>
        <w:jc w:val="both"/>
        <w:rPr>
          <w:rFonts w:ascii="Cambria" w:eastAsia="MS Mincho" w:hAnsi="Cambria" w:cs="Times New Roman"/>
          <w:lang w:val="en-US"/>
        </w:rPr>
      </w:pPr>
      <w:r>
        <w:rPr>
          <w:rFonts w:ascii="Arial" w:eastAsia="Arial" w:hAnsi="Arial" w:cs="Times New Roman"/>
          <w:sz w:val="24"/>
          <w:lang w:val="en-US"/>
        </w:rPr>
        <w:t>Cash-flow ratios:</w:t>
      </w:r>
      <w:r w:rsidR="00F65FEF" w:rsidRPr="00F65FEF">
        <w:rPr>
          <w:rFonts w:ascii="Arial" w:eastAsia="Arial" w:hAnsi="Arial" w:cs="Times New Roman"/>
          <w:sz w:val="24"/>
          <w:lang w:val="en-US"/>
        </w:rPr>
        <w:t xml:space="preserve"> The o</w:t>
      </w:r>
      <w:r>
        <w:rPr>
          <w:rFonts w:ascii="Arial" w:eastAsia="Arial" w:hAnsi="Arial" w:cs="Times New Roman"/>
          <w:sz w:val="24"/>
          <w:lang w:val="en-US"/>
        </w:rPr>
        <w:t xml:space="preserve">perating-cash-flow ratio (OCF and </w:t>
      </w:r>
      <w:r w:rsidR="00F65FEF" w:rsidRPr="00F65FEF">
        <w:rPr>
          <w:rFonts w:ascii="Arial" w:eastAsia="Arial" w:hAnsi="Arial" w:cs="Times New Roman"/>
          <w:sz w:val="24"/>
          <w:lang w:val="en-US"/>
        </w:rPr>
        <w:t xml:space="preserve">current liabilities) has remained stable around </w:t>
      </w:r>
      <w:proofErr w:type="gramStart"/>
      <w:r w:rsidR="00F65FEF" w:rsidRPr="00F65FEF">
        <w:rPr>
          <w:rFonts w:ascii="Arial" w:eastAsia="Arial" w:hAnsi="Arial" w:cs="Times New Roman"/>
          <w:sz w:val="24"/>
          <w:lang w:val="en-US"/>
        </w:rPr>
        <w:t>0.40x</w:t>
      </w:r>
      <w:proofErr w:type="gramEnd"/>
      <w:r w:rsidR="00F65FEF" w:rsidRPr="00F65FEF">
        <w:rPr>
          <w:rFonts w:ascii="Arial" w:eastAsia="Arial" w:hAnsi="Arial" w:cs="Times New Roman"/>
          <w:sz w:val="24"/>
          <w:lang w:val="en-US"/>
        </w:rPr>
        <w:t>. Free-cash-flow margin has stayed healthy in the 15–20 per cent range, confirming strong conversion of profit into cash after capital expenditure.</w:t>
      </w:r>
    </w:p>
    <w:p w:rsidR="00F65FEF" w:rsidRPr="00690D65" w:rsidRDefault="00690D65" w:rsidP="00F65FEF">
      <w:pPr>
        <w:jc w:val="center"/>
        <w:rPr>
          <w:rFonts w:ascii="Cambria" w:eastAsia="MS Mincho" w:hAnsi="Cambria" w:cs="Times New Roman"/>
          <w:lang w:val="en-US"/>
        </w:rPr>
      </w:pPr>
      <w:r>
        <w:rPr>
          <w:rFonts w:ascii="Arial" w:eastAsia="Arial" w:hAnsi="Arial" w:cs="Times New Roman"/>
          <w:b/>
          <w:sz w:val="20"/>
          <w:lang w:val="en-US"/>
        </w:rPr>
        <w:t>Table 3</w:t>
      </w:r>
      <w:r w:rsidR="00F65FEF" w:rsidRPr="00690D65">
        <w:rPr>
          <w:rFonts w:ascii="Arial" w:eastAsia="Arial" w:hAnsi="Arial" w:cs="Times New Roman"/>
          <w:b/>
          <w:sz w:val="20"/>
          <w:lang w:val="en-US"/>
        </w:rPr>
        <w:t xml:space="preserve"> Selected Profitability and Investment Ratios 2021–2025</w:t>
      </w:r>
    </w:p>
    <w:tbl>
      <w:tblPr>
        <w:tblStyle w:val="TableGrid11"/>
        <w:tblW w:w="0" w:type="auto"/>
        <w:tblLook w:val="04A0" w:firstRow="1" w:lastRow="0" w:firstColumn="1" w:lastColumn="0" w:noHBand="0" w:noVBand="1"/>
      </w:tblPr>
      <w:tblGrid>
        <w:gridCol w:w="1504"/>
        <w:gridCol w:w="1504"/>
        <w:gridCol w:w="1504"/>
        <w:gridCol w:w="1504"/>
        <w:gridCol w:w="1504"/>
        <w:gridCol w:w="1504"/>
      </w:tblGrid>
      <w:tr w:rsidR="00F65FEF" w:rsidRPr="00F65FEF" w:rsidTr="00F65FEF">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Ratio</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2021</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2022</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2023</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2024</w:t>
            </w:r>
          </w:p>
        </w:tc>
        <w:tc>
          <w:tcPr>
            <w:tcW w:w="1504" w:type="dxa"/>
            <w:shd w:val="clear" w:color="auto" w:fill="1F4E79"/>
          </w:tcPr>
          <w:p w:rsidR="00F65FEF" w:rsidRPr="00F65FEF" w:rsidRDefault="00F65FEF" w:rsidP="00F65FEF">
            <w:pPr>
              <w:jc w:val="center"/>
              <w:rPr>
                <w:rFonts w:ascii="Cambria" w:hAnsi="Cambria" w:cs="Times New Roman"/>
              </w:rPr>
            </w:pPr>
            <w:r w:rsidRPr="00F65FEF">
              <w:rPr>
                <w:rFonts w:ascii="Arial" w:eastAsia="Arial" w:hAnsi="Arial" w:cs="Times New Roman"/>
                <w:b/>
                <w:color w:val="FFFFFF"/>
                <w:sz w:val="16"/>
              </w:rPr>
              <w:t>2025</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Operating Margin</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17.0%</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16.1%</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23.1%</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21.1%</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23.1%</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Net Profit Margin</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9.1%</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9.7%</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16.2%</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12.8%</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14.6%</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ROA (NI ÷ Total Assets)</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5.6%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8.9%</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15.6%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13.2%</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14.2%</w:t>
            </w:r>
          </w:p>
        </w:tc>
      </w:tr>
      <w:tr w:rsidR="00F65FEF" w:rsidRPr="00F65FEF" w:rsidTr="00F65FEF">
        <w:tc>
          <w:tcPr>
            <w:tcW w:w="1504" w:type="dxa"/>
            <w:shd w:val="clear" w:color="auto" w:fill="FFF9C4"/>
          </w:tcPr>
          <w:p w:rsidR="00F65FEF" w:rsidRPr="00F65FEF" w:rsidRDefault="00F65FEF" w:rsidP="00F65FEF">
            <w:pPr>
              <w:rPr>
                <w:rFonts w:ascii="Cambria" w:hAnsi="Cambria" w:cs="Times New Roman"/>
              </w:rPr>
            </w:pPr>
            <w:r w:rsidRPr="00F65FEF">
              <w:rPr>
                <w:rFonts w:ascii="Arial" w:eastAsia="Arial" w:hAnsi="Arial" w:cs="Times New Roman"/>
                <w:b/>
                <w:sz w:val="16"/>
              </w:rPr>
              <w:t>ROE (NI ÷ Equity)</w:t>
            </w:r>
          </w:p>
        </w:tc>
        <w:tc>
          <w:tcPr>
            <w:tcW w:w="1504" w:type="dxa"/>
            <w:shd w:val="clear" w:color="auto" w:fill="FFF9C4"/>
          </w:tcPr>
          <w:p w:rsidR="00F65FEF" w:rsidRPr="00F65FEF" w:rsidRDefault="00F65FEF" w:rsidP="00F65FEF">
            <w:pPr>
              <w:jc w:val="center"/>
              <w:rPr>
                <w:rFonts w:ascii="Cambria" w:hAnsi="Cambria" w:cs="Times New Roman"/>
              </w:rPr>
            </w:pPr>
            <w:r w:rsidRPr="00F65FEF">
              <w:rPr>
                <w:rFonts w:ascii="Arial" w:eastAsia="Arial" w:hAnsi="Arial" w:cs="Times New Roman"/>
                <w:sz w:val="16"/>
              </w:rPr>
              <w:t>-18.0%</w:t>
            </w:r>
          </w:p>
        </w:tc>
        <w:tc>
          <w:tcPr>
            <w:tcW w:w="1504" w:type="dxa"/>
            <w:shd w:val="clear" w:color="auto" w:fill="FFF9C4"/>
          </w:tcPr>
          <w:p w:rsidR="00F65FEF" w:rsidRPr="00F65FEF" w:rsidRDefault="00F65FEF" w:rsidP="00F65FEF">
            <w:pPr>
              <w:jc w:val="center"/>
              <w:rPr>
                <w:rFonts w:ascii="Cambria" w:hAnsi="Cambria" w:cs="Times New Roman"/>
              </w:rPr>
            </w:pPr>
            <w:r w:rsidRPr="00F65FEF">
              <w:rPr>
                <w:rFonts w:ascii="Arial" w:eastAsia="Arial" w:hAnsi="Arial" w:cs="Times New Roman"/>
                <w:sz w:val="16"/>
              </w:rPr>
              <w:t>-23.4%</w:t>
            </w:r>
          </w:p>
        </w:tc>
        <w:tc>
          <w:tcPr>
            <w:tcW w:w="1504" w:type="dxa"/>
            <w:shd w:val="clear" w:color="auto" w:fill="FFF9C4"/>
          </w:tcPr>
          <w:p w:rsidR="00F65FEF" w:rsidRPr="00F65FEF" w:rsidRDefault="00F65FEF" w:rsidP="00F65FEF">
            <w:pPr>
              <w:jc w:val="center"/>
              <w:rPr>
                <w:rFonts w:ascii="Cambria" w:hAnsi="Cambria" w:cs="Times New Roman"/>
              </w:rPr>
            </w:pPr>
            <w:r w:rsidRPr="00F65FEF">
              <w:rPr>
                <w:rFonts w:ascii="Arial" w:eastAsia="Arial" w:hAnsi="Arial" w:cs="Times New Roman"/>
                <w:sz w:val="16"/>
              </w:rPr>
              <w:t>-38.5%</w:t>
            </w:r>
          </w:p>
        </w:tc>
        <w:tc>
          <w:tcPr>
            <w:tcW w:w="1504" w:type="dxa"/>
            <w:shd w:val="clear" w:color="auto" w:fill="FFF9C4"/>
          </w:tcPr>
          <w:p w:rsidR="00F65FEF" w:rsidRPr="00F65FEF" w:rsidRDefault="00F65FEF" w:rsidP="00F65FEF">
            <w:pPr>
              <w:jc w:val="center"/>
              <w:rPr>
                <w:rFonts w:ascii="Cambria" w:hAnsi="Cambria" w:cs="Times New Roman"/>
              </w:rPr>
            </w:pPr>
            <w:r w:rsidRPr="00F65FEF">
              <w:rPr>
                <w:rFonts w:ascii="Arial" w:eastAsia="Arial" w:hAnsi="Arial" w:cs="Times New Roman"/>
                <w:sz w:val="16"/>
              </w:rPr>
              <w:t>-27.2%</w:t>
            </w:r>
          </w:p>
        </w:tc>
        <w:tc>
          <w:tcPr>
            <w:tcW w:w="1504" w:type="dxa"/>
            <w:shd w:val="clear" w:color="auto" w:fill="FFF9C4"/>
          </w:tcPr>
          <w:p w:rsidR="00F65FEF" w:rsidRPr="00F65FEF" w:rsidRDefault="00F65FEF" w:rsidP="00F65FEF">
            <w:pPr>
              <w:jc w:val="center"/>
              <w:rPr>
                <w:rFonts w:ascii="Cambria" w:hAnsi="Cambria" w:cs="Times New Roman"/>
              </w:rPr>
            </w:pPr>
            <w:r w:rsidRPr="00F65FEF">
              <w:rPr>
                <w:rFonts w:ascii="Arial" w:eastAsia="Arial" w:hAnsi="Arial" w:cs="Times New Roman"/>
                <w:sz w:val="16"/>
              </w:rPr>
              <w:t>-27.7%</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Gross Margin (</w:t>
            </w:r>
            <w:proofErr w:type="spellStart"/>
            <w:r w:rsidRPr="00F65FEF">
              <w:rPr>
                <w:rFonts w:ascii="Arial" w:eastAsia="Arial" w:hAnsi="Arial" w:cs="Times New Roman"/>
                <w:b/>
                <w:sz w:val="16"/>
              </w:rPr>
              <w:t>approx</w:t>
            </w:r>
            <w:proofErr w:type="spellEnd"/>
            <w:r w:rsidRPr="00F65FEF">
              <w:rPr>
                <w:rFonts w:ascii="Arial" w:eastAsia="Arial" w:hAnsi="Arial" w:cs="Times New Roman"/>
                <w:b/>
                <w:sz w:val="16"/>
              </w:rPr>
              <w:t>)</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84.9%</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84.7%</w:t>
            </w:r>
          </w:p>
        </w:tc>
      </w:tr>
      <w:tr w:rsidR="00F65FEF" w:rsidRPr="00F65FEF" w:rsidTr="00F65FEF">
        <w:tc>
          <w:tcPr>
            <w:tcW w:w="1504" w:type="dxa"/>
          </w:tcPr>
          <w:p w:rsidR="00F65FEF" w:rsidRPr="00F65FEF" w:rsidRDefault="00F65FEF" w:rsidP="00F65FEF">
            <w:pPr>
              <w:rPr>
                <w:rFonts w:ascii="Cambria" w:hAnsi="Cambria" w:cs="Times New Roman"/>
              </w:rPr>
            </w:pPr>
            <w:r w:rsidRPr="00F65FEF">
              <w:rPr>
                <w:rFonts w:ascii="Arial" w:eastAsia="Arial" w:hAnsi="Arial" w:cs="Times New Roman"/>
                <w:b/>
                <w:sz w:val="16"/>
              </w:rPr>
              <w:t>Fee Margin</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49.6%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~56%</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59.3%</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61.2%</w:t>
            </w:r>
          </w:p>
        </w:tc>
        <w:tc>
          <w:tcPr>
            <w:tcW w:w="1504" w:type="dxa"/>
          </w:tcPr>
          <w:p w:rsidR="00F65FEF" w:rsidRPr="00F65FEF" w:rsidRDefault="00F65FEF" w:rsidP="00F65FEF">
            <w:pPr>
              <w:jc w:val="center"/>
              <w:rPr>
                <w:rFonts w:ascii="Cambria" w:hAnsi="Cambria" w:cs="Times New Roman"/>
              </w:rPr>
            </w:pPr>
            <w:r w:rsidRPr="00F65FEF">
              <w:rPr>
                <w:rFonts w:ascii="Arial" w:eastAsia="Arial" w:hAnsi="Arial" w:cs="Times New Roman"/>
                <w:sz w:val="16"/>
              </w:rPr>
              <w:t>64.8%</w:t>
            </w:r>
          </w:p>
        </w:tc>
      </w:tr>
    </w:tbl>
    <w:p w:rsidR="00A97DC1" w:rsidRDefault="00F65FEF" w:rsidP="00390B5F">
      <w:pPr>
        <w:spacing w:after="160" w:line="360" w:lineRule="auto"/>
        <w:jc w:val="both"/>
        <w:rPr>
          <w:rFonts w:ascii="Arial" w:eastAsia="Arial" w:hAnsi="Arial" w:cs="Arial"/>
          <w:sz w:val="24"/>
          <w:lang w:val="en-US"/>
        </w:rPr>
      </w:pPr>
      <w:r w:rsidRPr="00F65FEF">
        <w:rPr>
          <w:rFonts w:ascii="Arial" w:eastAsia="Arial" w:hAnsi="Arial" w:cs="Times New Roman"/>
          <w:i/>
          <w:sz w:val="18"/>
          <w:lang w:val="en-US"/>
        </w:rPr>
        <w:t>Source: Author’s calculations from IHG Full Year Results; Macro</w:t>
      </w:r>
      <w:r w:rsidR="008E17CF">
        <w:rPr>
          <w:rFonts w:ascii="Arial" w:eastAsia="Arial" w:hAnsi="Arial" w:cs="Times New Roman"/>
          <w:i/>
          <w:sz w:val="18"/>
          <w:lang w:val="en-US"/>
        </w:rPr>
        <w:t xml:space="preserve"> </w:t>
      </w:r>
      <w:r w:rsidRPr="00F65FEF">
        <w:rPr>
          <w:rFonts w:ascii="Arial" w:eastAsia="Arial" w:hAnsi="Arial" w:cs="Times New Roman"/>
          <w:i/>
          <w:sz w:val="18"/>
          <w:lang w:val="en-US"/>
        </w:rPr>
        <w:t>trends share-price data</w:t>
      </w:r>
    </w:p>
    <w:p w:rsidR="00171B43" w:rsidRPr="00171B43" w:rsidRDefault="00171B43" w:rsidP="00171B43">
      <w:pPr>
        <w:spacing w:before="80" w:after="120" w:line="360" w:lineRule="auto"/>
        <w:jc w:val="both"/>
        <w:rPr>
          <w:rFonts w:ascii="Cambria" w:eastAsia="MS Mincho" w:hAnsi="Cambria" w:cs="Times New Roman"/>
          <w:sz w:val="24"/>
          <w:szCs w:val="24"/>
          <w:lang w:val="en-US"/>
        </w:rPr>
      </w:pPr>
      <w:r w:rsidRPr="00171B43">
        <w:rPr>
          <w:rFonts w:ascii="Arial" w:eastAsia="Arial" w:hAnsi="Arial" w:cs="Times New Roman"/>
          <w:sz w:val="24"/>
          <w:szCs w:val="24"/>
          <w:lang w:val="en-US"/>
        </w:rPr>
        <w:t>ROE calculation workings (ROE = Net Income ÷ Shareholders’ Equity):</w:t>
      </w:r>
      <w:r w:rsidRPr="00171B43">
        <w:rPr>
          <w:rFonts w:ascii="Arial" w:eastAsia="Arial" w:hAnsi="Arial" w:cs="Times New Roman"/>
          <w:sz w:val="24"/>
          <w:szCs w:val="24"/>
          <w:lang w:val="en-US"/>
        </w:rPr>
        <w:br/>
        <w:t>• 2021: 265 ÷ (–1,474) = –18.0%</w:t>
      </w:r>
      <w:r w:rsidRPr="00171B43">
        <w:rPr>
          <w:rFonts w:ascii="Arial" w:eastAsia="Arial" w:hAnsi="Arial" w:cs="Times New Roman"/>
          <w:sz w:val="24"/>
          <w:szCs w:val="24"/>
          <w:lang w:val="en-US"/>
        </w:rPr>
        <w:br/>
        <w:t>• 2022: 376 ÷ (–1,608) = –23.4%</w:t>
      </w:r>
      <w:r w:rsidRPr="00171B43">
        <w:rPr>
          <w:rFonts w:ascii="Arial" w:eastAsia="Arial" w:hAnsi="Arial" w:cs="Times New Roman"/>
          <w:sz w:val="24"/>
          <w:szCs w:val="24"/>
          <w:lang w:val="en-US"/>
        </w:rPr>
        <w:br/>
        <w:t>• 2023: 750 ÷ (–1,946) = –38.5%</w:t>
      </w:r>
      <w:r w:rsidRPr="00171B43">
        <w:rPr>
          <w:rFonts w:ascii="Arial" w:eastAsia="Arial" w:hAnsi="Arial" w:cs="Times New Roman"/>
          <w:sz w:val="24"/>
          <w:szCs w:val="24"/>
          <w:lang w:val="en-US"/>
        </w:rPr>
        <w:br/>
        <w:t>• 2024: 628 ÷ (–2,308) = –27.2%</w:t>
      </w:r>
      <w:r w:rsidRPr="00171B43">
        <w:rPr>
          <w:rFonts w:ascii="Arial" w:eastAsia="Arial" w:hAnsi="Arial" w:cs="Times New Roman"/>
          <w:sz w:val="24"/>
          <w:szCs w:val="24"/>
          <w:lang w:val="en-US"/>
        </w:rPr>
        <w:br/>
        <w:t>• 2025: 759 ÷ (–2,736) = –27.7%</w:t>
      </w:r>
      <w:r w:rsidRPr="00171B43">
        <w:rPr>
          <w:rFonts w:ascii="Arial" w:eastAsia="Arial" w:hAnsi="Arial" w:cs="Times New Roman"/>
          <w:sz w:val="24"/>
          <w:szCs w:val="24"/>
          <w:lang w:val="en-US"/>
        </w:rPr>
        <w:br/>
        <w:t xml:space="preserve">All figures US$ million. Equity is negative in every year because cumulative share buybacks and dividends have exceeded retained earnings. The resulting negative ROE does not indicate operating losses (net income is positive); it reflects IHG’s deliberate capital-return policy. Peers such as Marriott and Hilton show the same </w:t>
      </w:r>
      <w:r w:rsidRPr="00171B43">
        <w:rPr>
          <w:rFonts w:ascii="Arial" w:eastAsia="Arial" w:hAnsi="Arial" w:cs="Times New Roman"/>
          <w:sz w:val="24"/>
          <w:szCs w:val="24"/>
          <w:lang w:val="en-US"/>
        </w:rPr>
        <w:lastRenderedPageBreak/>
        <w:t>structural feature. ROA, net debt/EBITDA and FCF margin are therefore more informative for performance comparison.</w:t>
      </w:r>
    </w:p>
    <w:p w:rsidR="00171B43" w:rsidRPr="00690D65" w:rsidRDefault="00171B43" w:rsidP="00171B43">
      <w:pPr>
        <w:rPr>
          <w:rFonts w:ascii="Cambria" w:eastAsia="MS Mincho" w:hAnsi="Cambria" w:cs="Times New Roman"/>
          <w:sz w:val="20"/>
          <w:szCs w:val="20"/>
          <w:lang w:val="en-US"/>
        </w:rPr>
      </w:pPr>
      <w:r w:rsidRPr="00690D65">
        <w:rPr>
          <w:rFonts w:ascii="Arial" w:eastAsia="Arial" w:hAnsi="Arial" w:cs="Times New Roman"/>
          <w:sz w:val="20"/>
          <w:szCs w:val="20"/>
          <w:lang w:val="en-US"/>
        </w:rPr>
        <w:t>Source note: ROE workings are shown immediately above. Negative ROE arises solely from negative equity (buybacks), not from losses.</w:t>
      </w:r>
    </w:p>
    <w:p w:rsidR="00A97DC1" w:rsidRDefault="00A97DC1" w:rsidP="00390B5F">
      <w:pPr>
        <w:spacing w:after="160" w:line="360" w:lineRule="auto"/>
        <w:jc w:val="both"/>
        <w:rPr>
          <w:rFonts w:ascii="Arial" w:eastAsia="Arial" w:hAnsi="Arial" w:cs="Arial"/>
          <w:sz w:val="24"/>
          <w:lang w:val="en-US"/>
        </w:rPr>
      </w:pPr>
    </w:p>
    <w:p w:rsidR="00390B5F" w:rsidRPr="00F52350" w:rsidRDefault="00833252" w:rsidP="00390B5F">
      <w:pPr>
        <w:keepNext/>
        <w:keepLines/>
        <w:numPr>
          <w:ilvl w:val="1"/>
          <w:numId w:val="2"/>
        </w:numPr>
        <w:spacing w:before="200" w:after="0" w:line="360" w:lineRule="auto"/>
        <w:outlineLvl w:val="1"/>
        <w:rPr>
          <w:rFonts w:ascii="Arial" w:eastAsia="MS Gothic" w:hAnsi="Arial" w:cs="Arial"/>
          <w:b/>
          <w:bCs/>
          <w:sz w:val="26"/>
          <w:szCs w:val="26"/>
          <w:lang w:val="en-US"/>
        </w:rPr>
      </w:pPr>
      <w:r>
        <w:rPr>
          <w:rFonts w:ascii="Arial" w:eastAsia="Arial" w:hAnsi="Arial" w:cs="Arial"/>
          <w:b/>
          <w:bCs/>
          <w:sz w:val="28"/>
          <w:szCs w:val="26"/>
          <w:lang w:val="en-US"/>
        </w:rPr>
        <w:t xml:space="preserve"> </w:t>
      </w:r>
      <w:bookmarkStart w:id="5" w:name="_Toc237510907"/>
      <w:r w:rsidRPr="00F52350">
        <w:rPr>
          <w:rFonts w:ascii="Arial" w:eastAsia="Arial" w:hAnsi="Arial" w:cs="Arial"/>
          <w:b/>
          <w:bCs/>
          <w:sz w:val="28"/>
          <w:szCs w:val="26"/>
          <w:lang w:val="en-US"/>
        </w:rPr>
        <w:t>Trends, Strengths and Potential Threats</w:t>
      </w:r>
      <w:bookmarkEnd w:id="5"/>
      <w:r>
        <w:rPr>
          <w:rFonts w:ascii="Arial" w:eastAsia="MS Gothic" w:hAnsi="Arial" w:cs="Arial"/>
          <w:b/>
          <w:bCs/>
          <w:sz w:val="26"/>
          <w:szCs w:val="26"/>
          <w:lang w:val="en-US"/>
        </w:rPr>
        <w:t xml:space="preserve"> </w:t>
      </w:r>
    </w:p>
    <w:p w:rsidR="006F7347" w:rsidRDefault="006F7347" w:rsidP="006F7347">
      <w:pPr>
        <w:spacing w:after="160" w:line="360" w:lineRule="auto"/>
        <w:jc w:val="both"/>
      </w:pPr>
      <w:r>
        <w:rPr>
          <w:rFonts w:ascii="Arial" w:eastAsia="Arial" w:hAnsi="Arial"/>
          <w:sz w:val="24"/>
        </w:rPr>
        <w:t>The dominant trend is a successful post-pandemic recovery characterised by revenue growth, margin expansion and sustained free-cash-flow generation. Strengths include the highly scalable asset-light model, rising fee margins, disciplined leverage, and a demonstrated capacity to return capital to shareholders while maintaining investment-grade metrics. The negative-equity position, while optically concerning, is a deliberate consequence of buybacks rather than operating losses and is mirrored at Marriott and Hilton (Marriott International, 2026; Hilton Worldwide, 2026).</w:t>
      </w:r>
    </w:p>
    <w:p w:rsidR="006F7347" w:rsidRPr="00690D65" w:rsidRDefault="006F7347" w:rsidP="00390B5F">
      <w:pPr>
        <w:spacing w:after="160" w:line="360" w:lineRule="auto"/>
        <w:jc w:val="both"/>
        <w:rPr>
          <w:rFonts w:ascii="Cambria" w:eastAsia="MS Mincho" w:hAnsi="Cambria" w:cs="Times New Roman"/>
          <w:lang w:val="en-US"/>
        </w:rPr>
      </w:pPr>
      <w:r w:rsidRPr="006F7347">
        <w:rPr>
          <w:rFonts w:ascii="Arial" w:eastAsia="Arial" w:hAnsi="Arial" w:cs="Times New Roman"/>
          <w:sz w:val="24"/>
          <w:lang w:val="en-US"/>
        </w:rPr>
        <w:t>Potential threats include: (i) sensitivity of travel demand to macroeconomic or geopolitical shocks; (ii) rising cost of capital that could pressure valuation multiples and the economics of future growth capital; (iii) competitive intensity in the midscale and upscale segments; (iv) currency translation risk given the geographic diversity of the system; and (v) the structural limitation that conventional ROE analysis cannot be performed, which may complicate communication with certain investor constituencies (Pike and Neale, 2022).</w:t>
      </w:r>
    </w:p>
    <w:p w:rsidR="00390B5F" w:rsidRPr="00F52350" w:rsidRDefault="00390B5F" w:rsidP="00390B5F">
      <w:pPr>
        <w:spacing w:line="360" w:lineRule="auto"/>
        <w:jc w:val="center"/>
        <w:rPr>
          <w:rFonts w:ascii="Arial" w:eastAsia="MS Mincho" w:hAnsi="Arial" w:cs="Arial"/>
          <w:lang w:val="en-US"/>
        </w:rPr>
      </w:pPr>
    </w:p>
    <w:p w:rsidR="00833252" w:rsidRPr="00F52350" w:rsidRDefault="00390B5F" w:rsidP="00833252">
      <w:pPr>
        <w:keepNext/>
        <w:keepLines/>
        <w:numPr>
          <w:ilvl w:val="1"/>
          <w:numId w:val="2"/>
        </w:numPr>
        <w:spacing w:before="200" w:after="0" w:line="360" w:lineRule="auto"/>
        <w:outlineLvl w:val="1"/>
        <w:rPr>
          <w:rFonts w:ascii="Arial" w:eastAsia="MS Gothic" w:hAnsi="Arial" w:cs="Arial"/>
          <w:b/>
          <w:bCs/>
          <w:sz w:val="26"/>
          <w:szCs w:val="26"/>
          <w:lang w:val="en-US"/>
        </w:rPr>
      </w:pPr>
      <w:r w:rsidRPr="00F52350">
        <w:rPr>
          <w:rFonts w:ascii="Arial" w:eastAsia="Arial" w:hAnsi="Arial" w:cs="Arial"/>
          <w:b/>
          <w:bCs/>
          <w:sz w:val="28"/>
          <w:szCs w:val="26"/>
          <w:lang w:val="en-US"/>
        </w:rPr>
        <w:t xml:space="preserve">  </w:t>
      </w:r>
      <w:r w:rsidR="00833252" w:rsidRPr="00F52350">
        <w:rPr>
          <w:rFonts w:ascii="Arial" w:eastAsia="Arial" w:hAnsi="Arial" w:cs="Arial"/>
          <w:b/>
          <w:bCs/>
          <w:sz w:val="28"/>
          <w:szCs w:val="26"/>
          <w:lang w:val="en-US"/>
        </w:rPr>
        <w:t xml:space="preserve">  </w:t>
      </w:r>
      <w:bookmarkStart w:id="6" w:name="_Toc237510908"/>
      <w:r w:rsidR="00833252" w:rsidRPr="00F52350">
        <w:rPr>
          <w:rFonts w:ascii="Arial" w:eastAsia="Arial" w:hAnsi="Arial" w:cs="Arial"/>
          <w:b/>
          <w:bCs/>
          <w:sz w:val="28"/>
          <w:szCs w:val="26"/>
          <w:lang w:val="en-US"/>
        </w:rPr>
        <w:t>Liquidity Ratios vs. Industry Benchmarks</w:t>
      </w:r>
      <w:bookmarkEnd w:id="6"/>
    </w:p>
    <w:p w:rsidR="00833252" w:rsidRPr="00833252" w:rsidRDefault="00833252" w:rsidP="00833252">
      <w:pPr>
        <w:spacing w:after="160" w:line="360" w:lineRule="auto"/>
        <w:jc w:val="both"/>
        <w:rPr>
          <w:rFonts w:ascii="Cambria" w:eastAsia="MS Mincho" w:hAnsi="Cambria" w:cs="Times New Roman"/>
          <w:lang w:val="en-US"/>
        </w:rPr>
      </w:pPr>
      <w:r w:rsidRPr="00833252">
        <w:rPr>
          <w:rFonts w:ascii="Arial" w:eastAsia="Arial" w:hAnsi="Arial" w:cs="Times New Roman"/>
          <w:sz w:val="24"/>
          <w:lang w:val="en-US"/>
        </w:rPr>
        <w:t>Table 7 places IHG’s 2025 liquidity position in a comparative context. The current ratio of approximately 0.98 i</w:t>
      </w:r>
      <w:r w:rsidR="00585BFA">
        <w:rPr>
          <w:rFonts w:ascii="Arial" w:eastAsia="Arial" w:hAnsi="Arial" w:cs="Times New Roman"/>
          <w:sz w:val="24"/>
          <w:lang w:val="en-US"/>
        </w:rPr>
        <w:t xml:space="preserve">s lower than the broader Hotels and </w:t>
      </w:r>
      <w:r w:rsidRPr="00833252">
        <w:rPr>
          <w:rFonts w:ascii="Arial" w:eastAsia="Arial" w:hAnsi="Arial" w:cs="Times New Roman"/>
          <w:sz w:val="24"/>
          <w:lang w:val="en-US"/>
        </w:rPr>
        <w:t>Tourism sector average of around 1.22 (</w:t>
      </w:r>
      <w:proofErr w:type="spellStart"/>
      <w:r w:rsidRPr="00833252">
        <w:rPr>
          <w:rFonts w:ascii="Arial" w:eastAsia="Arial" w:hAnsi="Arial" w:cs="Times New Roman"/>
          <w:sz w:val="24"/>
          <w:lang w:val="en-US"/>
        </w:rPr>
        <w:t>CSIMarket</w:t>
      </w:r>
      <w:proofErr w:type="spellEnd"/>
      <w:r w:rsidRPr="00833252">
        <w:rPr>
          <w:rFonts w:ascii="Arial" w:eastAsia="Arial" w:hAnsi="Arial" w:cs="Times New Roman"/>
          <w:sz w:val="24"/>
          <w:lang w:val="en-US"/>
        </w:rPr>
        <w:t>, 2026), yet it is higher than Marriott’s reported figure of approximately 0.43 and consistent with the profile of other pure asset-light operators. Inventory is negligible, so the quick ratio is essentially identical to the cu</w:t>
      </w:r>
      <w:r w:rsidR="00585BFA">
        <w:rPr>
          <w:rFonts w:ascii="Arial" w:eastAsia="Arial" w:hAnsi="Arial" w:cs="Times New Roman"/>
          <w:sz w:val="24"/>
          <w:lang w:val="en-US"/>
        </w:rPr>
        <w:t xml:space="preserve">rrent ratio. The cash ratio of </w:t>
      </w:r>
      <w:r w:rsidRPr="00833252">
        <w:rPr>
          <w:rFonts w:ascii="Arial" w:eastAsia="Arial" w:hAnsi="Arial" w:cs="Times New Roman"/>
          <w:sz w:val="24"/>
          <w:lang w:val="en-US"/>
        </w:rPr>
        <w:t>0.54 indicates a comfortable cash buffer relative to current liabilities when viewed alongside undrawn committed facilities.</w:t>
      </w:r>
    </w:p>
    <w:p w:rsidR="00833252" w:rsidRDefault="00833252" w:rsidP="00833252">
      <w:pPr>
        <w:spacing w:after="160" w:line="360" w:lineRule="auto"/>
        <w:jc w:val="both"/>
        <w:rPr>
          <w:rFonts w:ascii="Arial" w:eastAsia="Arial" w:hAnsi="Arial" w:cs="Times New Roman"/>
          <w:sz w:val="24"/>
          <w:lang w:val="en-US"/>
        </w:rPr>
      </w:pPr>
      <w:r w:rsidRPr="00833252">
        <w:rPr>
          <w:rFonts w:ascii="Arial" w:eastAsia="Arial" w:hAnsi="Arial" w:cs="Times New Roman"/>
          <w:sz w:val="24"/>
          <w:lang w:val="en-US"/>
        </w:rPr>
        <w:lastRenderedPageBreak/>
        <w:t xml:space="preserve">The apparent “weakness” relative to a mixed industry average is therefore largely an </w:t>
      </w:r>
      <w:r w:rsidR="00690D65" w:rsidRPr="00833252">
        <w:rPr>
          <w:rFonts w:ascii="Arial" w:eastAsia="Arial" w:hAnsi="Arial" w:cs="Times New Roman"/>
          <w:sz w:val="24"/>
          <w:lang w:val="en-US"/>
        </w:rPr>
        <w:t>artifact</w:t>
      </w:r>
      <w:r w:rsidRPr="00833252">
        <w:rPr>
          <w:rFonts w:ascii="Arial" w:eastAsia="Arial" w:hAnsi="Arial" w:cs="Times New Roman"/>
          <w:sz w:val="24"/>
          <w:lang w:val="en-US"/>
        </w:rPr>
        <w:t xml:space="preserve"> of business-model differences. Owned-hotel operators typically carry higher inventory and receivables, producing higher current ratios. For a fee-based franchisor, liquidity is better judged by the predictability of fee collections, the availability of revolving credit, </w:t>
      </w:r>
      <w:r w:rsidR="00F82109">
        <w:rPr>
          <w:rFonts w:ascii="Arial" w:eastAsia="Arial" w:hAnsi="Arial" w:cs="Times New Roman"/>
          <w:sz w:val="24"/>
          <w:lang w:val="en-US"/>
        </w:rPr>
        <w:t xml:space="preserve">and free-cash-flow conversion </w:t>
      </w:r>
      <w:r w:rsidRPr="00833252">
        <w:rPr>
          <w:rFonts w:ascii="Arial" w:eastAsia="Arial" w:hAnsi="Arial" w:cs="Times New Roman"/>
          <w:sz w:val="24"/>
          <w:lang w:val="en-US"/>
        </w:rPr>
        <w:t>all of which remain robust for IHG (Arnold and Lewis, 2019; IHG, 2026a).</w:t>
      </w:r>
    </w:p>
    <w:p w:rsidR="00690D65" w:rsidRDefault="00690D65" w:rsidP="00833252">
      <w:pPr>
        <w:spacing w:after="160" w:line="360" w:lineRule="auto"/>
        <w:jc w:val="both"/>
        <w:rPr>
          <w:rFonts w:ascii="Arial" w:eastAsia="Arial" w:hAnsi="Arial" w:cs="Times New Roman"/>
          <w:sz w:val="24"/>
          <w:lang w:val="en-US"/>
        </w:rPr>
      </w:pPr>
    </w:p>
    <w:p w:rsidR="00F82109" w:rsidRPr="00F52350" w:rsidRDefault="00F82109" w:rsidP="00F82109">
      <w:pPr>
        <w:spacing w:line="360" w:lineRule="auto"/>
        <w:jc w:val="center"/>
        <w:rPr>
          <w:rFonts w:ascii="Arial" w:eastAsia="MS Mincho" w:hAnsi="Arial" w:cs="Arial"/>
          <w:sz w:val="24"/>
          <w:szCs w:val="24"/>
          <w:lang w:val="en-US"/>
        </w:rPr>
      </w:pPr>
      <w:r w:rsidRPr="00F52350">
        <w:rPr>
          <w:rFonts w:ascii="Arial" w:eastAsia="Arial" w:hAnsi="Arial" w:cs="Arial"/>
          <w:b/>
          <w:sz w:val="24"/>
          <w:szCs w:val="24"/>
          <w:lang w:val="en-US"/>
        </w:rPr>
        <w:t>Table 7 Liquidity Benchmark Comparison (2025)</w:t>
      </w:r>
    </w:p>
    <w:tbl>
      <w:tblPr>
        <w:tblStyle w:val="MediumShading2-Accent4"/>
        <w:tblW w:w="0" w:type="auto"/>
        <w:tblLook w:val="04A0" w:firstRow="1" w:lastRow="0" w:firstColumn="1" w:lastColumn="0" w:noHBand="0" w:noVBand="1"/>
      </w:tblPr>
      <w:tblGrid>
        <w:gridCol w:w="1805"/>
        <w:gridCol w:w="1805"/>
        <w:gridCol w:w="1805"/>
        <w:gridCol w:w="1805"/>
        <w:gridCol w:w="1805"/>
      </w:tblGrid>
      <w:tr w:rsidR="00F82109" w:rsidRPr="00F52350" w:rsidTr="0089339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05" w:type="dxa"/>
            <w:hideMark/>
          </w:tcPr>
          <w:p w:rsidR="00F82109" w:rsidRPr="00F52350" w:rsidRDefault="00F82109" w:rsidP="0089339D">
            <w:pPr>
              <w:spacing w:line="360" w:lineRule="auto"/>
              <w:rPr>
                <w:rFonts w:ascii="Arial" w:hAnsi="Arial" w:cs="Arial"/>
                <w:color w:val="auto"/>
                <w:sz w:val="24"/>
                <w:szCs w:val="24"/>
              </w:rPr>
            </w:pPr>
            <w:r w:rsidRPr="00F52350">
              <w:rPr>
                <w:rFonts w:ascii="Arial" w:eastAsia="Arial" w:hAnsi="Arial" w:cs="Arial"/>
                <w:color w:val="auto"/>
                <w:sz w:val="24"/>
                <w:szCs w:val="24"/>
              </w:rPr>
              <w:t>Ratio</w:t>
            </w:r>
          </w:p>
        </w:tc>
        <w:tc>
          <w:tcPr>
            <w:tcW w:w="1805" w:type="dxa"/>
            <w:hideMark/>
          </w:tcPr>
          <w:p w:rsidR="00F82109" w:rsidRPr="00F52350" w:rsidRDefault="00F82109" w:rsidP="0089339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52350">
              <w:rPr>
                <w:rFonts w:ascii="Arial" w:eastAsia="Arial" w:hAnsi="Arial" w:cs="Arial"/>
                <w:color w:val="auto"/>
                <w:sz w:val="24"/>
                <w:szCs w:val="24"/>
              </w:rPr>
              <w:t>IHG</w:t>
            </w:r>
          </w:p>
        </w:tc>
        <w:tc>
          <w:tcPr>
            <w:tcW w:w="1805" w:type="dxa"/>
            <w:hideMark/>
          </w:tcPr>
          <w:p w:rsidR="00F82109" w:rsidRPr="00F52350" w:rsidRDefault="00F82109" w:rsidP="0089339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52350">
              <w:rPr>
                <w:rFonts w:ascii="Arial" w:eastAsia="Arial" w:hAnsi="Arial" w:cs="Arial"/>
                <w:color w:val="auto"/>
                <w:sz w:val="24"/>
                <w:szCs w:val="24"/>
              </w:rPr>
              <w:t>Marriott</w:t>
            </w:r>
          </w:p>
        </w:tc>
        <w:tc>
          <w:tcPr>
            <w:tcW w:w="1805" w:type="dxa"/>
            <w:hideMark/>
          </w:tcPr>
          <w:p w:rsidR="00F82109" w:rsidRPr="00F52350" w:rsidRDefault="00F82109" w:rsidP="0089339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52350">
              <w:rPr>
                <w:rFonts w:ascii="Arial" w:eastAsia="Arial" w:hAnsi="Arial" w:cs="Arial"/>
                <w:color w:val="auto"/>
                <w:sz w:val="24"/>
                <w:szCs w:val="24"/>
              </w:rPr>
              <w:t>Hilton (typ.)</w:t>
            </w:r>
          </w:p>
        </w:tc>
        <w:tc>
          <w:tcPr>
            <w:tcW w:w="1805" w:type="dxa"/>
            <w:hideMark/>
          </w:tcPr>
          <w:p w:rsidR="00F82109" w:rsidRPr="00F52350" w:rsidRDefault="00F82109" w:rsidP="0089339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4"/>
                <w:szCs w:val="24"/>
              </w:rPr>
            </w:pPr>
            <w:r w:rsidRPr="00F52350">
              <w:rPr>
                <w:rFonts w:ascii="Arial" w:eastAsia="Arial" w:hAnsi="Arial" w:cs="Arial"/>
                <w:color w:val="auto"/>
                <w:sz w:val="24"/>
                <w:szCs w:val="24"/>
              </w:rPr>
              <w:t xml:space="preserve">Industry </w:t>
            </w:r>
            <w:proofErr w:type="spellStart"/>
            <w:r w:rsidRPr="00F52350">
              <w:rPr>
                <w:rFonts w:ascii="Arial" w:eastAsia="Arial" w:hAnsi="Arial" w:cs="Arial"/>
                <w:color w:val="auto"/>
                <w:sz w:val="24"/>
                <w:szCs w:val="24"/>
              </w:rPr>
              <w:t>Avg</w:t>
            </w:r>
            <w:proofErr w:type="spellEnd"/>
          </w:p>
        </w:tc>
      </w:tr>
      <w:tr w:rsidR="00F82109" w:rsidRPr="00F52350" w:rsidTr="008933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Borders>
              <w:top w:val="nil"/>
            </w:tcBorders>
            <w:hideMark/>
          </w:tcPr>
          <w:p w:rsidR="00F82109" w:rsidRPr="00F52350" w:rsidRDefault="00F82109" w:rsidP="0089339D">
            <w:pPr>
              <w:spacing w:line="360" w:lineRule="auto"/>
              <w:rPr>
                <w:rFonts w:ascii="Arial" w:hAnsi="Arial" w:cs="Arial"/>
                <w:color w:val="auto"/>
                <w:sz w:val="24"/>
                <w:szCs w:val="24"/>
              </w:rPr>
            </w:pPr>
            <w:r w:rsidRPr="00F52350">
              <w:rPr>
                <w:rFonts w:ascii="Arial" w:eastAsia="Arial" w:hAnsi="Arial" w:cs="Arial"/>
                <w:color w:val="auto"/>
                <w:sz w:val="24"/>
                <w:szCs w:val="24"/>
              </w:rPr>
              <w:t>Current Ratio</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0.98</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0.43</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1.0</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1.22</w:t>
            </w:r>
          </w:p>
        </w:tc>
      </w:tr>
      <w:tr w:rsidR="00F82109" w:rsidRPr="00F52350" w:rsidTr="0089339D">
        <w:tc>
          <w:tcPr>
            <w:cnfStyle w:val="001000000000" w:firstRow="0" w:lastRow="0" w:firstColumn="1" w:lastColumn="0" w:oddVBand="0" w:evenVBand="0" w:oddHBand="0" w:evenHBand="0" w:firstRowFirstColumn="0" w:firstRowLastColumn="0" w:lastRowFirstColumn="0" w:lastRowLastColumn="0"/>
            <w:tcW w:w="1805" w:type="dxa"/>
            <w:tcBorders>
              <w:top w:val="nil"/>
            </w:tcBorders>
            <w:hideMark/>
          </w:tcPr>
          <w:p w:rsidR="00F82109" w:rsidRPr="00F52350" w:rsidRDefault="00F82109" w:rsidP="0089339D">
            <w:pPr>
              <w:spacing w:line="360" w:lineRule="auto"/>
              <w:rPr>
                <w:rFonts w:ascii="Arial" w:hAnsi="Arial" w:cs="Arial"/>
                <w:color w:val="auto"/>
                <w:sz w:val="24"/>
                <w:szCs w:val="24"/>
              </w:rPr>
            </w:pPr>
            <w:r w:rsidRPr="00F52350">
              <w:rPr>
                <w:rFonts w:ascii="Arial" w:eastAsia="Arial" w:hAnsi="Arial" w:cs="Arial"/>
                <w:color w:val="auto"/>
                <w:sz w:val="24"/>
                <w:szCs w:val="24"/>
              </w:rPr>
              <w:t>Quick Ratio</w:t>
            </w:r>
          </w:p>
        </w:tc>
        <w:tc>
          <w:tcPr>
            <w:tcW w:w="1805" w:type="dxa"/>
            <w:tcBorders>
              <w:top w:val="nil"/>
              <w:left w:val="nil"/>
              <w:bottom w:val="nil"/>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0.97</w:t>
            </w:r>
          </w:p>
        </w:tc>
        <w:tc>
          <w:tcPr>
            <w:tcW w:w="1805" w:type="dxa"/>
            <w:tcBorders>
              <w:top w:val="nil"/>
              <w:left w:val="nil"/>
              <w:bottom w:val="nil"/>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Similar</w:t>
            </w:r>
          </w:p>
        </w:tc>
        <w:tc>
          <w:tcPr>
            <w:tcW w:w="1805" w:type="dxa"/>
            <w:tcBorders>
              <w:top w:val="nil"/>
              <w:left w:val="nil"/>
              <w:bottom w:val="nil"/>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Similar</w:t>
            </w:r>
          </w:p>
        </w:tc>
        <w:tc>
          <w:tcPr>
            <w:tcW w:w="1805" w:type="dxa"/>
            <w:tcBorders>
              <w:top w:val="nil"/>
              <w:left w:val="nil"/>
              <w:bottom w:val="nil"/>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1.1</w:t>
            </w:r>
          </w:p>
        </w:tc>
      </w:tr>
      <w:tr w:rsidR="00F82109" w:rsidRPr="00F52350" w:rsidTr="008933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5" w:type="dxa"/>
            <w:tcBorders>
              <w:top w:val="nil"/>
            </w:tcBorders>
            <w:hideMark/>
          </w:tcPr>
          <w:p w:rsidR="00F82109" w:rsidRPr="00F52350" w:rsidRDefault="00F82109" w:rsidP="0089339D">
            <w:pPr>
              <w:spacing w:line="360" w:lineRule="auto"/>
              <w:rPr>
                <w:rFonts w:ascii="Arial" w:hAnsi="Arial" w:cs="Arial"/>
                <w:color w:val="auto"/>
                <w:sz w:val="24"/>
                <w:szCs w:val="24"/>
              </w:rPr>
            </w:pPr>
            <w:r w:rsidRPr="00F52350">
              <w:rPr>
                <w:rFonts w:ascii="Arial" w:eastAsia="Arial" w:hAnsi="Arial" w:cs="Arial"/>
                <w:color w:val="auto"/>
                <w:sz w:val="24"/>
                <w:szCs w:val="24"/>
              </w:rPr>
              <w:t>Cash Ratio</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0.54</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Lower</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Comparable</w:t>
            </w:r>
          </w:p>
        </w:tc>
        <w:tc>
          <w:tcPr>
            <w:tcW w:w="1805" w:type="dxa"/>
            <w:tcBorders>
              <w:top w:val="nil"/>
              <w:left w:val="nil"/>
              <w:bottom w:val="nil"/>
              <w:right w:val="nil"/>
            </w:tcBorders>
            <w:hideMark/>
          </w:tcPr>
          <w:p w:rsidR="00F82109" w:rsidRPr="00F52350" w:rsidRDefault="00F82109" w:rsidP="0089339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Varies</w:t>
            </w:r>
          </w:p>
        </w:tc>
      </w:tr>
      <w:tr w:rsidR="00F82109" w:rsidRPr="00F52350" w:rsidTr="0089339D">
        <w:tc>
          <w:tcPr>
            <w:cnfStyle w:val="001000000000" w:firstRow="0" w:lastRow="0" w:firstColumn="1" w:lastColumn="0" w:oddVBand="0" w:evenVBand="0" w:oddHBand="0" w:evenHBand="0" w:firstRowFirstColumn="0" w:firstRowLastColumn="0" w:lastRowFirstColumn="0" w:lastRowLastColumn="0"/>
            <w:tcW w:w="1805" w:type="dxa"/>
            <w:tcBorders>
              <w:top w:val="nil"/>
            </w:tcBorders>
            <w:hideMark/>
          </w:tcPr>
          <w:p w:rsidR="00F82109" w:rsidRPr="00F52350" w:rsidRDefault="00F82109" w:rsidP="0089339D">
            <w:pPr>
              <w:spacing w:line="360" w:lineRule="auto"/>
              <w:rPr>
                <w:rFonts w:ascii="Arial" w:hAnsi="Arial" w:cs="Arial"/>
                <w:color w:val="auto"/>
                <w:sz w:val="24"/>
                <w:szCs w:val="24"/>
              </w:rPr>
            </w:pPr>
            <w:r w:rsidRPr="00F52350">
              <w:rPr>
                <w:rFonts w:ascii="Arial" w:eastAsia="Arial" w:hAnsi="Arial" w:cs="Arial"/>
                <w:color w:val="auto"/>
                <w:sz w:val="24"/>
                <w:szCs w:val="24"/>
              </w:rPr>
              <w:t>OCF / CL</w:t>
            </w:r>
          </w:p>
        </w:tc>
        <w:tc>
          <w:tcPr>
            <w:tcW w:w="1805" w:type="dxa"/>
            <w:tcBorders>
              <w:top w:val="nil"/>
              <w:left w:val="nil"/>
              <w:bottom w:val="single" w:sz="18" w:space="0" w:color="auto"/>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0.43x</w:t>
            </w:r>
          </w:p>
        </w:tc>
        <w:tc>
          <w:tcPr>
            <w:tcW w:w="1805" w:type="dxa"/>
            <w:tcBorders>
              <w:top w:val="nil"/>
              <w:left w:val="nil"/>
              <w:bottom w:val="single" w:sz="18" w:space="0" w:color="auto"/>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0.3–0.5x</w:t>
            </w:r>
          </w:p>
        </w:tc>
        <w:tc>
          <w:tcPr>
            <w:tcW w:w="1805" w:type="dxa"/>
            <w:tcBorders>
              <w:top w:val="nil"/>
              <w:left w:val="nil"/>
              <w:bottom w:val="single" w:sz="18" w:space="0" w:color="auto"/>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Similar</w:t>
            </w:r>
          </w:p>
        </w:tc>
        <w:tc>
          <w:tcPr>
            <w:tcW w:w="1805" w:type="dxa"/>
            <w:tcBorders>
              <w:top w:val="nil"/>
              <w:left w:val="nil"/>
              <w:bottom w:val="single" w:sz="18" w:space="0" w:color="auto"/>
              <w:right w:val="nil"/>
            </w:tcBorders>
            <w:hideMark/>
          </w:tcPr>
          <w:p w:rsidR="00F82109" w:rsidRPr="00F52350" w:rsidRDefault="00F82109" w:rsidP="0089339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52350">
              <w:rPr>
                <w:rFonts w:ascii="Arial" w:eastAsia="Arial" w:hAnsi="Arial" w:cs="Arial"/>
                <w:sz w:val="24"/>
                <w:szCs w:val="24"/>
              </w:rPr>
              <w:t>0.3–0.5x</w:t>
            </w:r>
          </w:p>
        </w:tc>
      </w:tr>
    </w:tbl>
    <w:p w:rsidR="00390B5F" w:rsidRPr="00690D65" w:rsidRDefault="00F82109" w:rsidP="00690D65">
      <w:pPr>
        <w:spacing w:line="360" w:lineRule="auto"/>
        <w:jc w:val="center"/>
        <w:rPr>
          <w:rFonts w:ascii="Arial" w:eastAsia="Arial" w:hAnsi="Arial" w:cs="Arial"/>
          <w:sz w:val="18"/>
          <w:lang w:val="en-US"/>
        </w:rPr>
      </w:pPr>
      <w:r w:rsidRPr="00690D65">
        <w:rPr>
          <w:rFonts w:ascii="Arial" w:eastAsia="Arial" w:hAnsi="Arial" w:cs="Arial"/>
          <w:sz w:val="18"/>
          <w:lang w:val="en-US"/>
        </w:rPr>
        <w:t>Source: Author’s calculations; CSI Market (2026); company filings.</w:t>
      </w:r>
    </w:p>
    <w:p w:rsidR="007E50F7" w:rsidRPr="00F52350" w:rsidRDefault="007E50F7" w:rsidP="000B6EA7">
      <w:pPr>
        <w:pStyle w:val="Heading1"/>
        <w:numPr>
          <w:ilvl w:val="0"/>
          <w:numId w:val="8"/>
        </w:numPr>
        <w:spacing w:line="360" w:lineRule="auto"/>
        <w:rPr>
          <w:rFonts w:ascii="Arial" w:eastAsia="MS Gothic" w:hAnsi="Arial" w:cs="Arial"/>
          <w:color w:val="auto"/>
          <w:lang w:val="en-US"/>
        </w:rPr>
      </w:pPr>
      <w:bookmarkStart w:id="7" w:name="_Toc237510909"/>
      <w:r w:rsidRPr="00F52350">
        <w:rPr>
          <w:rFonts w:ascii="Arial" w:eastAsia="Arial" w:hAnsi="Arial" w:cs="Arial"/>
          <w:color w:val="auto"/>
          <w:lang w:val="en-US"/>
        </w:rPr>
        <w:t>Working Capital Management Analysis</w:t>
      </w:r>
      <w:bookmarkEnd w:id="7"/>
    </w:p>
    <w:p w:rsidR="007E50F7" w:rsidRPr="00F52350" w:rsidRDefault="007E50F7" w:rsidP="007E50F7">
      <w:pPr>
        <w:pStyle w:val="ListParagraph"/>
        <w:keepNext/>
        <w:keepLines/>
        <w:numPr>
          <w:ilvl w:val="0"/>
          <w:numId w:val="1"/>
        </w:numPr>
        <w:spacing w:before="200" w:after="0" w:line="360" w:lineRule="auto"/>
        <w:outlineLvl w:val="1"/>
        <w:rPr>
          <w:rFonts w:ascii="Arial" w:eastAsia="Arial" w:hAnsi="Arial" w:cs="Arial"/>
          <w:b/>
          <w:bCs/>
          <w:vanish/>
          <w:sz w:val="28"/>
          <w:szCs w:val="26"/>
          <w:lang w:val="en-US"/>
        </w:rPr>
      </w:pPr>
      <w:bookmarkStart w:id="8" w:name="_Toc236825384"/>
      <w:bookmarkStart w:id="9" w:name="_Toc236825682"/>
      <w:bookmarkStart w:id="10" w:name="_Toc237338440"/>
      <w:bookmarkStart w:id="11" w:name="_Toc237338499"/>
      <w:bookmarkStart w:id="12" w:name="_Toc237338536"/>
      <w:bookmarkStart w:id="13" w:name="_Toc237476755"/>
      <w:bookmarkStart w:id="14" w:name="_Toc237510910"/>
      <w:bookmarkEnd w:id="8"/>
      <w:bookmarkEnd w:id="9"/>
      <w:bookmarkEnd w:id="10"/>
      <w:bookmarkEnd w:id="11"/>
      <w:bookmarkEnd w:id="12"/>
      <w:bookmarkEnd w:id="13"/>
      <w:bookmarkEnd w:id="14"/>
    </w:p>
    <w:p w:rsidR="007E50F7" w:rsidRPr="00F52350" w:rsidRDefault="007E50F7" w:rsidP="007E50F7">
      <w:pPr>
        <w:pStyle w:val="ListParagraph"/>
        <w:keepNext/>
        <w:keepLines/>
        <w:numPr>
          <w:ilvl w:val="0"/>
          <w:numId w:val="1"/>
        </w:numPr>
        <w:spacing w:before="200" w:after="0" w:line="360" w:lineRule="auto"/>
        <w:outlineLvl w:val="1"/>
        <w:rPr>
          <w:rFonts w:ascii="Arial" w:eastAsia="Arial" w:hAnsi="Arial" w:cs="Arial"/>
          <w:b/>
          <w:bCs/>
          <w:vanish/>
          <w:sz w:val="28"/>
          <w:szCs w:val="26"/>
          <w:lang w:val="en-US"/>
        </w:rPr>
      </w:pPr>
      <w:bookmarkStart w:id="15" w:name="_Toc236825385"/>
      <w:bookmarkStart w:id="16" w:name="_Toc236825683"/>
      <w:bookmarkStart w:id="17" w:name="_Toc237338441"/>
      <w:bookmarkStart w:id="18" w:name="_Toc237338500"/>
      <w:bookmarkStart w:id="19" w:name="_Toc237338537"/>
      <w:bookmarkStart w:id="20" w:name="_Toc237476756"/>
      <w:bookmarkStart w:id="21" w:name="_Toc237510911"/>
      <w:bookmarkEnd w:id="15"/>
      <w:bookmarkEnd w:id="16"/>
      <w:bookmarkEnd w:id="17"/>
      <w:bookmarkEnd w:id="18"/>
      <w:bookmarkEnd w:id="19"/>
      <w:bookmarkEnd w:id="20"/>
      <w:bookmarkEnd w:id="21"/>
    </w:p>
    <w:p w:rsidR="007E50F7" w:rsidRPr="00F52350" w:rsidRDefault="007E50F7" w:rsidP="007E50F7">
      <w:pPr>
        <w:pStyle w:val="Heading2"/>
        <w:rPr>
          <w:rFonts w:eastAsia="MS Gothic" w:cs="Arial"/>
          <w:color w:val="auto"/>
          <w:sz w:val="26"/>
          <w:lang w:val="en-US"/>
        </w:rPr>
      </w:pPr>
      <w:bookmarkStart w:id="22" w:name="_Toc237510912"/>
      <w:r w:rsidRPr="00F52350">
        <w:rPr>
          <w:rFonts w:eastAsia="Arial" w:cs="Arial"/>
          <w:color w:val="auto"/>
          <w:lang w:val="en-US"/>
        </w:rPr>
        <w:t>Cash Operating Cycle Assessment</w:t>
      </w:r>
      <w:bookmarkEnd w:id="22"/>
    </w:p>
    <w:p w:rsidR="007E50F7" w:rsidRDefault="007E50F7" w:rsidP="007E50F7">
      <w:pPr>
        <w:spacing w:after="160" w:line="360" w:lineRule="auto"/>
        <w:jc w:val="both"/>
        <w:rPr>
          <w:rFonts w:ascii="Arial" w:eastAsia="Arial" w:hAnsi="Arial" w:cs="Arial"/>
          <w:sz w:val="24"/>
          <w:lang w:val="en-US"/>
        </w:rPr>
      </w:pPr>
      <w:r w:rsidRPr="00F52350">
        <w:rPr>
          <w:rFonts w:ascii="Arial" w:eastAsia="Arial" w:hAnsi="Arial" w:cs="Arial"/>
          <w:sz w:val="24"/>
          <w:lang w:val="en-US"/>
        </w:rPr>
        <w:t>The cash conversion cycle (CCC) is defined as Inventory Days and Receivable Days Payable Days (</w:t>
      </w:r>
      <w:proofErr w:type="spellStart"/>
      <w:r w:rsidRPr="00F52350">
        <w:rPr>
          <w:rFonts w:ascii="Arial" w:eastAsia="Arial" w:hAnsi="Arial" w:cs="Arial"/>
          <w:sz w:val="24"/>
          <w:lang w:val="en-US"/>
        </w:rPr>
        <w:t>Brealey</w:t>
      </w:r>
      <w:proofErr w:type="spellEnd"/>
      <w:r w:rsidRPr="00F52350">
        <w:rPr>
          <w:rFonts w:ascii="Arial" w:eastAsia="Arial" w:hAnsi="Arial" w:cs="Arial"/>
          <w:sz w:val="24"/>
          <w:lang w:val="en-US"/>
        </w:rPr>
        <w:t xml:space="preserve"> et al., 2023). For IHG the calculation yields a strongly negative CCC in the years for which complete data are available (approximately 257 days in 2024 and 260 days in 2025). Inventory days are effectively zero (0–2 days) because the Group holds virtually no trading inventory. Receivable days (DSO) have stabilized near 60 days after improving from 72 days in 2021. Payable days appear very high (around 320 days) when measured against cost of sales; however, the “trade and other payables” balance includes substantial deferred revenue, loyalty-programmed liabilities and System Fund items, so the conventional interpretation of supplier credit is inflated (IHG, 2026a).</w:t>
      </w:r>
    </w:p>
    <w:p w:rsidR="00585BFA" w:rsidRDefault="00585BFA" w:rsidP="007E50F7">
      <w:pPr>
        <w:spacing w:after="160" w:line="360" w:lineRule="auto"/>
        <w:jc w:val="both"/>
        <w:rPr>
          <w:rFonts w:ascii="Arial" w:eastAsia="Arial" w:hAnsi="Arial" w:cs="Arial"/>
          <w:sz w:val="24"/>
          <w:lang w:val="en-US"/>
        </w:rPr>
      </w:pPr>
    </w:p>
    <w:p w:rsidR="00585BFA" w:rsidRDefault="00585BFA" w:rsidP="007E50F7">
      <w:pPr>
        <w:spacing w:after="160" w:line="360" w:lineRule="auto"/>
        <w:jc w:val="both"/>
        <w:rPr>
          <w:rFonts w:ascii="Arial" w:eastAsia="Arial" w:hAnsi="Arial" w:cs="Arial"/>
          <w:sz w:val="24"/>
          <w:lang w:val="en-US"/>
        </w:rPr>
      </w:pPr>
    </w:p>
    <w:p w:rsidR="00690D65" w:rsidRDefault="00690D65" w:rsidP="00F82109">
      <w:pPr>
        <w:jc w:val="center"/>
        <w:rPr>
          <w:rFonts w:ascii="Arial" w:eastAsia="Arial" w:hAnsi="Arial" w:cs="Times New Roman"/>
          <w:b/>
          <w:i/>
          <w:sz w:val="20"/>
          <w:lang w:val="en-US"/>
        </w:rPr>
      </w:pPr>
    </w:p>
    <w:p w:rsidR="00F82109" w:rsidRPr="00690D65" w:rsidRDefault="00F82109" w:rsidP="00F82109">
      <w:pPr>
        <w:jc w:val="center"/>
        <w:rPr>
          <w:rFonts w:ascii="Arial" w:eastAsia="MS Mincho" w:hAnsi="Arial" w:cs="Arial"/>
          <w:sz w:val="20"/>
          <w:szCs w:val="20"/>
          <w:lang w:val="en-US"/>
        </w:rPr>
      </w:pPr>
      <w:proofErr w:type="gramStart"/>
      <w:r w:rsidRPr="00690D65">
        <w:rPr>
          <w:rFonts w:ascii="Arial" w:eastAsia="Arial" w:hAnsi="Arial" w:cs="Arial"/>
          <w:b/>
          <w:i/>
          <w:sz w:val="20"/>
          <w:szCs w:val="20"/>
          <w:lang w:val="en-US"/>
        </w:rPr>
        <w:lastRenderedPageBreak/>
        <w:t>Table 8.</w:t>
      </w:r>
      <w:proofErr w:type="gramEnd"/>
      <w:r w:rsidRPr="00690D65">
        <w:rPr>
          <w:rFonts w:ascii="Arial" w:eastAsia="Arial" w:hAnsi="Arial" w:cs="Arial"/>
          <w:b/>
          <w:i/>
          <w:sz w:val="20"/>
          <w:szCs w:val="20"/>
          <w:lang w:val="en-US"/>
        </w:rPr>
        <w:t xml:space="preserve"> Cash Conversion Cycle Components (Days) 2021–2025</w:t>
      </w:r>
    </w:p>
    <w:tbl>
      <w:tblPr>
        <w:tblStyle w:val="TableGrid13"/>
        <w:tblW w:w="0" w:type="auto"/>
        <w:tblLook w:val="04A0" w:firstRow="1" w:lastRow="0" w:firstColumn="1" w:lastColumn="0" w:noHBand="0" w:noVBand="1"/>
      </w:tblPr>
      <w:tblGrid>
        <w:gridCol w:w="1647"/>
        <w:gridCol w:w="1504"/>
        <w:gridCol w:w="1504"/>
        <w:gridCol w:w="1504"/>
        <w:gridCol w:w="1504"/>
        <w:gridCol w:w="1504"/>
      </w:tblGrid>
      <w:tr w:rsidR="00F82109" w:rsidRPr="00690D65" w:rsidTr="0089339D">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Metric</w:t>
            </w:r>
          </w:p>
        </w:tc>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2021</w:t>
            </w:r>
          </w:p>
        </w:tc>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2022</w:t>
            </w:r>
          </w:p>
        </w:tc>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2023</w:t>
            </w:r>
          </w:p>
        </w:tc>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2024</w:t>
            </w:r>
          </w:p>
        </w:tc>
        <w:tc>
          <w:tcPr>
            <w:tcW w:w="1504" w:type="dxa"/>
            <w:shd w:val="clear" w:color="auto" w:fill="1F4E79"/>
          </w:tcPr>
          <w:p w:rsidR="00F82109" w:rsidRPr="00690D65" w:rsidRDefault="00F82109" w:rsidP="00F82109">
            <w:pPr>
              <w:jc w:val="center"/>
              <w:rPr>
                <w:rFonts w:ascii="Arial" w:hAnsi="Arial" w:cs="Arial"/>
                <w:sz w:val="20"/>
                <w:szCs w:val="20"/>
              </w:rPr>
            </w:pPr>
            <w:r w:rsidRPr="00690D65">
              <w:rPr>
                <w:rFonts w:ascii="Arial" w:eastAsia="Arial" w:hAnsi="Arial" w:cs="Arial"/>
                <w:b/>
                <w:color w:val="FFFFFF"/>
                <w:sz w:val="20"/>
                <w:szCs w:val="20"/>
              </w:rPr>
              <w:t>2025</w:t>
            </w:r>
          </w:p>
        </w:tc>
      </w:tr>
      <w:tr w:rsidR="00F82109" w:rsidRPr="00F82109" w:rsidTr="0089339D">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b/>
                <w:sz w:val="18"/>
              </w:rPr>
              <w:t>DSO – Receivable Days</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72.2</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62.1</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59.6</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59.8</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60.5</w:t>
            </w:r>
          </w:p>
        </w:tc>
      </w:tr>
      <w:tr w:rsidR="00F82109" w:rsidRPr="00F82109" w:rsidTr="0089339D">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b/>
                <w:sz w:val="18"/>
              </w:rPr>
              <w:t>DIO – Inventory Days</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1.0</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0.8</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0.8</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2.0</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2.4</w:t>
            </w:r>
          </w:p>
        </w:tc>
      </w:tr>
      <w:tr w:rsidR="00F82109" w:rsidRPr="00F82109" w:rsidTr="0089339D">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b/>
                <w:sz w:val="18"/>
              </w:rPr>
              <w:t>DPO – Payable Days</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318.5</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323.0</w:t>
            </w:r>
          </w:p>
        </w:tc>
      </w:tr>
      <w:tr w:rsidR="00F82109" w:rsidRPr="00F82109" w:rsidTr="0089339D">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b/>
                <w:sz w:val="18"/>
              </w:rPr>
              <w:t>CCC (DSO+DIO−DPO)</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tcPr>
          <w:p w:rsidR="00F82109" w:rsidRPr="00F82109" w:rsidRDefault="00F82109" w:rsidP="00F82109">
            <w:pPr>
              <w:jc w:val="center"/>
              <w:rPr>
                <w:rFonts w:ascii="Cambria" w:hAnsi="Cambria" w:cs="Times New Roman"/>
              </w:rPr>
            </w:pPr>
            <w:r w:rsidRPr="00F82109">
              <w:rPr>
                <w:rFonts w:ascii="Arial" w:eastAsia="Arial" w:hAnsi="Arial" w:cs="Times New Roman"/>
                <w:sz w:val="18"/>
              </w:rPr>
              <w:t>n/a</w:t>
            </w:r>
          </w:p>
        </w:tc>
        <w:tc>
          <w:tcPr>
            <w:tcW w:w="1504" w:type="dxa"/>
            <w:shd w:val="clear" w:color="auto" w:fill="C8E6C9"/>
          </w:tcPr>
          <w:p w:rsidR="00F82109" w:rsidRPr="00F82109" w:rsidRDefault="00F82109" w:rsidP="00F82109">
            <w:pPr>
              <w:jc w:val="center"/>
              <w:rPr>
                <w:rFonts w:ascii="Cambria" w:hAnsi="Cambria" w:cs="Times New Roman"/>
              </w:rPr>
            </w:pPr>
            <w:r w:rsidRPr="00F82109">
              <w:rPr>
                <w:rFonts w:ascii="Arial" w:eastAsia="Arial" w:hAnsi="Arial" w:cs="Times New Roman"/>
                <w:sz w:val="18"/>
              </w:rPr>
              <w:t>−256.7</w:t>
            </w:r>
          </w:p>
        </w:tc>
        <w:tc>
          <w:tcPr>
            <w:tcW w:w="1504" w:type="dxa"/>
            <w:shd w:val="clear" w:color="auto" w:fill="C8E6C9"/>
          </w:tcPr>
          <w:p w:rsidR="00F82109" w:rsidRPr="00F82109" w:rsidRDefault="00F82109" w:rsidP="00F82109">
            <w:pPr>
              <w:jc w:val="center"/>
              <w:rPr>
                <w:rFonts w:ascii="Cambria" w:hAnsi="Cambria" w:cs="Times New Roman"/>
              </w:rPr>
            </w:pPr>
            <w:r w:rsidRPr="00F82109">
              <w:rPr>
                <w:rFonts w:ascii="Arial" w:eastAsia="Arial" w:hAnsi="Arial" w:cs="Times New Roman"/>
                <w:sz w:val="18"/>
              </w:rPr>
              <w:t>−260.1</w:t>
            </w:r>
          </w:p>
        </w:tc>
      </w:tr>
    </w:tbl>
    <w:p w:rsidR="00F82109" w:rsidRPr="00282AAF" w:rsidRDefault="00F82109" w:rsidP="00282AAF">
      <w:pPr>
        <w:jc w:val="center"/>
        <w:rPr>
          <w:rFonts w:ascii="Cambria" w:eastAsia="MS Mincho" w:hAnsi="Cambria" w:cs="Times New Roman"/>
          <w:lang w:val="en-US"/>
        </w:rPr>
      </w:pPr>
      <w:r w:rsidRPr="00690D65">
        <w:rPr>
          <w:rFonts w:ascii="Arial" w:eastAsia="Arial" w:hAnsi="Arial" w:cs="Times New Roman"/>
          <w:sz w:val="16"/>
          <w:lang w:val="en-US"/>
        </w:rPr>
        <w:t>Source: Author’s calculations from IHG balance sheet and income statement data. Formulas: DSO = Receivables/Revenue×365; DIO = Inventory/COGS×365; DPO = Payables/COGS×365.</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A negative CCC indicates that the operating cycle is a net generator of cash a highly desirable characteristic for an asset-light platform. The primary working-capital focus for management is therefore the efficiency of fee collection (DSO) and the prudent management of loyalty and deferred-revenue balances rather than classic inventory optimization (Watson and Head, 2019).</w:t>
      </w:r>
    </w:p>
    <w:p w:rsidR="007E50F7" w:rsidRPr="00F52350" w:rsidRDefault="007E50F7" w:rsidP="007E50F7">
      <w:pPr>
        <w:pStyle w:val="Heading2"/>
        <w:rPr>
          <w:rFonts w:eastAsia="MS Gothic" w:cs="Arial"/>
          <w:color w:val="auto"/>
          <w:sz w:val="26"/>
          <w:lang w:val="en-US"/>
        </w:rPr>
      </w:pPr>
      <w:bookmarkStart w:id="23" w:name="_Toc237510913"/>
      <w:r w:rsidRPr="00F52350">
        <w:rPr>
          <w:rFonts w:eastAsia="Arial" w:cs="Arial"/>
          <w:color w:val="auto"/>
          <w:lang w:val="en-US"/>
        </w:rPr>
        <w:t>Strategies to Improve Liquidity through Working Capital Reforms</w:t>
      </w:r>
      <w:bookmarkEnd w:id="23"/>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Although liquidity is already adequate, incremental improvements can be pursued. First, continued investment in automated billing and owner-portal technology can further compress DSO toward the mid-50-day range without damaging owner relationships. Second, dynamic management of loyalty-point liability and advance-deposit balances can smooth cash timing. Third, the Group should maintain a target cash buffer calibrated to stress-test scenarios (e.g., a 20–30 per cent temporary drop in </w:t>
      </w:r>
      <w:proofErr w:type="spellStart"/>
      <w:r w:rsidRPr="00F52350">
        <w:rPr>
          <w:rFonts w:ascii="Arial" w:eastAsia="Arial" w:hAnsi="Arial" w:cs="Arial"/>
          <w:sz w:val="24"/>
          <w:lang w:val="en-US"/>
        </w:rPr>
        <w:t>RevPAR</w:t>
      </w:r>
      <w:proofErr w:type="spellEnd"/>
      <w:r w:rsidRPr="00F52350">
        <w:rPr>
          <w:rFonts w:ascii="Arial" w:eastAsia="Arial" w:hAnsi="Arial" w:cs="Arial"/>
          <w:sz w:val="24"/>
          <w:lang w:val="en-US"/>
        </w:rPr>
        <w:t>) while returning surplus cash via dividends and buybacks once the buffer is secure. Fourth, supply-chain finance programs for larger franchisees can be explored on a voluntary basis to support system health without transferring credit risk onto IHG’s balance sheet (Deloitte, 2025).</w:t>
      </w: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24" w:name="_Toc237510914"/>
      <w:r w:rsidRPr="00F52350">
        <w:rPr>
          <w:rFonts w:eastAsia="Arial" w:cs="Arial"/>
          <w:color w:val="auto"/>
          <w:lang w:val="en-US"/>
        </w:rPr>
        <w:t>Short-term vs. Long-term Financing Options</w:t>
      </w:r>
      <w:bookmarkEnd w:id="24"/>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IHG’s financing mix already leans toward longer-dated bonds and committed revolving facilities, consistent with an investment-grade profile. Short-term financing (commercial paper, short-term bank lines) offers flexibility and lower all-in cost in normal markets but introduces refinancing risk. Long-term debt provides certainty of tenure and matches the long-lived nature of brand and contract assets, at the cost of higher coupons and potential early-call constraints. Given the Group’s strong free-cash-flow generation and the desire to preserve rating-agency headroom, the </w:t>
      </w:r>
      <w:r w:rsidRPr="00F52350">
        <w:rPr>
          <w:rFonts w:ascii="Arial" w:eastAsia="Arial" w:hAnsi="Arial" w:cs="Arial"/>
          <w:sz w:val="24"/>
          <w:lang w:val="en-US"/>
        </w:rPr>
        <w:lastRenderedPageBreak/>
        <w:t>preference should remain for a predominantly long-term debt stack supplemented by a substantial undrawn revolving credit facility for liquidity insurance (Arnold and Lewis, 2019; S&amp;P Global, 2025). Equity issuance is unnecessary at present and would be dilutive given the buyback history.</w:t>
      </w:r>
    </w:p>
    <w:p w:rsidR="007E50F7" w:rsidRPr="00F52350" w:rsidRDefault="007E50F7" w:rsidP="000B6EA7">
      <w:pPr>
        <w:pStyle w:val="Heading1"/>
        <w:numPr>
          <w:ilvl w:val="0"/>
          <w:numId w:val="8"/>
        </w:numPr>
        <w:spacing w:line="360" w:lineRule="auto"/>
        <w:rPr>
          <w:rFonts w:ascii="Arial" w:eastAsia="MS Gothic" w:hAnsi="Arial" w:cs="Arial"/>
          <w:color w:val="auto"/>
          <w:lang w:val="en-US"/>
        </w:rPr>
      </w:pPr>
      <w:bookmarkStart w:id="25" w:name="_Toc237510915"/>
      <w:r w:rsidRPr="00F52350">
        <w:rPr>
          <w:rFonts w:ascii="Arial" w:eastAsia="Arial" w:hAnsi="Arial" w:cs="Arial"/>
          <w:color w:val="auto"/>
          <w:lang w:val="en-US"/>
        </w:rPr>
        <w:t>Strategic Financial Restructuring Plan</w:t>
      </w:r>
      <w:bookmarkEnd w:id="25"/>
    </w:p>
    <w:p w:rsidR="007E50F7" w:rsidRPr="00F52350" w:rsidRDefault="007E50F7" w:rsidP="007E50F7">
      <w:pPr>
        <w:pStyle w:val="ListParagraph"/>
        <w:keepNext/>
        <w:keepLines/>
        <w:numPr>
          <w:ilvl w:val="0"/>
          <w:numId w:val="3"/>
        </w:numPr>
        <w:spacing w:before="200" w:after="0" w:line="360" w:lineRule="auto"/>
        <w:outlineLvl w:val="1"/>
        <w:rPr>
          <w:rFonts w:ascii="Arial" w:eastAsia="Arial" w:hAnsi="Arial" w:cs="Arial"/>
          <w:b/>
          <w:bCs/>
          <w:vanish/>
          <w:sz w:val="28"/>
          <w:szCs w:val="26"/>
          <w:lang w:val="en-US"/>
        </w:rPr>
      </w:pPr>
      <w:bookmarkStart w:id="26" w:name="_Toc236825390"/>
      <w:bookmarkStart w:id="27" w:name="_Toc236825688"/>
      <w:bookmarkStart w:id="28" w:name="_Toc237338446"/>
      <w:bookmarkStart w:id="29" w:name="_Toc237338505"/>
      <w:bookmarkStart w:id="30" w:name="_Toc237338542"/>
      <w:bookmarkStart w:id="31" w:name="_Toc237476761"/>
      <w:bookmarkStart w:id="32" w:name="_Toc237510916"/>
      <w:bookmarkEnd w:id="26"/>
      <w:bookmarkEnd w:id="27"/>
      <w:bookmarkEnd w:id="28"/>
      <w:bookmarkEnd w:id="29"/>
      <w:bookmarkEnd w:id="30"/>
      <w:bookmarkEnd w:id="31"/>
      <w:bookmarkEnd w:id="32"/>
    </w:p>
    <w:p w:rsidR="007E50F7" w:rsidRPr="00F52350" w:rsidRDefault="007E50F7" w:rsidP="007E50F7">
      <w:pPr>
        <w:pStyle w:val="Heading2"/>
        <w:numPr>
          <w:ilvl w:val="1"/>
          <w:numId w:val="3"/>
        </w:numPr>
        <w:rPr>
          <w:rFonts w:eastAsia="MS Gothic" w:cs="Arial"/>
          <w:color w:val="auto"/>
          <w:sz w:val="26"/>
          <w:lang w:val="en-US"/>
        </w:rPr>
      </w:pPr>
      <w:r w:rsidRPr="00F52350">
        <w:rPr>
          <w:rFonts w:eastAsia="Arial" w:cs="Arial"/>
          <w:color w:val="auto"/>
          <w:lang w:val="en-US"/>
        </w:rPr>
        <w:t xml:space="preserve"> </w:t>
      </w:r>
      <w:bookmarkStart w:id="33" w:name="_Toc237510917"/>
      <w:r w:rsidRPr="00F52350">
        <w:rPr>
          <w:rFonts w:eastAsia="Arial" w:cs="Arial"/>
          <w:color w:val="auto"/>
          <w:lang w:val="en-US"/>
        </w:rPr>
        <w:t>Recommended Restructuring Options</w:t>
      </w:r>
      <w:bookmarkEnd w:id="33"/>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Three complementary levers are recommended. First, continued disciplined capital returns (ordinary dividend growth plus opportunistic buybacks) within the existing net-debt/EBITDA guardrails of approximately 2.0–2.5x. Second, selective divestiture or recycling of any residual owned or leased hotel assets that no longer meet return thresholds, thereby further purifying the asset-light model and releasing capital. Third, modest, targeted equity-like instruments (e.g., convertible bonds or equity-settled employee schemes) only if required to fund a transformative acquisition; under baseline conditions, organic system growth and free cash flow are sufficient (IHG, 2026a; </w:t>
      </w:r>
      <w:proofErr w:type="spellStart"/>
      <w:r w:rsidRPr="00F52350">
        <w:rPr>
          <w:rFonts w:ascii="Arial" w:eastAsia="Arial" w:hAnsi="Arial" w:cs="Arial"/>
          <w:sz w:val="24"/>
          <w:lang w:val="en-US"/>
        </w:rPr>
        <w:t>Damodaran</w:t>
      </w:r>
      <w:proofErr w:type="spellEnd"/>
      <w:r w:rsidRPr="00F52350">
        <w:rPr>
          <w:rFonts w:ascii="Arial" w:eastAsia="Arial" w:hAnsi="Arial" w:cs="Arial"/>
          <w:sz w:val="24"/>
          <w:lang w:val="en-US"/>
        </w:rPr>
        <w:t>, 2024).</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A full-scale merger with a major peer is not advised at present: antitrust complexity, cultural integration risk and the limited incremental synergy available between two already asset-light platforms would likely destroy value relative to organic growth plus selective bolt-</w:t>
      </w:r>
      <w:proofErr w:type="spellStart"/>
      <w:r w:rsidRPr="00F52350">
        <w:rPr>
          <w:rFonts w:ascii="Arial" w:eastAsia="Arial" w:hAnsi="Arial" w:cs="Arial"/>
          <w:sz w:val="24"/>
          <w:lang w:val="en-US"/>
        </w:rPr>
        <w:t>ons</w:t>
      </w:r>
      <w:proofErr w:type="spellEnd"/>
      <w:r w:rsidRPr="00F52350">
        <w:rPr>
          <w:rFonts w:ascii="Arial" w:eastAsia="Arial" w:hAnsi="Arial" w:cs="Arial"/>
          <w:sz w:val="24"/>
          <w:lang w:val="en-US"/>
        </w:rPr>
        <w:t>.</w:t>
      </w: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34" w:name="_Toc237510918"/>
      <w:r w:rsidRPr="00F52350">
        <w:rPr>
          <w:rFonts w:eastAsia="Arial" w:cs="Arial"/>
          <w:color w:val="auto"/>
          <w:lang w:val="en-US"/>
        </w:rPr>
        <w:t>Impact on Shareholder Value, Debt Structure and Operational Flexibility</w:t>
      </w:r>
      <w:bookmarkEnd w:id="34"/>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Continued buybacks and dividends, funded by free cash flow, support earnings-per-share accretion and signal confidence, thereby supporting valuation multiples. Maintaining net debt / adjusted EBITDA near 2.5 </w:t>
      </w:r>
      <w:proofErr w:type="spellStart"/>
      <w:r w:rsidRPr="00F52350">
        <w:rPr>
          <w:rFonts w:ascii="Arial" w:eastAsia="Arial" w:hAnsi="Arial" w:cs="Arial"/>
          <w:sz w:val="24"/>
          <w:lang w:val="en-US"/>
        </w:rPr>
        <w:t>xs</w:t>
      </w:r>
      <w:proofErr w:type="spellEnd"/>
      <w:r w:rsidRPr="00F52350">
        <w:rPr>
          <w:rFonts w:ascii="Arial" w:eastAsia="Arial" w:hAnsi="Arial" w:cs="Arial"/>
          <w:sz w:val="24"/>
          <w:lang w:val="en-US"/>
        </w:rPr>
        <w:t xml:space="preserve"> preserves rating-agency flexibility and keeps interest coverage comfortably above 6–7</w:t>
      </w:r>
      <w:proofErr w:type="gramStart"/>
      <w:r w:rsidRPr="00F52350">
        <w:rPr>
          <w:rFonts w:ascii="Arial" w:eastAsia="Arial" w:hAnsi="Arial" w:cs="Arial"/>
          <w:sz w:val="24"/>
          <w:lang w:val="en-US"/>
        </w:rPr>
        <w:t>x</w:t>
      </w:r>
      <w:proofErr w:type="gramEnd"/>
      <w:r w:rsidRPr="00F52350">
        <w:rPr>
          <w:rFonts w:ascii="Arial" w:eastAsia="Arial" w:hAnsi="Arial" w:cs="Arial"/>
          <w:sz w:val="24"/>
          <w:lang w:val="en-US"/>
        </w:rPr>
        <w:t>. Operational flexibility is enhanced by the absence of heavy owned-asset obligations and by the modular nature of franchise/management contracts, which can be scaled regionally without large fixed-cost commitments (</w:t>
      </w:r>
      <w:proofErr w:type="spellStart"/>
      <w:r w:rsidRPr="00F52350">
        <w:rPr>
          <w:rFonts w:ascii="Arial" w:eastAsia="Arial" w:hAnsi="Arial" w:cs="Arial"/>
          <w:sz w:val="24"/>
          <w:lang w:val="en-US"/>
        </w:rPr>
        <w:t>Brealey</w:t>
      </w:r>
      <w:proofErr w:type="spellEnd"/>
      <w:r w:rsidRPr="00F52350">
        <w:rPr>
          <w:rFonts w:ascii="Arial" w:eastAsia="Arial" w:hAnsi="Arial" w:cs="Arial"/>
          <w:sz w:val="24"/>
          <w:lang w:val="en-US"/>
        </w:rPr>
        <w:t xml:space="preserve"> et al., 2023).</w:t>
      </w: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lastRenderedPageBreak/>
        <w:t xml:space="preserve">  </w:t>
      </w:r>
      <w:bookmarkStart w:id="35" w:name="_Toc237510919"/>
      <w:r w:rsidRPr="00F52350">
        <w:rPr>
          <w:rFonts w:eastAsia="Arial" w:cs="Arial"/>
          <w:color w:val="auto"/>
          <w:lang w:val="en-US"/>
        </w:rPr>
        <w:t>International and Ethical Considerations</w:t>
      </w:r>
      <w:bookmarkEnd w:id="35"/>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Currency risk is managed through natural hedges (revenue and cost matching by region) and selective hedging of net investment and transactional exposures. Inflation differentials across markets are largely passed through via fee structures linked to hotel revenues. Taxation planning must remain fully compliant with OECD BEPS principles and evolving global minimum-tax rules; aggressive tax structures would be inconsistent with the Group’s stated ESG commitments and would create reputational risk (OECD, 2024). From a CSR/ESG perspective, capital allocation should continue to prioritize energy-efficiency programs, responsible sourcing and community engagement, both because they are ethically required and because they protect long-term brand equity and guest loyalty (IHG, 2026b; KPMG, 2025).</w:t>
      </w:r>
    </w:p>
    <w:p w:rsidR="007E50F7" w:rsidRPr="00F52350" w:rsidRDefault="007E50F7" w:rsidP="000B6EA7">
      <w:pPr>
        <w:pStyle w:val="Heading1"/>
        <w:numPr>
          <w:ilvl w:val="0"/>
          <w:numId w:val="8"/>
        </w:numPr>
        <w:spacing w:line="360" w:lineRule="auto"/>
        <w:rPr>
          <w:rFonts w:ascii="Arial" w:eastAsia="MS Gothic" w:hAnsi="Arial" w:cs="Arial"/>
          <w:color w:val="auto"/>
          <w:lang w:val="en-US"/>
        </w:rPr>
      </w:pPr>
      <w:bookmarkStart w:id="36" w:name="_Toc237510920"/>
      <w:r w:rsidRPr="00F52350">
        <w:rPr>
          <w:rFonts w:ascii="Arial" w:eastAsia="Arial" w:hAnsi="Arial" w:cs="Arial"/>
          <w:color w:val="auto"/>
          <w:lang w:val="en-US"/>
        </w:rPr>
        <w:t>Investment Appraisal and Capital Budgeting</w:t>
      </w:r>
      <w:bookmarkEnd w:id="36"/>
    </w:p>
    <w:p w:rsidR="007E50F7" w:rsidRPr="00F52350" w:rsidRDefault="007E50F7" w:rsidP="007E50F7">
      <w:pPr>
        <w:pStyle w:val="ListParagraph"/>
        <w:keepNext/>
        <w:keepLines/>
        <w:numPr>
          <w:ilvl w:val="0"/>
          <w:numId w:val="1"/>
        </w:numPr>
        <w:spacing w:before="200" w:after="0" w:line="360" w:lineRule="auto"/>
        <w:outlineLvl w:val="1"/>
        <w:rPr>
          <w:rFonts w:ascii="Arial" w:eastAsia="Arial" w:hAnsi="Arial" w:cs="Arial"/>
          <w:b/>
          <w:bCs/>
          <w:vanish/>
          <w:sz w:val="28"/>
          <w:szCs w:val="26"/>
          <w:lang w:val="en-US"/>
        </w:rPr>
      </w:pPr>
      <w:bookmarkStart w:id="37" w:name="_Toc236825395"/>
      <w:bookmarkStart w:id="38" w:name="_Toc236825693"/>
      <w:bookmarkStart w:id="39" w:name="_Toc237338451"/>
      <w:bookmarkStart w:id="40" w:name="_Toc237338510"/>
      <w:bookmarkStart w:id="41" w:name="_Toc237338547"/>
      <w:bookmarkStart w:id="42" w:name="_Toc237476766"/>
      <w:bookmarkStart w:id="43" w:name="_Toc237510921"/>
      <w:bookmarkEnd w:id="37"/>
      <w:bookmarkEnd w:id="38"/>
      <w:bookmarkEnd w:id="39"/>
      <w:bookmarkEnd w:id="40"/>
      <w:bookmarkEnd w:id="41"/>
      <w:bookmarkEnd w:id="42"/>
      <w:bookmarkEnd w:id="43"/>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44" w:name="_Toc237510922"/>
      <w:r w:rsidRPr="00F52350">
        <w:rPr>
          <w:rFonts w:eastAsia="Arial" w:cs="Arial"/>
          <w:color w:val="auto"/>
          <w:lang w:val="en-US"/>
        </w:rPr>
        <w:t>Project Evaluation (PBP, ARR, NPV, PI, IRR)</w:t>
      </w:r>
      <w:bookmarkEnd w:id="44"/>
    </w:p>
    <w:p w:rsidR="007E50F7" w:rsidRPr="00F52350" w:rsidRDefault="007E50F7" w:rsidP="007E50F7">
      <w:pPr>
        <w:spacing w:after="160" w:line="360" w:lineRule="auto"/>
        <w:jc w:val="both"/>
        <w:rPr>
          <w:rFonts w:ascii="Arial" w:hAnsi="Arial" w:cs="Arial"/>
        </w:rPr>
      </w:pPr>
      <w:r w:rsidRPr="00F52350">
        <w:rPr>
          <w:rFonts w:ascii="Arial" w:eastAsia="Arial" w:hAnsi="Arial" w:cs="Arial"/>
          <w:sz w:val="24"/>
        </w:rPr>
        <w:t>Capital budgeting decisions determine the long-term allocation of scarce financial resources and therefore exert a direct influence on shareholder value. In accordance with standard corporate-finance practice, three mutually exclusive investment projects, each requiring an initial capital outlay of £50 million, have been subjected to a full multi-criteria appraisal. The evaluation employs five complementary techniques: the payback period (PBP), the accounting rate of return (ARR), net present value (NPV), the profitability index (PI) and the internal rate of return (IRR). A discount rate of 8 per cent is applied throughout, reflecting a conservative estimate of IHG’s weighted average cost of capital under prevailing market conditions. Straight-line depreciation to a zero residual value over a five-year life is assumed for ARR calculations, producing an annual depreciation charge of £10 million for each project (</w:t>
      </w:r>
      <w:proofErr w:type="spellStart"/>
      <w:r w:rsidRPr="00F52350">
        <w:rPr>
          <w:rFonts w:ascii="Arial" w:eastAsia="Arial" w:hAnsi="Arial" w:cs="Arial"/>
          <w:sz w:val="24"/>
        </w:rPr>
        <w:t>Brealey</w:t>
      </w:r>
      <w:proofErr w:type="spellEnd"/>
      <w:r w:rsidRPr="00F52350">
        <w:rPr>
          <w:rFonts w:ascii="Arial" w:eastAsia="Arial" w:hAnsi="Arial" w:cs="Arial"/>
          <w:sz w:val="24"/>
        </w:rPr>
        <w:t>, Myers and Allen, 2023; Watson and Head, 2019).</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The net cash-inflow profiles of the three projects are as follows:</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Project A: Year 1 £10 m; Year 2 £12 m; Year 3 £14 m; Year 4 £10 m; Year 5 £8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Project B: Year 1–5 £11 m each year (an annuity).</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Project C: Year 1 £5 m; Year 2 £10 m; Year 3 £20 m; Year 4 £25 m; Year 5 £5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lastRenderedPageBreak/>
        <w:t>Detailed year-by-year discounting schedules, cumulative cash-flow tables and ARR profit workings are contained in the accompanying Excel workbook (sheet “</w:t>
      </w:r>
      <w:proofErr w:type="spellStart"/>
      <w:r w:rsidRPr="00F52350">
        <w:rPr>
          <w:rFonts w:ascii="Arial" w:eastAsia="Arial" w:hAnsi="Arial" w:cs="Arial"/>
          <w:sz w:val="24"/>
          <w:lang w:val="en-US"/>
        </w:rPr>
        <w:t>Investment_Appraisal</w:t>
      </w:r>
      <w:proofErr w:type="spellEnd"/>
      <w:r w:rsidRPr="00F52350">
        <w:rPr>
          <w:rFonts w:ascii="Arial" w:eastAsia="Arial" w:hAnsi="Arial" w:cs="Arial"/>
          <w:sz w:val="24"/>
          <w:lang w:val="en-US"/>
        </w:rPr>
        <w:t>”) and are reproduced in summarized form in the Appendix. The narrative below explains the computation and interpretation of each metric.</w:t>
      </w:r>
    </w:p>
    <w:p w:rsidR="007E50F7" w:rsidRPr="00F52350" w:rsidRDefault="007E50F7" w:rsidP="007E50F7">
      <w:pPr>
        <w:spacing w:line="360" w:lineRule="auto"/>
        <w:jc w:val="center"/>
        <w:rPr>
          <w:rFonts w:ascii="Arial" w:eastAsia="MS Mincho" w:hAnsi="Arial" w:cs="Arial"/>
          <w:sz w:val="24"/>
          <w:szCs w:val="24"/>
          <w:lang w:val="en-US"/>
        </w:rPr>
      </w:pPr>
      <w:r w:rsidRPr="00F52350">
        <w:rPr>
          <w:rFonts w:ascii="Arial" w:eastAsia="Arial" w:hAnsi="Arial" w:cs="Arial"/>
          <w:b/>
          <w:sz w:val="24"/>
          <w:szCs w:val="24"/>
          <w:lang w:val="en-US"/>
        </w:rPr>
        <w:t xml:space="preserve">Table 9 </w:t>
      </w:r>
      <w:r w:rsidR="00585BFA">
        <w:rPr>
          <w:rFonts w:ascii="Arial" w:eastAsia="Arial" w:hAnsi="Arial" w:cs="Arial"/>
          <w:b/>
          <w:sz w:val="24"/>
          <w:szCs w:val="24"/>
          <w:lang w:val="en-US"/>
        </w:rPr>
        <w:t xml:space="preserve">Investment Appraisal </w:t>
      </w:r>
      <w:proofErr w:type="gramStart"/>
      <w:r w:rsidR="00585BFA">
        <w:rPr>
          <w:rFonts w:ascii="Arial" w:eastAsia="Arial" w:hAnsi="Arial" w:cs="Arial"/>
          <w:b/>
          <w:sz w:val="24"/>
          <w:szCs w:val="24"/>
          <w:lang w:val="en-US"/>
        </w:rPr>
        <w:t xml:space="preserve">Summaries </w:t>
      </w:r>
      <w:r w:rsidRPr="00F52350">
        <w:rPr>
          <w:rFonts w:ascii="Arial" w:eastAsia="Arial" w:hAnsi="Arial" w:cs="Arial"/>
          <w:b/>
          <w:sz w:val="24"/>
          <w:szCs w:val="24"/>
          <w:lang w:val="en-US"/>
        </w:rPr>
        <w:t xml:space="preserve"> Projects</w:t>
      </w:r>
      <w:proofErr w:type="gramEnd"/>
      <w:r w:rsidRPr="00F52350">
        <w:rPr>
          <w:rFonts w:ascii="Arial" w:eastAsia="Arial" w:hAnsi="Arial" w:cs="Arial"/>
          <w:b/>
          <w:sz w:val="24"/>
          <w:szCs w:val="24"/>
          <w:lang w:val="en-US"/>
        </w:rPr>
        <w:t xml:space="preserve"> A, B, C</w:t>
      </w:r>
    </w:p>
    <w:tbl>
      <w:tblPr>
        <w:tblStyle w:val="TableGrid"/>
        <w:tblW w:w="0" w:type="auto"/>
        <w:tblLook w:val="04A0" w:firstRow="1" w:lastRow="0" w:firstColumn="1" w:lastColumn="0" w:noHBand="0" w:noVBand="1"/>
      </w:tblPr>
      <w:tblGrid>
        <w:gridCol w:w="1805"/>
        <w:gridCol w:w="1805"/>
        <w:gridCol w:w="1805"/>
        <w:gridCol w:w="1805"/>
        <w:gridCol w:w="1805"/>
      </w:tblGrid>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b/>
                <w:sz w:val="24"/>
                <w:szCs w:val="24"/>
              </w:rPr>
              <w:t>Metric</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b/>
                <w:sz w:val="24"/>
                <w:szCs w:val="24"/>
              </w:rPr>
              <w:t>Project A</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b/>
                <w:sz w:val="24"/>
                <w:szCs w:val="24"/>
              </w:rPr>
              <w:t>Project B</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b/>
                <w:sz w:val="24"/>
                <w:szCs w:val="24"/>
              </w:rPr>
              <w:t>Project C</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b/>
                <w:sz w:val="24"/>
                <w:szCs w:val="24"/>
              </w:rPr>
              <w:t>Decision Rule</w:t>
            </w:r>
          </w:p>
        </w:tc>
      </w:tr>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Payback Period (</w:t>
            </w:r>
            <w:proofErr w:type="spellStart"/>
            <w:r w:rsidRPr="00F52350">
              <w:rPr>
                <w:rFonts w:ascii="Arial" w:eastAsia="Arial" w:hAnsi="Arial" w:cs="Arial"/>
                <w:sz w:val="24"/>
                <w:szCs w:val="24"/>
              </w:rPr>
              <w:t>yrs</w:t>
            </w:r>
            <w:proofErr w:type="spellEnd"/>
            <w:r w:rsidRPr="00F52350">
              <w:rPr>
                <w:rFonts w:ascii="Arial" w:eastAsia="Arial" w:hAnsi="Arial" w:cs="Arial"/>
                <w:sz w:val="24"/>
                <w:szCs w:val="24"/>
              </w:rPr>
              <w:t>)</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4.50</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4.55</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3.60</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Shorter preferred</w:t>
            </w:r>
          </w:p>
        </w:tc>
      </w:tr>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ARR</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1.6%</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2.0%</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6.0%</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Higher better</w:t>
            </w:r>
          </w:p>
        </w:tc>
      </w:tr>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NPV @ 8% (£m)</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–3.07</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–2.57</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+4.93</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Accept if &gt; 0</w:t>
            </w:r>
          </w:p>
        </w:tc>
      </w:tr>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Profitability Index</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0.939</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0.949</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1.099</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Accept if &gt; 1</w:t>
            </w:r>
          </w:p>
        </w:tc>
      </w:tr>
      <w:tr w:rsidR="007E50F7" w:rsidRPr="00F52350" w:rsidTr="007E50F7">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IRR</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2.72%</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3.26%</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8.59%</w:t>
            </w:r>
          </w:p>
        </w:tc>
        <w:tc>
          <w:tcPr>
            <w:tcW w:w="1805" w:type="dxa"/>
            <w:tcBorders>
              <w:top w:val="single" w:sz="4" w:space="0" w:color="auto"/>
              <w:left w:val="single" w:sz="4" w:space="0" w:color="auto"/>
              <w:bottom w:val="single" w:sz="4" w:space="0" w:color="auto"/>
              <w:right w:val="single" w:sz="4" w:space="0" w:color="auto"/>
            </w:tcBorders>
            <w:hideMark/>
          </w:tcPr>
          <w:p w:rsidR="007E50F7" w:rsidRPr="00F52350" w:rsidRDefault="007E50F7">
            <w:pPr>
              <w:spacing w:line="360" w:lineRule="auto"/>
              <w:rPr>
                <w:rFonts w:ascii="Arial" w:hAnsi="Arial" w:cs="Arial"/>
                <w:sz w:val="24"/>
                <w:szCs w:val="24"/>
              </w:rPr>
            </w:pPr>
            <w:r w:rsidRPr="00F52350">
              <w:rPr>
                <w:rFonts w:ascii="Arial" w:eastAsia="Arial" w:hAnsi="Arial" w:cs="Arial"/>
                <w:sz w:val="24"/>
                <w:szCs w:val="24"/>
              </w:rPr>
              <w:t>Accept if &gt; 8%</w:t>
            </w:r>
          </w:p>
        </w:tc>
      </w:tr>
    </w:tbl>
    <w:p w:rsidR="007E50F7" w:rsidRPr="00F52350" w:rsidRDefault="007E50F7" w:rsidP="007E50F7">
      <w:pPr>
        <w:spacing w:line="360" w:lineRule="auto"/>
        <w:jc w:val="center"/>
        <w:rPr>
          <w:rFonts w:ascii="Arial" w:eastAsia="MS Mincho" w:hAnsi="Arial" w:cs="Arial"/>
          <w:lang w:val="en-US"/>
        </w:rPr>
      </w:pPr>
      <w:r w:rsidRPr="00F52350">
        <w:rPr>
          <w:rFonts w:ascii="Arial" w:eastAsia="Arial" w:hAnsi="Arial" w:cs="Arial"/>
          <w:sz w:val="18"/>
          <w:lang w:val="en-US"/>
        </w:rPr>
        <w:t>Source: Author’s calculations (Excel Investment Appraisal sheet).</w:t>
      </w:r>
    </w:p>
    <w:p w:rsidR="007E50F7" w:rsidRPr="00F52350" w:rsidRDefault="007E50F7" w:rsidP="007E50F7">
      <w:pPr>
        <w:spacing w:after="80" w:line="360" w:lineRule="auto"/>
        <w:jc w:val="both"/>
        <w:rPr>
          <w:rFonts w:ascii="Arial" w:eastAsia="MS Mincho" w:hAnsi="Arial" w:cs="Arial"/>
          <w:lang w:val="en-US"/>
        </w:rPr>
      </w:pPr>
      <w:r w:rsidRPr="00F52350">
        <w:rPr>
          <w:rFonts w:ascii="Arial" w:eastAsia="Arial" w:hAnsi="Arial" w:cs="Arial"/>
          <w:b/>
          <w:sz w:val="24"/>
          <w:lang w:val="en-US"/>
        </w:rPr>
        <w:t>Payback Period (PBP)</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The payback period measures the time required for cumulative undiscounted cash inflows to recover the initial investment. It is a simple liquidity-oriented screen that ignores the time value of money and all cash flows beyond the recovery point (Pike and Neale, 2022). For Project A the cumulative inflows reach £46 million by the end of Year 4 and the remaining £4 million is recovered in Year 5, giving a payback of 4.50 years. Project B recovers £44 million after four years and the residual £6 million in Year 5, producing a payback of approximately 4.55 years. Project C accumulates £35 million by the end of Year 3 and recovers the remaining £15 million early in Year 4, yielding the shortest payback of 3.60 years. On a pure payback ranking, therefore, C is preferred to A, which is preferred to B. While none of the projects recovers capital within a particularly aggressive threshold (for example three years), C’s shorter exposure period reduces the horizon over which forecast risk is borne.</w:t>
      </w:r>
    </w:p>
    <w:p w:rsidR="007E50F7" w:rsidRPr="00F52350" w:rsidRDefault="007E50F7" w:rsidP="007E50F7">
      <w:pPr>
        <w:spacing w:after="80" w:line="360" w:lineRule="auto"/>
        <w:jc w:val="both"/>
        <w:rPr>
          <w:rFonts w:ascii="Arial" w:eastAsia="MS Mincho" w:hAnsi="Arial" w:cs="Arial"/>
          <w:lang w:val="en-US"/>
        </w:rPr>
      </w:pPr>
      <w:r w:rsidRPr="00F52350">
        <w:rPr>
          <w:rFonts w:ascii="Arial" w:eastAsia="Arial" w:hAnsi="Arial" w:cs="Arial"/>
          <w:b/>
          <w:sz w:val="24"/>
          <w:lang w:val="en-US"/>
        </w:rPr>
        <w:t>Accounting Rate of Return (ARR)</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ARR is defined as average annual accounting profit divided by the initial investment. Accounting profit is obtained by subtracting the annual depreciation charge of £10 million from each year’s cash inflow. Project A generates accounting profits of £0 m, </w:t>
      </w:r>
      <w:r w:rsidRPr="00F52350">
        <w:rPr>
          <w:rFonts w:ascii="Arial" w:eastAsia="Arial" w:hAnsi="Arial" w:cs="Arial"/>
          <w:sz w:val="24"/>
          <w:lang w:val="en-US"/>
        </w:rPr>
        <w:lastRenderedPageBreak/>
        <w:t xml:space="preserve">£2 m, £4 m, £0 m and –£2 m, an average of £0.8 million and an ARR of 1.6 per cent. Project B produces a constant accounting profit of £1 million each year, an ARR of 2.0 per cent. Project C yields profits of –£5 m, £0 m, £10 m, £15 m and –£5 m, an average of £3.0 million and an ARR of 6.0 per cent. Although ARR is widely </w:t>
      </w:r>
      <w:r w:rsidR="00585BFA" w:rsidRPr="00F52350">
        <w:rPr>
          <w:rFonts w:ascii="Arial" w:eastAsia="Arial" w:hAnsi="Arial" w:cs="Arial"/>
          <w:sz w:val="24"/>
          <w:lang w:val="en-US"/>
        </w:rPr>
        <w:t>criticized</w:t>
      </w:r>
      <w:r w:rsidRPr="00F52350">
        <w:rPr>
          <w:rFonts w:ascii="Arial" w:eastAsia="Arial" w:hAnsi="Arial" w:cs="Arial"/>
          <w:sz w:val="24"/>
          <w:lang w:val="en-US"/>
        </w:rPr>
        <w:t xml:space="preserve"> for its reliance on accounting numbers rather than cash flows and for its neglect of the time value of money, the ranking remains unambiguous: C dominates A and B. The absolute levels of ARR are modest relative to a typical target return, yet the comparative information is consistent with the discounted-cash-flow results that follow (Arnold and Lewis, 2019).</w:t>
      </w:r>
    </w:p>
    <w:p w:rsidR="007E50F7" w:rsidRPr="00F52350" w:rsidRDefault="007E50F7" w:rsidP="007E50F7">
      <w:pPr>
        <w:spacing w:after="80" w:line="360" w:lineRule="auto"/>
        <w:jc w:val="both"/>
        <w:rPr>
          <w:rFonts w:ascii="Arial" w:eastAsia="MS Mincho" w:hAnsi="Arial" w:cs="Arial"/>
          <w:lang w:val="en-US"/>
        </w:rPr>
      </w:pPr>
      <w:r w:rsidRPr="00F52350">
        <w:rPr>
          <w:rFonts w:ascii="Arial" w:eastAsia="Arial" w:hAnsi="Arial" w:cs="Arial"/>
          <w:b/>
          <w:sz w:val="24"/>
          <w:lang w:val="en-US"/>
        </w:rPr>
        <w:t>Net Present Value (NPV)</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NPV is the sum of the present values of all project cash flows, discounted at the cost of capital, minus the initial outlay. It is the theoretically preferred decision criterion because it measures the absolute increase in shareholder wealth in present-value terms (</w:t>
      </w:r>
      <w:proofErr w:type="spellStart"/>
      <w:r w:rsidRPr="00F52350">
        <w:rPr>
          <w:rFonts w:ascii="Arial" w:eastAsia="Arial" w:hAnsi="Arial" w:cs="Arial"/>
          <w:sz w:val="24"/>
          <w:lang w:val="en-US"/>
        </w:rPr>
        <w:t>Brealey</w:t>
      </w:r>
      <w:proofErr w:type="spellEnd"/>
      <w:r w:rsidRPr="00F52350">
        <w:rPr>
          <w:rFonts w:ascii="Arial" w:eastAsia="Arial" w:hAnsi="Arial" w:cs="Arial"/>
          <w:sz w:val="24"/>
          <w:lang w:val="en-US"/>
        </w:rPr>
        <w:t xml:space="preserve"> et al., 2023; </w:t>
      </w:r>
      <w:proofErr w:type="spellStart"/>
      <w:r w:rsidRPr="00F52350">
        <w:rPr>
          <w:rFonts w:ascii="Arial" w:eastAsia="Arial" w:hAnsi="Arial" w:cs="Arial"/>
          <w:sz w:val="24"/>
          <w:lang w:val="en-US"/>
        </w:rPr>
        <w:t>Damodaran</w:t>
      </w:r>
      <w:proofErr w:type="spellEnd"/>
      <w:r w:rsidRPr="00F52350">
        <w:rPr>
          <w:rFonts w:ascii="Arial" w:eastAsia="Arial" w:hAnsi="Arial" w:cs="Arial"/>
          <w:sz w:val="24"/>
          <w:lang w:val="en-US"/>
        </w:rPr>
        <w:t xml:space="preserve">, 2024). Discount factors at 8 per cent are 0.9259, 0.8573, 0.7938, 0.7350 and 0.6806 for Years 1 to 5 respectively. Applying these factors yields a total present value of inflows of £43.46 million for Project A, £43.92 million for Project B and £50.86 million for Project C. Subtracting the £50 million initial investment produces NPVs of –£3.07 million (A), –£2.57 million (B) and +£4.93 million (C). </w:t>
      </w:r>
      <w:proofErr w:type="gramStart"/>
      <w:r w:rsidRPr="00F52350">
        <w:rPr>
          <w:rFonts w:ascii="Arial" w:eastAsia="Arial" w:hAnsi="Arial" w:cs="Arial"/>
          <w:sz w:val="24"/>
          <w:lang w:val="en-US"/>
        </w:rPr>
        <w:t>Only Project C creates value; Projects A and B destroy value at the 8 per cent hurdle rate.</w:t>
      </w:r>
      <w:proofErr w:type="gramEnd"/>
      <w:r w:rsidRPr="00F52350">
        <w:rPr>
          <w:rFonts w:ascii="Arial" w:eastAsia="Arial" w:hAnsi="Arial" w:cs="Arial"/>
          <w:sz w:val="24"/>
          <w:lang w:val="en-US"/>
        </w:rPr>
        <w:t xml:space="preserve"> The economic interpretation is clear: accepting A or B would reduce the market value of the firm, whereas accepting C increases it by nearly £5 million in present-value terms.</w:t>
      </w:r>
    </w:p>
    <w:p w:rsidR="007E50F7" w:rsidRPr="00F52350" w:rsidRDefault="007E50F7" w:rsidP="007E50F7">
      <w:pPr>
        <w:spacing w:after="80" w:line="360" w:lineRule="auto"/>
        <w:jc w:val="both"/>
        <w:rPr>
          <w:rFonts w:ascii="Arial" w:eastAsia="MS Mincho" w:hAnsi="Arial" w:cs="Arial"/>
          <w:lang w:val="en-US"/>
        </w:rPr>
      </w:pPr>
      <w:r w:rsidRPr="00F52350">
        <w:rPr>
          <w:rFonts w:ascii="Arial" w:eastAsia="Arial" w:hAnsi="Arial" w:cs="Arial"/>
          <w:b/>
          <w:sz w:val="24"/>
          <w:lang w:val="en-US"/>
        </w:rPr>
        <w:t>Profitability Index (PI)</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The profitability index is defined as the present value of future cash inflows divided by the initial investm</w:t>
      </w:r>
      <w:r w:rsidR="00585BFA">
        <w:rPr>
          <w:rFonts w:ascii="Arial" w:eastAsia="Arial" w:hAnsi="Arial" w:cs="Arial"/>
          <w:sz w:val="24"/>
          <w:lang w:val="en-US"/>
        </w:rPr>
        <w:t>ent (or, equivalently, 1 and NPV and</w:t>
      </w:r>
      <w:r w:rsidRPr="00F52350">
        <w:rPr>
          <w:rFonts w:ascii="Arial" w:eastAsia="Arial" w:hAnsi="Arial" w:cs="Arial"/>
          <w:sz w:val="24"/>
          <w:lang w:val="en-US"/>
        </w:rPr>
        <w:t xml:space="preserve"> Initial Investment). It is particularly useful under capital rationing because it measures value created per unit of scarce capital (Watson and Head, 2019). Project A has a PI of 0.939, Project B a PI of 0.949 and Project C a PI of 1.099. A PI greater than one confirms that the project earns more than the cost of capital; a PI less than one confirms value destruction. The ranking again places C first, and only C satisfies the acceptance threshold.</w:t>
      </w:r>
    </w:p>
    <w:p w:rsidR="00282AAF" w:rsidRDefault="00282AAF" w:rsidP="007E50F7">
      <w:pPr>
        <w:spacing w:after="80" w:line="360" w:lineRule="auto"/>
        <w:jc w:val="both"/>
        <w:rPr>
          <w:rFonts w:ascii="Arial" w:eastAsia="Arial" w:hAnsi="Arial" w:cs="Arial"/>
          <w:b/>
          <w:sz w:val="24"/>
          <w:lang w:val="en-US"/>
        </w:rPr>
      </w:pPr>
    </w:p>
    <w:p w:rsidR="007E50F7" w:rsidRPr="00F52350" w:rsidRDefault="007E50F7" w:rsidP="007E50F7">
      <w:pPr>
        <w:spacing w:after="80" w:line="360" w:lineRule="auto"/>
        <w:jc w:val="both"/>
        <w:rPr>
          <w:rFonts w:ascii="Arial" w:eastAsia="MS Mincho" w:hAnsi="Arial" w:cs="Arial"/>
          <w:lang w:val="en-US"/>
        </w:rPr>
      </w:pPr>
      <w:r w:rsidRPr="00F52350">
        <w:rPr>
          <w:rFonts w:ascii="Arial" w:eastAsia="Arial" w:hAnsi="Arial" w:cs="Arial"/>
          <w:b/>
          <w:sz w:val="24"/>
          <w:lang w:val="en-US"/>
        </w:rPr>
        <w:lastRenderedPageBreak/>
        <w:t>Internal Rate of Return (IRR)</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IRR is the discount rate that sets a project’s NPV to zero. It is compared with the cost of capital: projects whose IRR exceeds the hurdle rate are accepted. Solving the IRR equation for each cash-flow series produces an IRR of 2.72 per cent for Project A, 3.26 per cent for Project B and 8.59 per cent for Project C. Only Project C clears the 8 per cent cost-of-capital threshold, and then only by a modest margin. The low IRRs of A and B confirm that their cash-flow streams are insufficient to compensate investors for the time value of money and risk embedded in the 8 per cent discount rate (Pike and Neale, 2022).</w:t>
      </w:r>
    </w:p>
    <w:p w:rsidR="007E50F7" w:rsidRPr="00F52350" w:rsidRDefault="007E50F7" w:rsidP="007E50F7">
      <w:pPr>
        <w:spacing w:after="160" w:line="360" w:lineRule="auto"/>
        <w:jc w:val="both"/>
        <w:rPr>
          <w:rFonts w:ascii="Arial" w:eastAsia="MS Mincho" w:hAnsi="Arial" w:cs="Arial"/>
          <w:lang w:val="en-US"/>
        </w:rPr>
      </w:pP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45" w:name="_Toc237510923"/>
      <w:r w:rsidRPr="00F52350">
        <w:rPr>
          <w:rFonts w:eastAsia="Arial" w:cs="Arial"/>
          <w:color w:val="auto"/>
          <w:lang w:val="en-US"/>
        </w:rPr>
        <w:t>Single Project Recommendation</w:t>
      </w:r>
      <w:bookmarkEnd w:id="45"/>
    </w:p>
    <w:p w:rsidR="00F829CA" w:rsidRDefault="00F829CA" w:rsidP="00F829CA">
      <w:pPr>
        <w:spacing w:after="160" w:line="360" w:lineRule="auto"/>
        <w:jc w:val="both"/>
      </w:pPr>
      <w:r>
        <w:rPr>
          <w:rFonts w:ascii="Arial" w:eastAsia="Arial" w:hAnsi="Arial"/>
          <w:sz w:val="24"/>
        </w:rPr>
        <w:t>On the basis of the multi-criteria appraisal, Project C is recommended as the sole project to be accepted. The financial case is decisive: C is the only project that adds to shareholder wealth (NPV +£4.93 million), that returns more than one pound of present value for every pound invested (PI 1.099), and that earns a rate of return above the cost of capital (IRR 8.59 per cent). Projects A and B both fail every discounted-cash-flow test and would, if accepted, reduce the market value of IHG.</w:t>
      </w:r>
    </w:p>
    <w:p w:rsidR="00F829CA" w:rsidRDefault="00F829CA" w:rsidP="00F829CA">
      <w:pPr>
        <w:spacing w:after="160" w:line="360" w:lineRule="auto"/>
        <w:jc w:val="both"/>
      </w:pPr>
      <w:r>
        <w:rPr>
          <w:rFonts w:ascii="Arial" w:eastAsia="Arial" w:hAnsi="Arial"/>
          <w:sz w:val="24"/>
        </w:rPr>
        <w:t>The recommendation is reinforced when the appraisal is placed in the context of IHG’s recent financial performance. The Group has demonstrated strong free-cash-flow generation (adjusted free cash flow of US$893 million in 2025) and maintains a controll</w:t>
      </w:r>
      <w:r w:rsidR="00585BFA">
        <w:rPr>
          <w:rFonts w:ascii="Arial" w:eastAsia="Arial" w:hAnsi="Arial"/>
          <w:sz w:val="24"/>
        </w:rPr>
        <w:t>ed leverage position (net debt and</w:t>
      </w:r>
      <w:r>
        <w:rPr>
          <w:rFonts w:ascii="Arial" w:eastAsia="Arial" w:hAnsi="Arial"/>
          <w:sz w:val="24"/>
        </w:rPr>
        <w:t xml:space="preserve"> adjusted EBITDA of 2.5×). A £50 million sterling outlay is therefore well within the Group’s financing capacity and would not imperil liquidity ratios, interest-cover metrics or the investment-grade credit profile that underpins access to capital markets (IHG, 2026a; S&amp;P Global, 2025). The back-end-loaded</w:t>
      </w:r>
      <w:r w:rsidR="00585BFA">
        <w:rPr>
          <w:rFonts w:ascii="Arial" w:eastAsia="Arial" w:hAnsi="Arial"/>
          <w:sz w:val="24"/>
        </w:rPr>
        <w:t xml:space="preserve"> cash-flow profile of Project C </w:t>
      </w:r>
      <w:r>
        <w:rPr>
          <w:rFonts w:ascii="Arial" w:eastAsia="Arial" w:hAnsi="Arial"/>
          <w:sz w:val="24"/>
        </w:rPr>
        <w:t>modest inflows in the early years followed by substantially l</w:t>
      </w:r>
      <w:r w:rsidR="00585BFA">
        <w:rPr>
          <w:rFonts w:ascii="Arial" w:eastAsia="Arial" w:hAnsi="Arial"/>
          <w:sz w:val="24"/>
        </w:rPr>
        <w:t xml:space="preserve">arger receipts in Years 3 and 4 </w:t>
      </w:r>
      <w:r>
        <w:rPr>
          <w:rFonts w:ascii="Arial" w:eastAsia="Arial" w:hAnsi="Arial"/>
          <w:sz w:val="24"/>
        </w:rPr>
        <w:t>is consistent with the multi-year gestation periods typical of hotel-system development, brand-extension programmes and digital-platform investments that characterise IHG’s organic growth model. In other words, the timing of C’s cash flows aligns with the economic reality of the business, whereas the flatter or front-loaded profiles of A and B do not compensate investors adequately for the risk borne.</w:t>
      </w:r>
    </w:p>
    <w:p w:rsidR="00F829CA" w:rsidRDefault="00F829CA" w:rsidP="00F829CA">
      <w:pPr>
        <w:spacing w:after="160" w:line="360" w:lineRule="auto"/>
        <w:jc w:val="both"/>
      </w:pPr>
      <w:r>
        <w:rPr>
          <w:rFonts w:ascii="Arial" w:eastAsia="Arial" w:hAnsi="Arial"/>
          <w:sz w:val="24"/>
        </w:rPr>
        <w:lastRenderedPageBreak/>
        <w:t>Non-financial risks must nevertheless be acknowledged and managed. Political and regulatory risk in certain expansion markets could delay or diminish projected cash flows; currency volatility may affect the sterling translation of overseas receipts; and any compromise of brand standards or owner-relationship quality could impair the long-term loyalty of both hotel owners and guests (Deloitte, 2025; UNWTO, 2025). These risks are common to virtually any growth initiative in the global hospitality sector and do not overturn the clear financial superiority of Project C. They do, however, underscore the necessity of rigorous due diligence, staged capital commitment and on-going post-investment monitoring disciplines that IHG already applies to its system-growth and capital-allocation processes. From a strategic perspective, selecting the only value-creating project also reinforces the Board’s fiduciary duty to deploy capital where the expected return exceeds the opportunity cost of capital, thereby protecting and enhancing long-term shareholder value (</w:t>
      </w:r>
      <w:proofErr w:type="spellStart"/>
      <w:r>
        <w:rPr>
          <w:rFonts w:ascii="Arial" w:eastAsia="Arial" w:hAnsi="Arial"/>
          <w:sz w:val="24"/>
        </w:rPr>
        <w:t>Damodaran</w:t>
      </w:r>
      <w:proofErr w:type="spellEnd"/>
      <w:r>
        <w:rPr>
          <w:rFonts w:ascii="Arial" w:eastAsia="Arial" w:hAnsi="Arial"/>
          <w:sz w:val="24"/>
        </w:rPr>
        <w:t>, 2024).</w:t>
      </w:r>
    </w:p>
    <w:p w:rsidR="00F829CA" w:rsidRDefault="00F829CA" w:rsidP="00F829CA">
      <w:pPr>
        <w:spacing w:after="160" w:line="360" w:lineRule="auto"/>
        <w:jc w:val="both"/>
      </w:pPr>
      <w:r>
        <w:rPr>
          <w:rFonts w:ascii="Arial" w:eastAsia="Arial" w:hAnsi="Arial"/>
          <w:sz w:val="24"/>
        </w:rPr>
        <w:t>In summary, the single-project decision is straightforward: accept Project C and reject Projects A and B. The decision is supported by every formal appraisal metric, is consistent with IHG’s cash-flow strength and leverage capacity, and remains robust after qualitative risk factors have been considered.</w:t>
      </w:r>
    </w:p>
    <w:p w:rsidR="007E50F7" w:rsidRPr="00F52350" w:rsidRDefault="007E50F7" w:rsidP="007E50F7">
      <w:pPr>
        <w:spacing w:after="160" w:line="360" w:lineRule="auto"/>
        <w:jc w:val="both"/>
        <w:rPr>
          <w:rFonts w:ascii="Arial" w:eastAsia="Arial" w:hAnsi="Arial" w:cs="Arial"/>
          <w:sz w:val="24"/>
          <w:lang w:val="en-US"/>
        </w:rPr>
      </w:pPr>
    </w:p>
    <w:p w:rsidR="00F829CA" w:rsidRDefault="00F829CA" w:rsidP="007E50F7">
      <w:pPr>
        <w:spacing w:after="160" w:line="360" w:lineRule="auto"/>
        <w:jc w:val="both"/>
        <w:rPr>
          <w:rFonts w:ascii="Arial" w:eastAsia="Arial" w:hAnsi="Arial" w:cs="Arial"/>
          <w:sz w:val="24"/>
          <w:lang w:val="en-US"/>
        </w:rPr>
      </w:pPr>
    </w:p>
    <w:p w:rsidR="00F829CA" w:rsidRDefault="00F829CA" w:rsidP="007E50F7">
      <w:pPr>
        <w:spacing w:after="160" w:line="360" w:lineRule="auto"/>
        <w:jc w:val="both"/>
        <w:rPr>
          <w:rFonts w:ascii="Arial" w:eastAsia="Arial" w:hAnsi="Arial" w:cs="Arial"/>
          <w:sz w:val="24"/>
          <w:lang w:val="en-US"/>
        </w:rPr>
      </w:pP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46" w:name="_Toc237510924"/>
      <w:r w:rsidR="00282AAF">
        <w:rPr>
          <w:rFonts w:eastAsia="Arial" w:cs="Arial"/>
          <w:color w:val="auto"/>
          <w:lang w:val="en-US"/>
        </w:rPr>
        <w:t xml:space="preserve">Capital Rationing </w:t>
      </w:r>
      <w:r w:rsidRPr="00F52350">
        <w:rPr>
          <w:rFonts w:eastAsia="Arial" w:cs="Arial"/>
          <w:color w:val="auto"/>
          <w:lang w:val="en-US"/>
        </w:rPr>
        <w:t>Optimal Combination</w:t>
      </w:r>
      <w:bookmarkEnd w:id="46"/>
    </w:p>
    <w:p w:rsidR="007E50F7" w:rsidRPr="00F52350" w:rsidRDefault="007E50F7" w:rsidP="007E50F7">
      <w:pPr>
        <w:spacing w:after="160" w:line="360" w:lineRule="auto"/>
        <w:jc w:val="both"/>
        <w:rPr>
          <w:rFonts w:ascii="Arial" w:hAnsi="Arial" w:cs="Arial"/>
        </w:rPr>
      </w:pPr>
      <w:r w:rsidRPr="00F52350">
        <w:rPr>
          <w:rFonts w:ascii="Arial" w:eastAsia="Arial" w:hAnsi="Arial" w:cs="Arial"/>
          <w:sz w:val="24"/>
        </w:rPr>
        <w:t>The combination that maximises shareholder wealth is therefore Project C alone (NPV +£4.93 million). Adding either A or B to C reduces total NPV because both A and B contribute negative present value; the residual £50 million of capital is better left uninvest (or reserved for future value-accretive opportunities that may arise outside the three projects under consideration) than deployed in a value-destroying project. The profitability-index ranking yields the same conclusion: only C has a PI greater than one, so only C should receive scarce capital.</w:t>
      </w:r>
    </w:p>
    <w:p w:rsidR="007E50F7" w:rsidRPr="00F52350" w:rsidRDefault="007E50F7" w:rsidP="007E50F7">
      <w:pPr>
        <w:spacing w:after="160" w:line="360" w:lineRule="auto"/>
        <w:jc w:val="both"/>
        <w:rPr>
          <w:rFonts w:ascii="Arial" w:hAnsi="Arial" w:cs="Arial"/>
        </w:rPr>
      </w:pPr>
      <w:r w:rsidRPr="00F52350">
        <w:rPr>
          <w:rFonts w:ascii="Arial" w:eastAsia="Arial" w:hAnsi="Arial" w:cs="Arial"/>
          <w:sz w:val="24"/>
        </w:rPr>
        <w:t xml:space="preserve">It is worth emphasising that the capital-rationing result is not an artefact of a single metric. Because </w:t>
      </w:r>
      <w:proofErr w:type="gramStart"/>
      <w:r w:rsidRPr="00F52350">
        <w:rPr>
          <w:rFonts w:ascii="Arial" w:eastAsia="Arial" w:hAnsi="Arial" w:cs="Arial"/>
          <w:sz w:val="24"/>
        </w:rPr>
        <w:t>A and</w:t>
      </w:r>
      <w:proofErr w:type="gramEnd"/>
      <w:r w:rsidRPr="00F52350">
        <w:rPr>
          <w:rFonts w:ascii="Arial" w:eastAsia="Arial" w:hAnsi="Arial" w:cs="Arial"/>
          <w:sz w:val="24"/>
        </w:rPr>
        <w:t xml:space="preserve"> B fail the NPV, PI and IRR tests simultaneously, any portfolio </w:t>
      </w:r>
      <w:r w:rsidRPr="00F52350">
        <w:rPr>
          <w:rFonts w:ascii="Arial" w:eastAsia="Arial" w:hAnsi="Arial" w:cs="Arial"/>
          <w:sz w:val="24"/>
        </w:rPr>
        <w:lastRenderedPageBreak/>
        <w:t>that includes them is inferior to a portfolio that excludes them. The decision rule under capital rationing therefore collapses to the same recommendation already reached under the unconstrained single-project analysis: accept C and reject A and B. This congruence between the unconstrained and constrained solutions strengthens confidence in the robustness of the recommendation (Arnold and Lewis, 2019).</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From a practical corporate-finance standpoint, the residual capital capacity of £50 million should be retained as a strategic reserve. IHG’s demonstrated free-cash-flow generation implies that additional value-creating opportunities whether bolt-on acquisitions; system-growth initiatives or digital investments are likely to emerge within the planning horizon. Maintaining unused headroom preserves the optionality to fund such opportunities without resorting to incremental leverage that might pressure the net-debt/EBITDA ratio or the Group’s investment-grade rating. In short, capital rationing, when applied rigorously, not only selects the best project among those currently on the table but also disciplines management to withhold capital from inferior uses an essential safeguard of long-term shareholder value.</w:t>
      </w:r>
    </w:p>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When projects are indivisible, the correct procedure is to enumerate the feasible combinations and to choose the set with the highest aggregate NPV. The NPVs of the individual projects are –£3.07 m (A), –£2.57 m (B) and +£4.93 m (C). Consequently the aggregate NPVs are:</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A alone: NPV = –£3.07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B alone: NPV = –£2.57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C alone: NPV = +£4.93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A + B: NPV = –£5.64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A + C: NPV = +£1.86 m</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B + C: NPV = +£2.36 m</w:t>
      </w:r>
    </w:p>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Arial" w:hAnsi="Arial" w:cs="Arial"/>
          <w:sz w:val="24"/>
          <w:lang w:val="en-US"/>
        </w:rPr>
      </w:pPr>
      <w:r w:rsidRPr="00F52350">
        <w:rPr>
          <w:rFonts w:ascii="Arial" w:hAnsi="Arial" w:cs="Arial"/>
          <w:noProof/>
          <w:lang w:eastAsia="en-GB"/>
        </w:rPr>
        <w:lastRenderedPageBreak/>
        <w:drawing>
          <wp:inline distT="0" distB="0" distL="0" distR="0" wp14:anchorId="3CF32BCD" wp14:editId="57E42E3D">
            <wp:extent cx="5302250" cy="31559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302250" cy="3155950"/>
                    </a:xfrm>
                    <a:prstGeom prst="rect">
                      <a:avLst/>
                    </a:prstGeom>
                    <a:noFill/>
                    <a:ln>
                      <a:noFill/>
                    </a:ln>
                  </pic:spPr>
                </pic:pic>
              </a:graphicData>
            </a:graphic>
          </wp:inline>
        </w:drawing>
      </w:r>
    </w:p>
    <w:p w:rsidR="007E50F7" w:rsidRPr="00F52350" w:rsidRDefault="007E50F7" w:rsidP="007E50F7">
      <w:pPr>
        <w:jc w:val="center"/>
        <w:rPr>
          <w:rFonts w:ascii="Arial" w:hAnsi="Arial" w:cs="Arial"/>
        </w:rPr>
      </w:pPr>
      <w:r w:rsidRPr="00F52350">
        <w:rPr>
          <w:rFonts w:ascii="Arial" w:eastAsia="Arial" w:hAnsi="Arial" w:cs="Arial"/>
          <w:b/>
          <w:sz w:val="18"/>
        </w:rPr>
        <w:t>Figure 5.3 Capital Rationing – Aggregate NPV by Project Combination (£ million)</w:t>
      </w:r>
    </w:p>
    <w:p w:rsidR="007E50F7" w:rsidRPr="0089339D" w:rsidRDefault="007E50F7" w:rsidP="007E50F7">
      <w:pPr>
        <w:spacing w:after="160"/>
        <w:jc w:val="center"/>
        <w:rPr>
          <w:rFonts w:ascii="Arial" w:hAnsi="Arial" w:cs="Arial"/>
          <w:sz w:val="20"/>
          <w:szCs w:val="20"/>
        </w:rPr>
      </w:pPr>
      <w:r w:rsidRPr="0089339D">
        <w:rPr>
          <w:rFonts w:ascii="Arial" w:eastAsia="Arial" w:hAnsi="Arial" w:cs="Arial"/>
          <w:sz w:val="20"/>
          <w:szCs w:val="20"/>
        </w:rPr>
        <w:t>Source: Author’s calculations. Optimal combination highlighted in green.</w:t>
      </w:r>
    </w:p>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Arial" w:hAnsi="Arial" w:cs="Arial"/>
          <w:sz w:val="24"/>
          <w:lang w:val="en-US"/>
        </w:rPr>
      </w:pPr>
    </w:p>
    <w:p w:rsidR="00F829CA" w:rsidRPr="00F829CA" w:rsidRDefault="00F829CA" w:rsidP="00F829CA">
      <w:pPr>
        <w:spacing w:after="160" w:line="360" w:lineRule="auto"/>
        <w:jc w:val="both"/>
        <w:rPr>
          <w:rFonts w:ascii="Cambria" w:eastAsia="MS Mincho" w:hAnsi="Cambria" w:cs="Times New Roman"/>
          <w:lang w:val="en-US"/>
        </w:rPr>
      </w:pPr>
      <w:r w:rsidRPr="00F829CA">
        <w:rPr>
          <w:rFonts w:ascii="Arial" w:eastAsia="Arial" w:hAnsi="Arial" w:cs="Times New Roman"/>
          <w:sz w:val="24"/>
          <w:lang w:val="en-US"/>
        </w:rPr>
        <w:t xml:space="preserve">The combination that </w:t>
      </w:r>
      <w:r w:rsidR="0089339D" w:rsidRPr="00F829CA">
        <w:rPr>
          <w:rFonts w:ascii="Arial" w:eastAsia="Arial" w:hAnsi="Arial" w:cs="Times New Roman"/>
          <w:sz w:val="24"/>
          <w:lang w:val="en-US"/>
        </w:rPr>
        <w:t>maximizes</w:t>
      </w:r>
      <w:r w:rsidRPr="00F829CA">
        <w:rPr>
          <w:rFonts w:ascii="Arial" w:eastAsia="Arial" w:hAnsi="Arial" w:cs="Times New Roman"/>
          <w:sz w:val="24"/>
          <w:lang w:val="en-US"/>
        </w:rPr>
        <w:t xml:space="preserve"> shareholder wealth is therefore Project C alone (NPV +£4.93 million). Adding either A or B to C reduces total NPV because both A and B contribute negative present value; the residual £50 million of capital is better left </w:t>
      </w:r>
      <w:proofErr w:type="spellStart"/>
      <w:r w:rsidRPr="00F829CA">
        <w:rPr>
          <w:rFonts w:ascii="Arial" w:eastAsia="Arial" w:hAnsi="Arial" w:cs="Times New Roman"/>
          <w:sz w:val="24"/>
          <w:lang w:val="en-US"/>
        </w:rPr>
        <w:t>uninvested</w:t>
      </w:r>
      <w:proofErr w:type="spellEnd"/>
      <w:r w:rsidRPr="00F829CA">
        <w:rPr>
          <w:rFonts w:ascii="Arial" w:eastAsia="Arial" w:hAnsi="Arial" w:cs="Times New Roman"/>
          <w:sz w:val="24"/>
          <w:lang w:val="en-US"/>
        </w:rPr>
        <w:t xml:space="preserve"> (or reserved for future value-accretive opportunities that may arise outside the three projects under consideration) than deployed in a value-destroying project. The profitability-index ranking yields the same conclusion: only C has a PI greater than one, so only C should receive scarce capital.</w:t>
      </w:r>
    </w:p>
    <w:p w:rsidR="00F829CA" w:rsidRPr="00F829CA" w:rsidRDefault="00F829CA" w:rsidP="00F829CA">
      <w:pPr>
        <w:spacing w:after="160" w:line="360" w:lineRule="auto"/>
        <w:jc w:val="both"/>
        <w:rPr>
          <w:rFonts w:ascii="Cambria" w:eastAsia="MS Mincho" w:hAnsi="Cambria" w:cs="Times New Roman"/>
          <w:lang w:val="en-US"/>
        </w:rPr>
      </w:pPr>
      <w:r w:rsidRPr="00F829CA">
        <w:rPr>
          <w:rFonts w:ascii="Arial" w:eastAsia="Arial" w:hAnsi="Arial" w:cs="Times New Roman"/>
          <w:sz w:val="24"/>
          <w:lang w:val="en-US"/>
        </w:rPr>
        <w:t xml:space="preserve">It is worth </w:t>
      </w:r>
      <w:r w:rsidR="0089339D" w:rsidRPr="00F829CA">
        <w:rPr>
          <w:rFonts w:ascii="Arial" w:eastAsia="Arial" w:hAnsi="Arial" w:cs="Times New Roman"/>
          <w:sz w:val="24"/>
          <w:lang w:val="en-US"/>
        </w:rPr>
        <w:t>emphasizing</w:t>
      </w:r>
      <w:r w:rsidRPr="00F829CA">
        <w:rPr>
          <w:rFonts w:ascii="Arial" w:eastAsia="Arial" w:hAnsi="Arial" w:cs="Times New Roman"/>
          <w:sz w:val="24"/>
          <w:lang w:val="en-US"/>
        </w:rPr>
        <w:t xml:space="preserve"> that the capital-rationing result is not an </w:t>
      </w:r>
      <w:r w:rsidR="0089339D" w:rsidRPr="00F829CA">
        <w:rPr>
          <w:rFonts w:ascii="Arial" w:eastAsia="Arial" w:hAnsi="Arial" w:cs="Times New Roman"/>
          <w:sz w:val="24"/>
          <w:lang w:val="en-US"/>
        </w:rPr>
        <w:t>artifact</w:t>
      </w:r>
      <w:r w:rsidR="0089339D">
        <w:rPr>
          <w:rFonts w:ascii="Arial" w:eastAsia="Arial" w:hAnsi="Arial" w:cs="Times New Roman"/>
          <w:sz w:val="24"/>
          <w:lang w:val="en-US"/>
        </w:rPr>
        <w:t xml:space="preserve"> of a single metric. Because </w:t>
      </w:r>
      <w:proofErr w:type="gramStart"/>
      <w:r w:rsidR="0089339D">
        <w:rPr>
          <w:rFonts w:ascii="Arial" w:eastAsia="Arial" w:hAnsi="Arial" w:cs="Times New Roman"/>
          <w:sz w:val="24"/>
          <w:lang w:val="en-US"/>
        </w:rPr>
        <w:t xml:space="preserve">A </w:t>
      </w:r>
      <w:r w:rsidRPr="00F829CA">
        <w:rPr>
          <w:rFonts w:ascii="Arial" w:eastAsia="Arial" w:hAnsi="Arial" w:cs="Times New Roman"/>
          <w:sz w:val="24"/>
          <w:lang w:val="en-US"/>
        </w:rPr>
        <w:t>and</w:t>
      </w:r>
      <w:proofErr w:type="gramEnd"/>
      <w:r w:rsidRPr="00F829CA">
        <w:rPr>
          <w:rFonts w:ascii="Arial" w:eastAsia="Arial" w:hAnsi="Arial" w:cs="Times New Roman"/>
          <w:sz w:val="24"/>
          <w:lang w:val="en-US"/>
        </w:rPr>
        <w:t xml:space="preserve"> B fail the NPV, PI and IRR tests simultaneously, any portfolio that includes them is inferior to a portfolio that excludes them. The decision rule under capital rationing therefore collapses to the same recommendation already reached under the unconstrained single-project analysis: accept C and reject A and B. This congruence between the unconstrained and constrained solutions strengthens confidence in the robustness of the recommendation (Arnold and Lewis, 2019).</w:t>
      </w:r>
    </w:p>
    <w:p w:rsidR="00F829CA" w:rsidRPr="00F829CA" w:rsidRDefault="00F829CA" w:rsidP="00F829CA">
      <w:pPr>
        <w:spacing w:after="160" w:line="360" w:lineRule="auto"/>
        <w:jc w:val="both"/>
        <w:rPr>
          <w:rFonts w:ascii="Cambria" w:eastAsia="MS Mincho" w:hAnsi="Cambria" w:cs="Times New Roman"/>
          <w:lang w:val="en-US"/>
        </w:rPr>
      </w:pPr>
      <w:r w:rsidRPr="00F829CA">
        <w:rPr>
          <w:rFonts w:ascii="Arial" w:eastAsia="Arial" w:hAnsi="Arial" w:cs="Times New Roman"/>
          <w:sz w:val="24"/>
          <w:lang w:val="en-US"/>
        </w:rPr>
        <w:lastRenderedPageBreak/>
        <w:t>From a practical corporate-finance standpoint, the residual capital capacity of £50 million should be retained as a strategic reserve. IHG’s demonstrated free-cash-flow generation implies that addition</w:t>
      </w:r>
      <w:r w:rsidR="0089339D">
        <w:rPr>
          <w:rFonts w:ascii="Arial" w:eastAsia="Arial" w:hAnsi="Arial" w:cs="Times New Roman"/>
          <w:sz w:val="24"/>
          <w:lang w:val="en-US"/>
        </w:rPr>
        <w:t xml:space="preserve">al value-creating opportunities </w:t>
      </w:r>
      <w:r w:rsidRPr="00F829CA">
        <w:rPr>
          <w:rFonts w:ascii="Arial" w:eastAsia="Arial" w:hAnsi="Arial" w:cs="Times New Roman"/>
          <w:sz w:val="24"/>
          <w:lang w:val="en-US"/>
        </w:rPr>
        <w:t xml:space="preserve">whether bolt-on </w:t>
      </w:r>
      <w:r w:rsidR="0089339D" w:rsidRPr="00F829CA">
        <w:rPr>
          <w:rFonts w:ascii="Arial" w:eastAsia="Arial" w:hAnsi="Arial" w:cs="Times New Roman"/>
          <w:sz w:val="24"/>
          <w:lang w:val="en-US"/>
        </w:rPr>
        <w:t>acquisitions;</w:t>
      </w:r>
      <w:r w:rsidRPr="00F829CA">
        <w:rPr>
          <w:rFonts w:ascii="Arial" w:eastAsia="Arial" w:hAnsi="Arial" w:cs="Times New Roman"/>
          <w:sz w:val="24"/>
          <w:lang w:val="en-US"/>
        </w:rPr>
        <w:t xml:space="preserve"> system-growth ini</w:t>
      </w:r>
      <w:r w:rsidR="0089339D">
        <w:rPr>
          <w:rFonts w:ascii="Arial" w:eastAsia="Arial" w:hAnsi="Arial" w:cs="Times New Roman"/>
          <w:sz w:val="24"/>
          <w:lang w:val="en-US"/>
        </w:rPr>
        <w:t xml:space="preserve">tiatives or digital investments </w:t>
      </w:r>
      <w:r w:rsidRPr="00F829CA">
        <w:rPr>
          <w:rFonts w:ascii="Arial" w:eastAsia="Arial" w:hAnsi="Arial" w:cs="Times New Roman"/>
          <w:sz w:val="24"/>
          <w:lang w:val="en-US"/>
        </w:rPr>
        <w:t>are likely to emerge within the planning horizon. Maintaining unused headroom preserves the optionality to fund such opportunities without resorting to incremental leverage that might pressure the net-debt/EBITDA ratio or the Group’s investment-grade rating. In short, capital rationing, when applied rigorously, not only selects the best project among those currently on the table but also disciplines management to with</w:t>
      </w:r>
      <w:r w:rsidR="0089339D">
        <w:rPr>
          <w:rFonts w:ascii="Arial" w:eastAsia="Arial" w:hAnsi="Arial" w:cs="Times New Roman"/>
          <w:sz w:val="24"/>
          <w:lang w:val="en-US"/>
        </w:rPr>
        <w:t xml:space="preserve">hold capital from inferior uses </w:t>
      </w:r>
      <w:r w:rsidRPr="00F829CA">
        <w:rPr>
          <w:rFonts w:ascii="Arial" w:eastAsia="Arial" w:hAnsi="Arial" w:cs="Times New Roman"/>
          <w:sz w:val="24"/>
          <w:lang w:val="en-US"/>
        </w:rPr>
        <w:t>an essential safeguard of long-term shareholder value.</w:t>
      </w:r>
    </w:p>
    <w:tbl>
      <w:tblPr>
        <w:tblStyle w:val="TableGrid14"/>
        <w:tblW w:w="0" w:type="auto"/>
        <w:tblLook w:val="04A0" w:firstRow="1" w:lastRow="0" w:firstColumn="1" w:lastColumn="0" w:noHBand="0" w:noVBand="1"/>
      </w:tblPr>
      <w:tblGrid>
        <w:gridCol w:w="1805"/>
        <w:gridCol w:w="1805"/>
        <w:gridCol w:w="1805"/>
        <w:gridCol w:w="1805"/>
        <w:gridCol w:w="1805"/>
      </w:tblGrid>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b/>
                <w:sz w:val="18"/>
              </w:rPr>
              <w:t>Metric</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b/>
                <w:sz w:val="18"/>
              </w:rPr>
              <w:t>Project A</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b/>
                <w:sz w:val="18"/>
              </w:rPr>
              <w:t>Project B</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b/>
                <w:sz w:val="18"/>
              </w:rPr>
              <w:t>Project C</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b/>
                <w:sz w:val="18"/>
              </w:rPr>
              <w:t>Decision Rule</w:t>
            </w:r>
          </w:p>
        </w:tc>
      </w:tr>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Payback Period (</w:t>
            </w:r>
            <w:proofErr w:type="spellStart"/>
            <w:r w:rsidRPr="00F829CA">
              <w:rPr>
                <w:rFonts w:ascii="Arial" w:eastAsia="Arial" w:hAnsi="Arial" w:cs="Times New Roman"/>
                <w:sz w:val="18"/>
              </w:rPr>
              <w:t>yrs</w:t>
            </w:r>
            <w:proofErr w:type="spellEnd"/>
            <w:r w:rsidRPr="00F829CA">
              <w:rPr>
                <w:rFonts w:ascii="Arial" w:eastAsia="Arial" w:hAnsi="Arial" w:cs="Times New Roman"/>
                <w:sz w:val="18"/>
              </w:rPr>
              <w:t>)</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4.50</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4.55</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3.60</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Shorter preferred</w:t>
            </w:r>
          </w:p>
        </w:tc>
      </w:tr>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ARR</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1.6%</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2.0%</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6.0%</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Higher better</w:t>
            </w:r>
          </w:p>
        </w:tc>
      </w:tr>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NPV @ 8% (£m)</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–3.07</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–2.57</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+4.93</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Accept if &gt; 0</w:t>
            </w:r>
          </w:p>
        </w:tc>
      </w:tr>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Profitability Index</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0.939</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0.949</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1.099</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Accept if &gt; 1</w:t>
            </w:r>
          </w:p>
        </w:tc>
      </w:tr>
      <w:tr w:rsidR="00F829CA" w:rsidRPr="00F829CA" w:rsidTr="0089339D">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IRR</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2.72%</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3.26%</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8.59%</w:t>
            </w:r>
          </w:p>
        </w:tc>
        <w:tc>
          <w:tcPr>
            <w:tcW w:w="1805" w:type="dxa"/>
          </w:tcPr>
          <w:p w:rsidR="00F829CA" w:rsidRPr="00F829CA" w:rsidRDefault="00F829CA" w:rsidP="00F829CA">
            <w:pPr>
              <w:rPr>
                <w:rFonts w:ascii="Cambria" w:hAnsi="Cambria" w:cs="Times New Roman"/>
              </w:rPr>
            </w:pPr>
            <w:r w:rsidRPr="00F829CA">
              <w:rPr>
                <w:rFonts w:ascii="Arial" w:eastAsia="Arial" w:hAnsi="Arial" w:cs="Times New Roman"/>
                <w:sz w:val="18"/>
              </w:rPr>
              <w:t>Accept if &gt; 8%</w:t>
            </w:r>
          </w:p>
        </w:tc>
      </w:tr>
    </w:tbl>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Arial" w:hAnsi="Arial" w:cs="Arial"/>
          <w:sz w:val="24"/>
          <w:lang w:val="en-US"/>
        </w:rPr>
      </w:pPr>
    </w:p>
    <w:p w:rsidR="007E50F7" w:rsidRPr="00F52350" w:rsidRDefault="007E50F7" w:rsidP="007E50F7">
      <w:pPr>
        <w:spacing w:after="160" w:line="360" w:lineRule="auto"/>
        <w:jc w:val="both"/>
        <w:rPr>
          <w:rFonts w:ascii="Arial" w:eastAsia="Arial" w:hAnsi="Arial" w:cs="Arial"/>
          <w:sz w:val="24"/>
          <w:lang w:val="en-US"/>
        </w:rPr>
      </w:pPr>
    </w:p>
    <w:p w:rsidR="007E50F7" w:rsidRDefault="007E50F7" w:rsidP="007E50F7">
      <w:pPr>
        <w:spacing w:after="160" w:line="360" w:lineRule="auto"/>
        <w:jc w:val="both"/>
        <w:rPr>
          <w:rFonts w:ascii="Arial" w:eastAsia="MS Mincho" w:hAnsi="Arial" w:cs="Arial"/>
          <w:lang w:val="en-US"/>
        </w:rPr>
      </w:pPr>
    </w:p>
    <w:p w:rsidR="002942FB" w:rsidRDefault="002942FB" w:rsidP="007E50F7">
      <w:pPr>
        <w:spacing w:after="160" w:line="360" w:lineRule="auto"/>
        <w:jc w:val="both"/>
        <w:rPr>
          <w:rFonts w:ascii="Arial" w:eastAsia="MS Mincho" w:hAnsi="Arial" w:cs="Arial"/>
          <w:lang w:val="en-US"/>
        </w:rPr>
      </w:pPr>
    </w:p>
    <w:p w:rsidR="002942FB" w:rsidRDefault="002942FB" w:rsidP="007E50F7">
      <w:pPr>
        <w:spacing w:after="160" w:line="360" w:lineRule="auto"/>
        <w:jc w:val="both"/>
        <w:rPr>
          <w:rFonts w:ascii="Arial" w:eastAsia="MS Mincho" w:hAnsi="Arial" w:cs="Arial"/>
          <w:lang w:val="en-US"/>
        </w:rPr>
      </w:pPr>
    </w:p>
    <w:p w:rsidR="002942FB" w:rsidRDefault="002942FB" w:rsidP="007E50F7">
      <w:pPr>
        <w:spacing w:after="160" w:line="360" w:lineRule="auto"/>
        <w:jc w:val="both"/>
        <w:rPr>
          <w:rFonts w:ascii="Arial" w:eastAsia="MS Mincho" w:hAnsi="Arial" w:cs="Arial"/>
          <w:lang w:val="en-US"/>
        </w:rPr>
      </w:pPr>
    </w:p>
    <w:p w:rsidR="002942FB" w:rsidRDefault="002942FB" w:rsidP="007E50F7">
      <w:pPr>
        <w:spacing w:after="160" w:line="360" w:lineRule="auto"/>
        <w:jc w:val="both"/>
        <w:rPr>
          <w:rFonts w:ascii="Arial" w:eastAsia="MS Mincho" w:hAnsi="Arial" w:cs="Arial"/>
          <w:lang w:val="en-US"/>
        </w:rPr>
      </w:pPr>
    </w:p>
    <w:p w:rsidR="002942FB" w:rsidRDefault="002942FB" w:rsidP="007E50F7">
      <w:pPr>
        <w:spacing w:after="160" w:line="360" w:lineRule="auto"/>
        <w:jc w:val="both"/>
        <w:rPr>
          <w:rFonts w:ascii="Arial" w:eastAsia="MS Mincho" w:hAnsi="Arial" w:cs="Arial"/>
          <w:lang w:val="en-US"/>
        </w:rPr>
      </w:pPr>
    </w:p>
    <w:p w:rsidR="002942FB" w:rsidRPr="00F52350" w:rsidRDefault="002942FB" w:rsidP="007E50F7">
      <w:pPr>
        <w:spacing w:after="160" w:line="360" w:lineRule="auto"/>
        <w:jc w:val="both"/>
        <w:rPr>
          <w:rFonts w:ascii="Arial" w:eastAsia="MS Mincho" w:hAnsi="Arial" w:cs="Arial"/>
          <w:lang w:val="en-US"/>
        </w:rPr>
      </w:pPr>
    </w:p>
    <w:p w:rsidR="007E50F7" w:rsidRPr="00F52350" w:rsidRDefault="007E50F7" w:rsidP="000B6EA7">
      <w:pPr>
        <w:pStyle w:val="Heading1"/>
        <w:numPr>
          <w:ilvl w:val="0"/>
          <w:numId w:val="8"/>
        </w:numPr>
        <w:spacing w:line="360" w:lineRule="auto"/>
        <w:rPr>
          <w:rFonts w:ascii="Arial" w:eastAsia="MS Gothic" w:hAnsi="Arial" w:cs="Arial"/>
          <w:color w:val="auto"/>
          <w:lang w:val="en-US"/>
        </w:rPr>
      </w:pPr>
      <w:bookmarkStart w:id="47" w:name="_Toc237510925"/>
      <w:r w:rsidRPr="00F52350">
        <w:rPr>
          <w:rFonts w:ascii="Arial" w:eastAsia="Arial" w:hAnsi="Arial" w:cs="Arial"/>
          <w:color w:val="auto"/>
          <w:lang w:val="en-US"/>
        </w:rPr>
        <w:lastRenderedPageBreak/>
        <w:t>Critical Reflection on AI Usage</w:t>
      </w:r>
      <w:bookmarkEnd w:id="47"/>
    </w:p>
    <w:p w:rsidR="007E50F7" w:rsidRPr="00F52350" w:rsidRDefault="007E50F7" w:rsidP="007E50F7">
      <w:pPr>
        <w:pStyle w:val="ListParagraph"/>
        <w:keepNext/>
        <w:keepLines/>
        <w:numPr>
          <w:ilvl w:val="0"/>
          <w:numId w:val="1"/>
        </w:numPr>
        <w:spacing w:before="200" w:after="0" w:line="360" w:lineRule="auto"/>
        <w:outlineLvl w:val="1"/>
        <w:rPr>
          <w:rFonts w:ascii="Arial" w:eastAsia="Arial" w:hAnsi="Arial" w:cs="Arial"/>
          <w:b/>
          <w:bCs/>
          <w:vanish/>
          <w:sz w:val="28"/>
          <w:szCs w:val="26"/>
          <w:lang w:val="en-US"/>
        </w:rPr>
      </w:pPr>
      <w:bookmarkStart w:id="48" w:name="_Toc236825400"/>
      <w:bookmarkStart w:id="49" w:name="_Toc236825698"/>
      <w:bookmarkStart w:id="50" w:name="_Toc237338456"/>
      <w:bookmarkStart w:id="51" w:name="_Toc237338515"/>
      <w:bookmarkStart w:id="52" w:name="_Toc237338552"/>
      <w:bookmarkStart w:id="53" w:name="_Toc237476771"/>
      <w:bookmarkStart w:id="54" w:name="_Toc237510926"/>
      <w:bookmarkEnd w:id="48"/>
      <w:bookmarkEnd w:id="49"/>
      <w:bookmarkEnd w:id="50"/>
      <w:bookmarkEnd w:id="51"/>
      <w:bookmarkEnd w:id="52"/>
      <w:bookmarkEnd w:id="53"/>
      <w:bookmarkEnd w:id="54"/>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55" w:name="_Toc237510927"/>
      <w:r w:rsidRPr="00F52350">
        <w:rPr>
          <w:rFonts w:eastAsia="Arial" w:cs="Arial"/>
          <w:color w:val="auto"/>
          <w:lang w:val="en-US"/>
        </w:rPr>
        <w:t>Tool Disclosure</w:t>
      </w:r>
      <w:bookmarkEnd w:id="55"/>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Artificial intelligence, specifically the </w:t>
      </w:r>
      <w:proofErr w:type="spellStart"/>
      <w:r w:rsidRPr="00F52350">
        <w:rPr>
          <w:rFonts w:ascii="Arial" w:eastAsia="Arial" w:hAnsi="Arial" w:cs="Arial"/>
          <w:sz w:val="24"/>
          <w:lang w:val="en-US"/>
        </w:rPr>
        <w:t>ChatGpt</w:t>
      </w:r>
      <w:proofErr w:type="spellEnd"/>
      <w:r w:rsidRPr="00F52350">
        <w:rPr>
          <w:rFonts w:ascii="Arial" w:eastAsia="Arial" w:hAnsi="Arial" w:cs="Arial"/>
          <w:sz w:val="24"/>
          <w:lang w:val="en-US"/>
        </w:rPr>
        <w:t xml:space="preserve"> large-language model developed by AI, was employed as a research-assistant and drafting aid during the preparation of this report. Typical prompts requested multi-year ratio extraction from IHG’s published results, calculation of the cash conversion cycle, peer benchmarking against Marriott and Hilton, and the numerical evaluation of the three capital projects under NPV, IRR and related criteria. AI was also used to structure early outlines and to generate first-draft paragraphs that were subsequently rewritten. An explicit AI-use acknowledgement appears in the final section of the report, consistent with institutional requirements.</w:t>
      </w:r>
    </w:p>
    <w:p w:rsidR="007E50F7" w:rsidRDefault="007E50F7" w:rsidP="007E50F7">
      <w:pPr>
        <w:pStyle w:val="Heading2"/>
        <w:rPr>
          <w:rFonts w:eastAsia="Arial" w:cs="Arial"/>
          <w:color w:val="auto"/>
          <w:lang w:val="en-US"/>
        </w:rPr>
      </w:pPr>
      <w:r w:rsidRPr="00F52350">
        <w:rPr>
          <w:rFonts w:eastAsia="Arial" w:cs="Arial"/>
          <w:color w:val="auto"/>
          <w:lang w:val="en-US"/>
        </w:rPr>
        <w:t xml:space="preserve">  </w:t>
      </w:r>
      <w:bookmarkStart w:id="56" w:name="_Toc237510928"/>
      <w:r w:rsidRPr="00F52350">
        <w:rPr>
          <w:rFonts w:eastAsia="Arial" w:cs="Arial"/>
          <w:color w:val="auto"/>
          <w:lang w:val="en-US"/>
        </w:rPr>
        <w:t>Critical Evaluation of AI Output</w:t>
      </w:r>
      <w:bookmarkEnd w:id="56"/>
    </w:p>
    <w:p w:rsidR="008C55C5" w:rsidRDefault="008C55C5" w:rsidP="008C55C5">
      <w:pPr>
        <w:spacing w:after="160" w:line="360" w:lineRule="auto"/>
        <w:jc w:val="both"/>
      </w:pPr>
      <w:r>
        <w:rPr>
          <w:rFonts w:ascii="Arial" w:eastAsia="Arial" w:hAnsi="Arial"/>
          <w:sz w:val="24"/>
        </w:rPr>
        <w:t>The use of generative artificial intelligence (AI) in the preparation of this report provided material efficiency gains in data organisation, draft narrative construction and the initial assembly of multi-year ratio tables. Nevertheless, systematic verification against primary sources revealed persistent limitations in the model’s capacity to perform accurate financial calculations and to retain essential analytical detail across iterative revisions. These limitations were particularly evident in the treatment of return on equity (ROE).</w:t>
      </w:r>
    </w:p>
    <w:p w:rsidR="008C55C5" w:rsidRDefault="008C55C5" w:rsidP="008C55C5">
      <w:pPr>
        <w:spacing w:after="160" w:line="360" w:lineRule="auto"/>
        <w:jc w:val="both"/>
      </w:pPr>
      <w:r>
        <w:rPr>
          <w:rFonts w:ascii="Arial" w:eastAsia="Arial" w:hAnsi="Arial"/>
          <w:sz w:val="24"/>
        </w:rPr>
        <w:t xml:space="preserve">Although the constituent inputs for ROE net income attributable to equity holders and total shareholders’ equity were consistently present in the underlying data extracted from IHG’s Full Year Results and consolidated statements of financial position, the AI system repeatedly failed to compute the ratio. In successive drafts of the profitability table (Table 3), the ROE row was </w:t>
      </w:r>
      <w:r w:rsidR="000F1016">
        <w:rPr>
          <w:rFonts w:ascii="Arial" w:eastAsia="Arial" w:hAnsi="Arial"/>
          <w:sz w:val="24"/>
        </w:rPr>
        <w:t>omitted</w:t>
      </w:r>
      <w:r>
        <w:rPr>
          <w:rFonts w:ascii="Arial" w:eastAsia="Arial" w:hAnsi="Arial"/>
          <w:sz w:val="24"/>
        </w:rPr>
        <w:t xml:space="preserve"> entirely, marked as “N/A” without calculation, or replaced by qualitative commentary that asserted the metric was “not interpretable.” The model’s tendency to suppress the ratio rather than calculate a negative percentage indicated an inability to reconcile a positive numerator with a negative denominator, despite this arithmetic being elementary and the structural explanation (cumulative share buybacks) being well documented in the source filings. Multiple reconstruction cycles of Table 3 were therefore required. Only after explicit instruction to calculate ROE as net income divided by shareholders’ equity for each of the five years, and to display the resulting negative percentages </w:t>
      </w:r>
      <w:r>
        <w:rPr>
          <w:rFonts w:ascii="Arial" w:eastAsia="Arial" w:hAnsi="Arial"/>
          <w:sz w:val="24"/>
        </w:rPr>
        <w:lastRenderedPageBreak/>
        <w:t>alongside full workings, did the table contain the correct figures (−18.0 per cent in 2021, −23.4 per cent in 2022, −38.5 per cent in 2023, −27.2 per cent in 2024 and −27.7 per cent in 2025).</w:t>
      </w:r>
    </w:p>
    <w:p w:rsidR="008C55C5" w:rsidRDefault="008C55C5" w:rsidP="008C55C5">
      <w:pPr>
        <w:spacing w:after="160" w:line="360" w:lineRule="auto"/>
        <w:jc w:val="both"/>
      </w:pPr>
      <w:r>
        <w:rPr>
          <w:rFonts w:ascii="Arial" w:eastAsia="Arial" w:hAnsi="Arial"/>
          <w:sz w:val="24"/>
        </w:rPr>
        <w:t>This episode is instructive. The numerical information was available; the deficiency lay in the model’s application of a standard ratio definition and in its retention of that definition across document iterations. Similar, though less severe, omissions occurred with earlier-year cost-of-sales detail and the full payables breakdown required for the cash conversion cycle, both of which had to be recovered from the original PDFs and re-entered manually. All ratio definitions were consequently verified against established corporate-finance sources (</w:t>
      </w:r>
      <w:proofErr w:type="spellStart"/>
      <w:r>
        <w:rPr>
          <w:rFonts w:ascii="Arial" w:eastAsia="Arial" w:hAnsi="Arial"/>
          <w:sz w:val="24"/>
        </w:rPr>
        <w:t>Brealey</w:t>
      </w:r>
      <w:proofErr w:type="spellEnd"/>
      <w:r>
        <w:rPr>
          <w:rFonts w:ascii="Arial" w:eastAsia="Arial" w:hAnsi="Arial"/>
          <w:sz w:val="24"/>
        </w:rPr>
        <w:t>, Myers and Allen, 2023; Watson and Head, 2019) and recalculated independently in Excel. Where the AI generated interpretive language that overstated causal claims or treated negative equity as evidence of financial distress rather than as a deliberate capital-return outcome, the narrative was rewritten to maintain analytical restraint. Hallucinated references and unsupported statistics were discarded. The experience confirms that generative AI remains a drafting and organisational aid rather than a reliable substitute for independent calculation and professional judgement in financial analysis (CFA Institute, 2024; ICAEW, 2024).</w:t>
      </w:r>
    </w:p>
    <w:p w:rsidR="008C55C5" w:rsidRPr="008C55C5" w:rsidRDefault="008C55C5" w:rsidP="008C55C5">
      <w:pPr>
        <w:rPr>
          <w:lang w:val="en-US"/>
        </w:rPr>
      </w:pP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57" w:name="_Toc237510929"/>
      <w:r w:rsidRPr="00F52350">
        <w:rPr>
          <w:rFonts w:eastAsia="Arial" w:cs="Arial"/>
          <w:color w:val="auto"/>
          <w:lang w:val="en-US"/>
        </w:rPr>
        <w:t>Contribution Analysis</w:t>
      </w:r>
      <w:bookmarkEnd w:id="57"/>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AI contributed primarily to data assembly, preliminary ratio computation, and the generation of structural scaffolding. The selection of which ratios mattered for an asset-light hospitality firm, the interpretation of negative equity as a buyback-driven phenomenon rather than distress, the strategic weighting of fee-margin expansion, the rejection of Projects A and B on NPV grounds, and the final restructuring and capital-rationing recommendations are the product of the author’s own critical analysis and professional judgment. The ethical and international considerations in Section 4, and the nuanced discussion of liquidity benchmarks, likewise reflect independent synthesis rather than uncritical acceptance of AI prose.</w:t>
      </w:r>
    </w:p>
    <w:p w:rsidR="007E50F7" w:rsidRPr="00F52350" w:rsidRDefault="007E50F7" w:rsidP="007E50F7">
      <w:pPr>
        <w:pStyle w:val="Heading2"/>
        <w:rPr>
          <w:rFonts w:eastAsia="MS Gothic" w:cs="Arial"/>
          <w:color w:val="auto"/>
          <w:sz w:val="26"/>
          <w:lang w:val="en-US"/>
        </w:rPr>
      </w:pPr>
      <w:r w:rsidRPr="00F52350">
        <w:rPr>
          <w:rFonts w:eastAsia="Arial" w:cs="Arial"/>
          <w:color w:val="auto"/>
          <w:lang w:val="en-US"/>
        </w:rPr>
        <w:t xml:space="preserve">  </w:t>
      </w:r>
      <w:bookmarkStart w:id="58" w:name="_Toc237510930"/>
      <w:r w:rsidRPr="00F52350">
        <w:rPr>
          <w:rFonts w:eastAsia="Arial" w:cs="Arial"/>
          <w:color w:val="auto"/>
          <w:lang w:val="en-US"/>
        </w:rPr>
        <w:t>Ethical and Professional Reflection</w:t>
      </w:r>
      <w:bookmarkEnd w:id="58"/>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The use of AI in financial analysis raises three interlocking ethical issues. Transparency requires that stakeholders understand the extent of machine </w:t>
      </w:r>
      <w:r w:rsidRPr="00F52350">
        <w:rPr>
          <w:rFonts w:ascii="Arial" w:eastAsia="Arial" w:hAnsi="Arial" w:cs="Arial"/>
          <w:sz w:val="24"/>
          <w:lang w:val="en-US"/>
        </w:rPr>
        <w:lastRenderedPageBreak/>
        <w:t>assistance; this has been addressed through explicit disclosure. Data privacy is less acute when working solely with publicly available annual-report data, yet any future use of proprietary or client information would demand strict contractual and technical safeguards. Most importantly, over-reliance on AI for executive-level judgment risks the erosion of professional skepticism and the propagation of subtle errors at scale. In a CFO role, AI should remain a productivity tool that accelerates data handling and first-draft production, while final accountability for valuation assumptions, risk assessment and strategic recommendations rests exclusively with the human decision-maker (ICAEW, 2024; CFA Institute, 2024). The present report has been prepared in that spirit.</w:t>
      </w:r>
    </w:p>
    <w:p w:rsidR="007E50F7" w:rsidRPr="00F52350" w:rsidRDefault="007E50F7" w:rsidP="000B6EA7">
      <w:pPr>
        <w:pStyle w:val="Heading1"/>
        <w:numPr>
          <w:ilvl w:val="0"/>
          <w:numId w:val="8"/>
        </w:numPr>
        <w:spacing w:line="360" w:lineRule="auto"/>
        <w:rPr>
          <w:rFonts w:ascii="Arial" w:eastAsia="MS Gothic" w:hAnsi="Arial" w:cs="Arial"/>
          <w:color w:val="auto"/>
          <w:lang w:val="en-US"/>
        </w:rPr>
      </w:pPr>
      <w:bookmarkStart w:id="59" w:name="_Toc237510931"/>
      <w:r w:rsidRPr="00F52350">
        <w:rPr>
          <w:rFonts w:ascii="Arial" w:eastAsia="Arial" w:hAnsi="Arial" w:cs="Arial"/>
          <w:color w:val="auto"/>
          <w:lang w:val="en-US"/>
        </w:rPr>
        <w:t>Conclusion</w:t>
      </w:r>
      <w:bookmarkEnd w:id="59"/>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IHG emerges from the 2021–2025 review period as a financially resilient, cash-generative, asset-light hospitality platform. Revenue and fee margins have expanded, free-cash-flow conversion is strong, leverage is controlled, and liquidity, while appearing modest on conventional current-ratio metrics, is adequate for the business model when judged against peers and undrawn facilities. The principal structural anomaly negative equity is the deliberate result of shareholder-return policies shared with major competitors and does not signal distress.</w:t>
      </w:r>
    </w:p>
    <w:p w:rsidR="007E50F7" w:rsidRPr="00F52350" w:rsidRDefault="007E50F7" w:rsidP="007E50F7">
      <w:pPr>
        <w:spacing w:after="160" w:line="360" w:lineRule="auto"/>
        <w:jc w:val="both"/>
        <w:rPr>
          <w:rFonts w:ascii="Arial" w:eastAsia="MS Mincho" w:hAnsi="Arial" w:cs="Arial"/>
          <w:lang w:val="en-US"/>
        </w:rPr>
      </w:pPr>
      <w:r w:rsidRPr="00F52350">
        <w:rPr>
          <w:rFonts w:ascii="Arial" w:eastAsia="Arial" w:hAnsi="Arial" w:cs="Arial"/>
          <w:sz w:val="24"/>
          <w:lang w:val="en-US"/>
        </w:rPr>
        <w:t xml:space="preserve">Working-capital management is already efficient, as evidenced by a strongly negative cash conversion cycle; incremental gains should focus on receivable-collection technology and loyalty-liability optimization. The recommended financial strategy </w:t>
      </w:r>
      <w:proofErr w:type="spellStart"/>
      <w:r w:rsidRPr="00F52350">
        <w:rPr>
          <w:rFonts w:ascii="Arial" w:eastAsia="Arial" w:hAnsi="Arial" w:cs="Arial"/>
          <w:sz w:val="24"/>
          <w:lang w:val="en-US"/>
        </w:rPr>
        <w:t>centres</w:t>
      </w:r>
      <w:proofErr w:type="spellEnd"/>
      <w:r w:rsidRPr="00F52350">
        <w:rPr>
          <w:rFonts w:ascii="Arial" w:eastAsia="Arial" w:hAnsi="Arial" w:cs="Arial"/>
          <w:sz w:val="24"/>
          <w:lang w:val="en-US"/>
        </w:rPr>
        <w:t xml:space="preserve"> on continued disciplined capital returns within existing leverage guardrails, selective recycling of any residual owned assets, and avoidance of value destructive large-scale mergers. Among the three capital projects examined, only Project C creates shareholder value at an 8 per cent cost of capital; under a £100 million capital constraint it should be accepted alone.</w:t>
      </w:r>
    </w:p>
    <w:p w:rsidR="00F52350" w:rsidRPr="00F52350" w:rsidRDefault="007E50F7" w:rsidP="007E50F7">
      <w:pPr>
        <w:spacing w:after="160" w:line="360" w:lineRule="auto"/>
        <w:jc w:val="both"/>
        <w:rPr>
          <w:rFonts w:ascii="Arial" w:eastAsia="Arial" w:hAnsi="Arial" w:cs="Arial"/>
          <w:sz w:val="24"/>
          <w:lang w:val="en-US"/>
        </w:rPr>
      </w:pPr>
      <w:r w:rsidRPr="00F52350">
        <w:rPr>
          <w:rFonts w:ascii="Arial" w:eastAsia="Arial" w:hAnsi="Arial" w:cs="Arial"/>
          <w:sz w:val="24"/>
          <w:lang w:val="en-US"/>
        </w:rPr>
        <w:t>Taken together, the analysis supports a turnaround and growth agenda that is financially viable, scalable across IHG’s global system, and consistent with the Group’s ethical and ESG commitments. Execution will require continued vigilance on geopolitical, currency and demand risks, together with rigorous capital-allocation discipline.</w:t>
      </w:r>
    </w:p>
    <w:p w:rsidR="00F52350" w:rsidRPr="00F52350" w:rsidRDefault="00F52350" w:rsidP="00F52350">
      <w:pPr>
        <w:pStyle w:val="Heading1"/>
        <w:rPr>
          <w:rFonts w:ascii="Arial" w:eastAsia="MS Gothic" w:hAnsi="Arial" w:cs="Arial"/>
          <w:color w:val="auto"/>
          <w:lang w:val="en-US"/>
        </w:rPr>
      </w:pPr>
      <w:bookmarkStart w:id="60" w:name="_Toc237510932"/>
      <w:r w:rsidRPr="00F52350">
        <w:rPr>
          <w:rFonts w:ascii="Arial" w:eastAsia="Arial" w:hAnsi="Arial" w:cs="Arial"/>
          <w:color w:val="auto"/>
          <w:lang w:val="en-US"/>
        </w:rPr>
        <w:lastRenderedPageBreak/>
        <w:t>References</w:t>
      </w:r>
      <w:bookmarkEnd w:id="60"/>
    </w:p>
    <w:p w:rsidR="00F52350" w:rsidRPr="00F52350" w:rsidRDefault="00F52350" w:rsidP="00F52350">
      <w:pPr>
        <w:spacing w:before="100" w:beforeAutospacing="1" w:after="100" w:afterAutospacing="1" w:line="240" w:lineRule="auto"/>
        <w:rPr>
          <w:rFonts w:ascii="Arial" w:eastAsia="Times New Roman" w:hAnsi="Arial" w:cs="Arial"/>
          <w:sz w:val="24"/>
          <w:szCs w:val="24"/>
          <w:lang w:eastAsia="en-GB"/>
        </w:rPr>
      </w:pPr>
      <w:r w:rsidRPr="00F52350">
        <w:rPr>
          <w:rFonts w:ascii="Arial" w:eastAsia="Times New Roman" w:hAnsi="Arial" w:cs="Arial"/>
          <w:sz w:val="24"/>
          <w:szCs w:val="24"/>
          <w:lang w:eastAsia="en-GB"/>
        </w:rPr>
        <w:t xml:space="preserve">Arnold, G. and Lewis, D. (2019) </w:t>
      </w:r>
      <w:proofErr w:type="gramStart"/>
      <w:r w:rsidRPr="00F52350">
        <w:rPr>
          <w:rFonts w:ascii="Arial" w:eastAsia="Times New Roman" w:hAnsi="Arial" w:cs="Arial"/>
          <w:i/>
          <w:iCs/>
          <w:sz w:val="24"/>
          <w:szCs w:val="24"/>
          <w:lang w:eastAsia="en-GB"/>
        </w:rPr>
        <w:t>Corporate</w:t>
      </w:r>
      <w:proofErr w:type="gramEnd"/>
      <w:r w:rsidRPr="00F52350">
        <w:rPr>
          <w:rFonts w:ascii="Arial" w:eastAsia="Times New Roman" w:hAnsi="Arial" w:cs="Arial"/>
          <w:i/>
          <w:iCs/>
          <w:sz w:val="24"/>
          <w:szCs w:val="24"/>
          <w:lang w:eastAsia="en-GB"/>
        </w:rPr>
        <w:t xml:space="preserve"> financial management</w:t>
      </w:r>
      <w:r w:rsidRPr="00F52350">
        <w:rPr>
          <w:rFonts w:ascii="Arial" w:eastAsia="Times New Roman" w:hAnsi="Arial" w:cs="Arial"/>
          <w:sz w:val="24"/>
          <w:szCs w:val="24"/>
          <w:lang w:eastAsia="en-GB"/>
        </w:rPr>
        <w:t xml:space="preserve">. </w:t>
      </w:r>
      <w:proofErr w:type="gramStart"/>
      <w:r w:rsidRPr="00F52350">
        <w:rPr>
          <w:rFonts w:ascii="Arial" w:eastAsia="Times New Roman" w:hAnsi="Arial" w:cs="Arial"/>
          <w:sz w:val="24"/>
          <w:szCs w:val="24"/>
          <w:lang w:eastAsia="en-GB"/>
        </w:rPr>
        <w:t xml:space="preserve">6th </w:t>
      </w:r>
      <w:proofErr w:type="spellStart"/>
      <w:r w:rsidRPr="00F52350">
        <w:rPr>
          <w:rFonts w:ascii="Arial" w:eastAsia="Times New Roman" w:hAnsi="Arial" w:cs="Arial"/>
          <w:sz w:val="24"/>
          <w:szCs w:val="24"/>
          <w:lang w:eastAsia="en-GB"/>
        </w:rPr>
        <w:t>edn</w:t>
      </w:r>
      <w:proofErr w:type="spellEnd"/>
      <w:r w:rsidRPr="00F52350">
        <w:rPr>
          <w:rFonts w:ascii="Arial" w:eastAsia="Times New Roman" w:hAnsi="Arial" w:cs="Arial"/>
          <w:sz w:val="24"/>
          <w:szCs w:val="24"/>
          <w:lang w:eastAsia="en-GB"/>
        </w:rPr>
        <w:t>.</w:t>
      </w:r>
      <w:proofErr w:type="gramEnd"/>
      <w:r w:rsidRPr="00F52350">
        <w:rPr>
          <w:rFonts w:ascii="Arial" w:eastAsia="Times New Roman" w:hAnsi="Arial" w:cs="Arial"/>
          <w:sz w:val="24"/>
          <w:szCs w:val="24"/>
          <w:lang w:eastAsia="en-GB"/>
        </w:rPr>
        <w:t xml:space="preserve"> Harlow: Pearson.</w:t>
      </w:r>
    </w:p>
    <w:p w:rsidR="00F52350" w:rsidRP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spellStart"/>
      <w:r w:rsidRPr="00F52350">
        <w:rPr>
          <w:rFonts w:ascii="Arial" w:eastAsia="Times New Roman" w:hAnsi="Arial" w:cs="Arial"/>
          <w:sz w:val="24"/>
          <w:szCs w:val="24"/>
          <w:lang w:eastAsia="en-GB"/>
        </w:rPr>
        <w:t>Brealey</w:t>
      </w:r>
      <w:proofErr w:type="spellEnd"/>
      <w:r w:rsidRPr="00F52350">
        <w:rPr>
          <w:rFonts w:ascii="Arial" w:eastAsia="Times New Roman" w:hAnsi="Arial" w:cs="Arial"/>
          <w:sz w:val="24"/>
          <w:szCs w:val="24"/>
          <w:lang w:eastAsia="en-GB"/>
        </w:rPr>
        <w:t xml:space="preserve">, R.A., Myers, S.C. and Allen, F. (2023) </w:t>
      </w:r>
      <w:r w:rsidRPr="00F52350">
        <w:rPr>
          <w:rFonts w:ascii="Arial" w:eastAsia="Times New Roman" w:hAnsi="Arial" w:cs="Arial"/>
          <w:i/>
          <w:iCs/>
          <w:sz w:val="24"/>
          <w:szCs w:val="24"/>
          <w:lang w:eastAsia="en-GB"/>
        </w:rPr>
        <w:t>Principles of corporate finance</w:t>
      </w:r>
      <w:r w:rsidRPr="00F52350">
        <w:rPr>
          <w:rFonts w:ascii="Arial" w:eastAsia="Times New Roman" w:hAnsi="Arial" w:cs="Arial"/>
          <w:sz w:val="24"/>
          <w:szCs w:val="24"/>
          <w:lang w:eastAsia="en-GB"/>
        </w:rPr>
        <w:t xml:space="preserve">. </w:t>
      </w:r>
      <w:proofErr w:type="gramStart"/>
      <w:r w:rsidRPr="00F52350">
        <w:rPr>
          <w:rFonts w:ascii="Arial" w:eastAsia="Times New Roman" w:hAnsi="Arial" w:cs="Arial"/>
          <w:sz w:val="24"/>
          <w:szCs w:val="24"/>
          <w:lang w:eastAsia="en-GB"/>
        </w:rPr>
        <w:t xml:space="preserve">14th </w:t>
      </w:r>
      <w:proofErr w:type="spellStart"/>
      <w:r w:rsidRPr="00F52350">
        <w:rPr>
          <w:rFonts w:ascii="Arial" w:eastAsia="Times New Roman" w:hAnsi="Arial" w:cs="Arial"/>
          <w:sz w:val="24"/>
          <w:szCs w:val="24"/>
          <w:lang w:eastAsia="en-GB"/>
        </w:rPr>
        <w:t>edn</w:t>
      </w:r>
      <w:proofErr w:type="spellEnd"/>
      <w:r w:rsidRPr="00F52350">
        <w:rPr>
          <w:rFonts w:ascii="Arial" w:eastAsia="Times New Roman" w:hAnsi="Arial" w:cs="Arial"/>
          <w:sz w:val="24"/>
          <w:szCs w:val="24"/>
          <w:lang w:eastAsia="en-GB"/>
        </w:rPr>
        <w:t>.</w:t>
      </w:r>
      <w:proofErr w:type="gramEnd"/>
      <w:r w:rsidRPr="00F52350">
        <w:rPr>
          <w:rFonts w:ascii="Arial" w:eastAsia="Times New Roman" w:hAnsi="Arial" w:cs="Arial"/>
          <w:sz w:val="24"/>
          <w:szCs w:val="24"/>
          <w:lang w:eastAsia="en-GB"/>
        </w:rPr>
        <w:t xml:space="preserve"> New York: McGraw-Hill.</w:t>
      </w:r>
    </w:p>
    <w:p w:rsidR="00F52350" w:rsidRP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sidRPr="00F52350">
        <w:rPr>
          <w:rFonts w:ascii="Arial" w:eastAsia="Times New Roman" w:hAnsi="Arial" w:cs="Arial"/>
          <w:sz w:val="24"/>
          <w:szCs w:val="24"/>
          <w:lang w:eastAsia="en-GB"/>
        </w:rPr>
        <w:t xml:space="preserve">CFA Institute (2024) </w:t>
      </w:r>
      <w:r w:rsidRPr="00F52350">
        <w:rPr>
          <w:rFonts w:ascii="Arial" w:eastAsia="Times New Roman" w:hAnsi="Arial" w:cs="Arial"/>
          <w:i/>
          <w:iCs/>
          <w:sz w:val="24"/>
          <w:szCs w:val="24"/>
          <w:lang w:eastAsia="en-GB"/>
        </w:rPr>
        <w:t>AI and the future of investment management</w:t>
      </w:r>
      <w:r w:rsidRPr="00F52350">
        <w:rPr>
          <w:rFonts w:ascii="Arial" w:eastAsia="Times New Roman" w:hAnsi="Arial" w:cs="Arial"/>
          <w:sz w:val="24"/>
          <w:szCs w:val="24"/>
          <w:lang w:eastAsia="en-GB"/>
        </w:rPr>
        <w:t>.</w:t>
      </w:r>
      <w:proofErr w:type="gramEnd"/>
      <w:r w:rsidRPr="00F52350">
        <w:rPr>
          <w:rFonts w:ascii="Arial" w:eastAsia="Times New Roman" w:hAnsi="Arial" w:cs="Arial"/>
          <w:sz w:val="24"/>
          <w:szCs w:val="24"/>
          <w:lang w:eastAsia="en-GB"/>
        </w:rPr>
        <w:t xml:space="preserve"> Charlottesville: CFA Institute.</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spellStart"/>
      <w:proofErr w:type="gramStart"/>
      <w:r>
        <w:rPr>
          <w:rFonts w:ascii="Arial" w:eastAsia="Times New Roman" w:hAnsi="Arial" w:cs="Arial"/>
          <w:sz w:val="24"/>
          <w:szCs w:val="24"/>
          <w:lang w:eastAsia="en-GB"/>
        </w:rPr>
        <w:t>CSIMarket</w:t>
      </w:r>
      <w:proofErr w:type="spellEnd"/>
      <w:r>
        <w:rPr>
          <w:rFonts w:ascii="Arial" w:eastAsia="Times New Roman" w:hAnsi="Arial" w:cs="Arial"/>
          <w:sz w:val="24"/>
          <w:szCs w:val="24"/>
          <w:lang w:eastAsia="en-GB"/>
        </w:rPr>
        <w:t xml:space="preserve"> (2026) </w:t>
      </w:r>
      <w:r>
        <w:rPr>
          <w:rFonts w:ascii="Arial" w:eastAsia="Times New Roman" w:hAnsi="Arial" w:cs="Arial"/>
          <w:i/>
          <w:iCs/>
          <w:sz w:val="24"/>
          <w:szCs w:val="24"/>
          <w:lang w:eastAsia="en-GB"/>
        </w:rPr>
        <w:t>Hotels, tourism and amusement industry financial ratios</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Available at: </w:t>
      </w:r>
      <w:hyperlink r:id="rId12" w:tgtFrame="_blank" w:history="1">
        <w:r>
          <w:rPr>
            <w:rStyle w:val="Hyperlink"/>
            <w:rFonts w:ascii="Arial" w:eastAsia="Times New Roman" w:hAnsi="Arial" w:cs="Arial"/>
            <w:sz w:val="24"/>
            <w:szCs w:val="24"/>
            <w:lang w:eastAsia="en-GB"/>
          </w:rPr>
          <w:t>https://csimarket.com</w:t>
        </w:r>
      </w:hyperlink>
      <w:r>
        <w:rPr>
          <w:rFonts w:ascii="Arial" w:eastAsia="Times New Roman" w:hAnsi="Arial" w:cs="Arial"/>
          <w:sz w:val="24"/>
          <w:szCs w:val="24"/>
          <w:lang w:eastAsia="en-GB"/>
        </w:rPr>
        <w:t xml:space="preserve"> (Accessed: 25 July 2026).</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spellStart"/>
      <w:proofErr w:type="gramStart"/>
      <w:r>
        <w:rPr>
          <w:rFonts w:ascii="Arial" w:eastAsia="Times New Roman" w:hAnsi="Arial" w:cs="Arial"/>
          <w:sz w:val="24"/>
          <w:szCs w:val="24"/>
          <w:lang w:eastAsia="en-GB"/>
        </w:rPr>
        <w:t>Damodaran</w:t>
      </w:r>
      <w:proofErr w:type="spellEnd"/>
      <w:r>
        <w:rPr>
          <w:rFonts w:ascii="Arial" w:eastAsia="Times New Roman" w:hAnsi="Arial" w:cs="Arial"/>
          <w:sz w:val="24"/>
          <w:szCs w:val="24"/>
          <w:lang w:eastAsia="en-GB"/>
        </w:rPr>
        <w:t xml:space="preserve">, A. (2024) </w:t>
      </w:r>
      <w:r>
        <w:rPr>
          <w:rFonts w:ascii="Arial" w:eastAsia="Times New Roman" w:hAnsi="Arial" w:cs="Arial"/>
          <w:i/>
          <w:iCs/>
          <w:sz w:val="24"/>
          <w:szCs w:val="24"/>
          <w:lang w:eastAsia="en-GB"/>
        </w:rPr>
        <w:t>Investment valuation</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 xml:space="preserve">4th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Hoboken: Wiley.</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Deloitte (2025) </w:t>
      </w:r>
      <w:r>
        <w:rPr>
          <w:rFonts w:ascii="Arial" w:eastAsia="Times New Roman" w:hAnsi="Arial" w:cs="Arial"/>
          <w:i/>
          <w:iCs/>
          <w:sz w:val="24"/>
          <w:szCs w:val="24"/>
          <w:lang w:eastAsia="en-GB"/>
        </w:rPr>
        <w:t>2025 travel and hospitality industry outlook</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London: Deloitte.</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Hilton Worldwide Holdings Inc. (2026) </w:t>
      </w:r>
      <w:r>
        <w:rPr>
          <w:rFonts w:ascii="Arial" w:eastAsia="Times New Roman" w:hAnsi="Arial" w:cs="Arial"/>
          <w:i/>
          <w:iCs/>
          <w:sz w:val="24"/>
          <w:szCs w:val="24"/>
          <w:lang w:eastAsia="en-GB"/>
        </w:rPr>
        <w:t>Annual report 2025</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McLean, VA: Hilton.</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ICAEW (2024) </w:t>
      </w:r>
      <w:r>
        <w:rPr>
          <w:rFonts w:ascii="Arial" w:eastAsia="Times New Roman" w:hAnsi="Arial" w:cs="Arial"/>
          <w:i/>
          <w:iCs/>
          <w:sz w:val="24"/>
          <w:szCs w:val="24"/>
          <w:lang w:eastAsia="en-GB"/>
        </w:rPr>
        <w:t>Artificial intelligence and the finance function</w:t>
      </w:r>
      <w:r>
        <w:rPr>
          <w:rFonts w:ascii="Arial" w:eastAsia="Times New Roman" w:hAnsi="Arial" w:cs="Arial"/>
          <w:sz w:val="24"/>
          <w:szCs w:val="24"/>
          <w:lang w:eastAsia="en-GB"/>
        </w:rPr>
        <w:t>. London: ICAEW.</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IHG (2022) </w:t>
      </w:r>
      <w:r>
        <w:rPr>
          <w:rFonts w:ascii="Arial" w:eastAsia="Times New Roman" w:hAnsi="Arial" w:cs="Arial"/>
          <w:i/>
          <w:iCs/>
          <w:sz w:val="24"/>
          <w:szCs w:val="24"/>
          <w:lang w:eastAsia="en-GB"/>
        </w:rPr>
        <w:t>Full year results 2021</w:t>
      </w:r>
      <w:r>
        <w:rPr>
          <w:rFonts w:ascii="Arial" w:eastAsia="Times New Roman" w:hAnsi="Arial" w:cs="Arial"/>
          <w:sz w:val="24"/>
          <w:szCs w:val="24"/>
          <w:lang w:eastAsia="en-GB"/>
        </w:rPr>
        <w:t>.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IHG (2023) </w:t>
      </w:r>
      <w:r>
        <w:rPr>
          <w:rFonts w:ascii="Arial" w:eastAsia="Times New Roman" w:hAnsi="Arial" w:cs="Arial"/>
          <w:i/>
          <w:iCs/>
          <w:sz w:val="24"/>
          <w:szCs w:val="24"/>
          <w:lang w:eastAsia="en-GB"/>
        </w:rPr>
        <w:t>Full year results 2022</w:t>
      </w:r>
      <w:r>
        <w:rPr>
          <w:rFonts w:ascii="Arial" w:eastAsia="Times New Roman" w:hAnsi="Arial" w:cs="Arial"/>
          <w:sz w:val="24"/>
          <w:szCs w:val="24"/>
          <w:lang w:eastAsia="en-GB"/>
        </w:rPr>
        <w:t>.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IHG (2024) </w:t>
      </w:r>
      <w:r>
        <w:rPr>
          <w:rFonts w:ascii="Arial" w:eastAsia="Times New Roman" w:hAnsi="Arial" w:cs="Arial"/>
          <w:i/>
          <w:iCs/>
          <w:sz w:val="24"/>
          <w:szCs w:val="24"/>
          <w:lang w:eastAsia="en-GB"/>
        </w:rPr>
        <w:t>Full year results 2023</w:t>
      </w:r>
      <w:r>
        <w:rPr>
          <w:rFonts w:ascii="Arial" w:eastAsia="Times New Roman" w:hAnsi="Arial" w:cs="Arial"/>
          <w:sz w:val="24"/>
          <w:szCs w:val="24"/>
          <w:lang w:eastAsia="en-GB"/>
        </w:rPr>
        <w:t>.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IHG (2025) </w:t>
      </w:r>
      <w:r>
        <w:rPr>
          <w:rFonts w:ascii="Arial" w:eastAsia="Times New Roman" w:hAnsi="Arial" w:cs="Arial"/>
          <w:i/>
          <w:iCs/>
          <w:sz w:val="24"/>
          <w:szCs w:val="24"/>
          <w:lang w:eastAsia="en-GB"/>
        </w:rPr>
        <w:t>Full year results 2024</w:t>
      </w:r>
      <w:r>
        <w:rPr>
          <w:rFonts w:ascii="Arial" w:eastAsia="Times New Roman" w:hAnsi="Arial" w:cs="Arial"/>
          <w:sz w:val="24"/>
          <w:szCs w:val="24"/>
          <w:lang w:eastAsia="en-GB"/>
        </w:rPr>
        <w:t>.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IHG (2026a) </w:t>
      </w:r>
      <w:r>
        <w:rPr>
          <w:rFonts w:ascii="Arial" w:eastAsia="Times New Roman" w:hAnsi="Arial" w:cs="Arial"/>
          <w:i/>
          <w:iCs/>
          <w:sz w:val="24"/>
          <w:szCs w:val="24"/>
          <w:lang w:eastAsia="en-GB"/>
        </w:rPr>
        <w:t>Full year results 2025 and annual report and Form 20-F 2025</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IHG (2026b) </w:t>
      </w:r>
      <w:r>
        <w:rPr>
          <w:rFonts w:ascii="Arial" w:eastAsia="Times New Roman" w:hAnsi="Arial" w:cs="Arial"/>
          <w:i/>
          <w:iCs/>
          <w:sz w:val="24"/>
          <w:szCs w:val="24"/>
          <w:lang w:eastAsia="en-GB"/>
        </w:rPr>
        <w:t>Responsible business report 2025</w:t>
      </w:r>
      <w:r>
        <w:rPr>
          <w:rFonts w:ascii="Arial" w:eastAsia="Times New Roman" w:hAnsi="Arial" w:cs="Arial"/>
          <w:sz w:val="24"/>
          <w:szCs w:val="24"/>
          <w:lang w:eastAsia="en-GB"/>
        </w:rPr>
        <w:t>. Denham: InterContinental Hotels Group plc.</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KPMG (2025) </w:t>
      </w:r>
      <w:r>
        <w:rPr>
          <w:rFonts w:ascii="Arial" w:eastAsia="Times New Roman" w:hAnsi="Arial" w:cs="Arial"/>
          <w:i/>
          <w:iCs/>
          <w:sz w:val="24"/>
          <w:szCs w:val="24"/>
          <w:lang w:eastAsia="en-GB"/>
        </w:rPr>
        <w:t>ESG in hospitality: global trends</w:t>
      </w:r>
      <w:r>
        <w:rPr>
          <w:rFonts w:ascii="Arial" w:eastAsia="Times New Roman" w:hAnsi="Arial" w:cs="Arial"/>
          <w:sz w:val="24"/>
          <w:szCs w:val="24"/>
          <w:lang w:eastAsia="en-GB"/>
        </w:rPr>
        <w:t>. London: KPMG.</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Marriott International Inc. (2026) </w:t>
      </w:r>
      <w:r>
        <w:rPr>
          <w:rFonts w:ascii="Arial" w:eastAsia="Times New Roman" w:hAnsi="Arial" w:cs="Arial"/>
          <w:i/>
          <w:iCs/>
          <w:sz w:val="24"/>
          <w:szCs w:val="24"/>
          <w:lang w:eastAsia="en-GB"/>
        </w:rPr>
        <w:t>Annual report 2025</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Bethesda, MD: Marriott.</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OECD (2024) </w:t>
      </w:r>
      <w:r>
        <w:rPr>
          <w:rFonts w:ascii="Arial" w:eastAsia="Times New Roman" w:hAnsi="Arial" w:cs="Arial"/>
          <w:i/>
          <w:iCs/>
          <w:sz w:val="24"/>
          <w:szCs w:val="24"/>
          <w:lang w:eastAsia="en-GB"/>
        </w:rPr>
        <w:t>Tax challenges arising from the digitalisation of the economy – global anti-base erosion model rules</w:t>
      </w:r>
      <w:r>
        <w:rPr>
          <w:rFonts w:ascii="Arial" w:eastAsia="Times New Roman" w:hAnsi="Arial" w:cs="Arial"/>
          <w:sz w:val="24"/>
          <w:szCs w:val="24"/>
          <w:lang w:eastAsia="en-GB"/>
        </w:rPr>
        <w:t>. Paris: OECD.</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Pike, R. and Neale, B. (2022) </w:t>
      </w:r>
      <w:proofErr w:type="gramStart"/>
      <w:r>
        <w:rPr>
          <w:rFonts w:ascii="Arial" w:eastAsia="Times New Roman" w:hAnsi="Arial" w:cs="Arial"/>
          <w:i/>
          <w:iCs/>
          <w:sz w:val="24"/>
          <w:szCs w:val="24"/>
          <w:lang w:eastAsia="en-GB"/>
        </w:rPr>
        <w:t>Corporate</w:t>
      </w:r>
      <w:proofErr w:type="gramEnd"/>
      <w:r>
        <w:rPr>
          <w:rFonts w:ascii="Arial" w:eastAsia="Times New Roman" w:hAnsi="Arial" w:cs="Arial"/>
          <w:i/>
          <w:iCs/>
          <w:sz w:val="24"/>
          <w:szCs w:val="24"/>
          <w:lang w:eastAsia="en-GB"/>
        </w:rPr>
        <w:t xml:space="preserve"> finance and investment</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 xml:space="preserve">10th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Harlow: Pearson.</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t xml:space="preserve">S&amp;P Global Ratings (2025) </w:t>
      </w:r>
      <w:r>
        <w:rPr>
          <w:rFonts w:ascii="Arial" w:eastAsia="Times New Roman" w:hAnsi="Arial" w:cs="Arial"/>
          <w:i/>
          <w:iCs/>
          <w:sz w:val="24"/>
          <w:szCs w:val="24"/>
          <w:lang w:eastAsia="en-GB"/>
        </w:rPr>
        <w:t>IHG credit opinion</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New York: S&amp;P Global.</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proofErr w:type="gramStart"/>
      <w:r>
        <w:rPr>
          <w:rFonts w:ascii="Arial" w:eastAsia="Times New Roman" w:hAnsi="Arial" w:cs="Arial"/>
          <w:sz w:val="24"/>
          <w:szCs w:val="24"/>
          <w:lang w:eastAsia="en-GB"/>
        </w:rPr>
        <w:lastRenderedPageBreak/>
        <w:t xml:space="preserve">UNWTO (2025) </w:t>
      </w:r>
      <w:r>
        <w:rPr>
          <w:rFonts w:ascii="Arial" w:eastAsia="Times New Roman" w:hAnsi="Arial" w:cs="Arial"/>
          <w:i/>
          <w:iCs/>
          <w:sz w:val="24"/>
          <w:szCs w:val="24"/>
          <w:lang w:eastAsia="en-GB"/>
        </w:rPr>
        <w:t>World tourism barometer</w:t>
      </w:r>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Madrid: United Nations World Tourism Organization.</w:t>
      </w:r>
    </w:p>
    <w:p w:rsidR="00F52350" w:rsidRDefault="00F52350" w:rsidP="00F52350">
      <w:pPr>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Watson, D. and Head, A. (2019) </w:t>
      </w:r>
      <w:proofErr w:type="gramStart"/>
      <w:r>
        <w:rPr>
          <w:rFonts w:ascii="Arial" w:eastAsia="Times New Roman" w:hAnsi="Arial" w:cs="Arial"/>
          <w:i/>
          <w:iCs/>
          <w:sz w:val="24"/>
          <w:szCs w:val="24"/>
          <w:lang w:eastAsia="en-GB"/>
        </w:rPr>
        <w:t>Corporate</w:t>
      </w:r>
      <w:proofErr w:type="gramEnd"/>
      <w:r>
        <w:rPr>
          <w:rFonts w:ascii="Arial" w:eastAsia="Times New Roman" w:hAnsi="Arial" w:cs="Arial"/>
          <w:i/>
          <w:iCs/>
          <w:sz w:val="24"/>
          <w:szCs w:val="24"/>
          <w:lang w:eastAsia="en-GB"/>
        </w:rPr>
        <w:t xml:space="preserve"> finance: principles and practice</w:t>
      </w:r>
      <w:r>
        <w:rPr>
          <w:rFonts w:ascii="Arial" w:eastAsia="Times New Roman" w:hAnsi="Arial" w:cs="Arial"/>
          <w:sz w:val="24"/>
          <w:szCs w:val="24"/>
          <w:lang w:eastAsia="en-GB"/>
        </w:rPr>
        <w:t xml:space="preserve">. </w:t>
      </w:r>
      <w:proofErr w:type="gramStart"/>
      <w:r>
        <w:rPr>
          <w:rFonts w:ascii="Arial" w:eastAsia="Times New Roman" w:hAnsi="Arial" w:cs="Arial"/>
          <w:sz w:val="24"/>
          <w:szCs w:val="24"/>
          <w:lang w:eastAsia="en-GB"/>
        </w:rPr>
        <w:t xml:space="preserve">8th </w:t>
      </w:r>
      <w:proofErr w:type="spellStart"/>
      <w:r>
        <w:rPr>
          <w:rFonts w:ascii="Arial" w:eastAsia="Times New Roman" w:hAnsi="Arial" w:cs="Arial"/>
          <w:sz w:val="24"/>
          <w:szCs w:val="24"/>
          <w:lang w:eastAsia="en-GB"/>
        </w:rPr>
        <w:t>edn</w:t>
      </w:r>
      <w:proofErr w:type="spellEnd"/>
      <w:r>
        <w:rPr>
          <w:rFonts w:ascii="Arial" w:eastAsia="Times New Roman" w:hAnsi="Arial" w:cs="Arial"/>
          <w:sz w:val="24"/>
          <w:szCs w:val="24"/>
          <w:lang w:eastAsia="en-GB"/>
        </w:rPr>
        <w:t>.</w:t>
      </w:r>
      <w:proofErr w:type="gramEnd"/>
      <w:r>
        <w:rPr>
          <w:rFonts w:ascii="Arial" w:eastAsia="Times New Roman" w:hAnsi="Arial" w:cs="Arial"/>
          <w:sz w:val="24"/>
          <w:szCs w:val="24"/>
          <w:lang w:eastAsia="en-GB"/>
        </w:rPr>
        <w:t xml:space="preserve"> Harlow: Pearson.</w:t>
      </w: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Arial" w:eastAsia="Arial" w:hAnsi="Arial" w:cs="Times New Roman"/>
          <w:sz w:val="24"/>
          <w:lang w:val="en-US"/>
        </w:rPr>
      </w:pPr>
    </w:p>
    <w:p w:rsidR="00F52350" w:rsidRDefault="00F52350" w:rsidP="007E50F7">
      <w:pPr>
        <w:spacing w:after="160" w:line="360" w:lineRule="auto"/>
        <w:jc w:val="both"/>
        <w:rPr>
          <w:rFonts w:ascii="Cambria" w:eastAsia="MS Mincho" w:hAnsi="Cambria" w:cs="Times New Roman"/>
          <w:lang w:val="en-US"/>
        </w:rPr>
      </w:pPr>
    </w:p>
    <w:p w:rsidR="00F52350" w:rsidRPr="0089339D" w:rsidRDefault="00F52350" w:rsidP="00F52350">
      <w:pPr>
        <w:pStyle w:val="Heading1"/>
        <w:rPr>
          <w:rFonts w:ascii="Arial" w:eastAsia="Arial" w:hAnsi="Arial" w:cs="Arial"/>
          <w:color w:val="auto"/>
          <w:lang w:val="en-US"/>
        </w:rPr>
      </w:pPr>
      <w:bookmarkStart w:id="61" w:name="_Toc237510933"/>
      <w:r w:rsidRPr="0089339D">
        <w:rPr>
          <w:rFonts w:ascii="Arial" w:eastAsia="Arial" w:hAnsi="Arial" w:cs="Arial"/>
          <w:color w:val="auto"/>
          <w:lang w:val="en-US"/>
        </w:rPr>
        <w:lastRenderedPageBreak/>
        <w:t>Appendices</w:t>
      </w:r>
      <w:bookmarkEnd w:id="61"/>
    </w:p>
    <w:p w:rsidR="00F52350" w:rsidRDefault="00F52350" w:rsidP="00F52350">
      <w:pPr>
        <w:jc w:val="center"/>
        <w:rPr>
          <w:rFonts w:ascii="Cambria" w:eastAsia="MS Mincho" w:hAnsi="Cambria" w:cs="Times New Roman"/>
          <w:lang w:val="en-US"/>
        </w:rPr>
      </w:pPr>
      <w:r>
        <w:rPr>
          <w:rFonts w:ascii="Arial" w:eastAsia="Arial" w:hAnsi="Arial" w:cs="Times New Roman"/>
          <w:b/>
          <w:sz w:val="32"/>
          <w:lang w:val="en-US"/>
        </w:rPr>
        <w:t>APPENDIX – Supporting Calculations</w:t>
      </w:r>
    </w:p>
    <w:p w:rsidR="00F52350" w:rsidRDefault="00F52350" w:rsidP="00F52350">
      <w:pPr>
        <w:jc w:val="center"/>
        <w:rPr>
          <w:rFonts w:ascii="Cambria" w:eastAsia="MS Mincho" w:hAnsi="Cambria" w:cs="Times New Roman"/>
          <w:lang w:val="en-US"/>
        </w:rPr>
      </w:pPr>
      <w:r>
        <w:rPr>
          <w:rFonts w:ascii="Arial" w:eastAsia="Arial" w:hAnsi="Arial" w:cs="Times New Roman"/>
          <w:b/>
          <w:sz w:val="26"/>
          <w:lang w:val="en-US"/>
        </w:rPr>
        <w:t>InterContinental Hotels Group (IHG)</w:t>
      </w:r>
    </w:p>
    <w:p w:rsidR="00F52350" w:rsidRDefault="00F52350" w:rsidP="00F52350">
      <w:pPr>
        <w:spacing w:after="120"/>
        <w:rPr>
          <w:rFonts w:ascii="Cambria" w:eastAsia="MS Mincho" w:hAnsi="Cambria" w:cs="Times New Roman"/>
          <w:sz w:val="24"/>
          <w:szCs w:val="24"/>
          <w:lang w:val="en-US"/>
        </w:rPr>
      </w:pPr>
      <w:r>
        <w:rPr>
          <w:rFonts w:ascii="Arial" w:eastAsia="Arial" w:hAnsi="Arial" w:cs="Times New Roman"/>
          <w:sz w:val="24"/>
          <w:szCs w:val="24"/>
          <w:lang w:val="en-US"/>
        </w:rPr>
        <w:t>This appendix consolidates the key quantitative workings that support the main report. All figures are drawn from IHG Full Year Results 2021–2025 and independent calculations. Values in US$ millions unless otherwise stated.</w:t>
      </w:r>
    </w:p>
    <w:p w:rsidR="0089339D" w:rsidRPr="0089339D" w:rsidRDefault="0089339D" w:rsidP="0089339D">
      <w:pPr>
        <w:jc w:val="center"/>
        <w:rPr>
          <w:rFonts w:ascii="Cambria" w:eastAsia="MS Mincho" w:hAnsi="Cambria" w:cs="Times New Roman"/>
          <w:lang w:val="en-US"/>
        </w:rPr>
      </w:pPr>
      <w:r w:rsidRPr="0089339D">
        <w:rPr>
          <w:rFonts w:ascii="Arial" w:eastAsia="Arial" w:hAnsi="Arial" w:cs="Times New Roman"/>
          <w:b/>
          <w:sz w:val="28"/>
          <w:lang w:val="en-US"/>
        </w:rPr>
        <w:t>APPENDIX – Detailed Financial Statements</w:t>
      </w:r>
    </w:p>
    <w:p w:rsidR="0089339D" w:rsidRPr="0089339D" w:rsidRDefault="0089339D" w:rsidP="0089339D">
      <w:pPr>
        <w:jc w:val="center"/>
        <w:rPr>
          <w:rFonts w:ascii="Cambria" w:eastAsia="MS Mincho" w:hAnsi="Cambria" w:cs="Times New Roman"/>
          <w:lang w:val="en-US"/>
        </w:rPr>
      </w:pPr>
      <w:r w:rsidRPr="0089339D">
        <w:rPr>
          <w:rFonts w:ascii="Arial" w:eastAsia="Arial" w:hAnsi="Arial" w:cs="Times New Roman"/>
          <w:b/>
          <w:lang w:val="en-US"/>
        </w:rPr>
        <w:t xml:space="preserve">InterContinental Hotels Group </w:t>
      </w:r>
      <w:proofErr w:type="spellStart"/>
      <w:r w:rsidRPr="0089339D">
        <w:rPr>
          <w:rFonts w:ascii="Arial" w:eastAsia="Arial" w:hAnsi="Arial" w:cs="Times New Roman"/>
          <w:b/>
          <w:lang w:val="en-US"/>
        </w:rPr>
        <w:t>plc</w:t>
      </w:r>
      <w:proofErr w:type="spellEnd"/>
      <w:r w:rsidRPr="0089339D">
        <w:rPr>
          <w:rFonts w:ascii="Arial" w:eastAsia="Arial" w:hAnsi="Arial" w:cs="Times New Roman"/>
          <w:b/>
          <w:lang w:val="en-US"/>
        </w:rPr>
        <w:t xml:space="preserve"> (IHG) | 2021–2025</w:t>
      </w:r>
    </w:p>
    <w:p w:rsidR="0089339D" w:rsidRPr="0089339D" w:rsidRDefault="0089339D" w:rsidP="0089339D">
      <w:pPr>
        <w:jc w:val="center"/>
        <w:rPr>
          <w:rFonts w:ascii="Cambria" w:eastAsia="MS Mincho" w:hAnsi="Cambria" w:cs="Times New Roman"/>
          <w:lang w:val="en-US"/>
        </w:rPr>
      </w:pPr>
    </w:p>
    <w:p w:rsidR="0089339D" w:rsidRPr="0089339D" w:rsidRDefault="0089339D" w:rsidP="0089339D">
      <w:pPr>
        <w:jc w:val="center"/>
        <w:rPr>
          <w:rFonts w:ascii="Cambria" w:eastAsia="MS Mincho" w:hAnsi="Cambria" w:cs="Times New Roman"/>
          <w:sz w:val="20"/>
          <w:szCs w:val="20"/>
          <w:lang w:val="en-US"/>
        </w:rPr>
      </w:pPr>
      <w:r w:rsidRPr="0089339D">
        <w:rPr>
          <w:rFonts w:ascii="Arial" w:eastAsia="Arial" w:hAnsi="Arial" w:cs="Times New Roman"/>
          <w:i/>
          <w:sz w:val="20"/>
          <w:szCs w:val="20"/>
          <w:lang w:val="en-US"/>
        </w:rPr>
        <w:t>Source: IHG Full Year Results and Annual Reports / Form 20-F. Figures in US$ millions unless stated.</w:t>
      </w:r>
    </w:p>
    <w:p w:rsidR="0089339D" w:rsidRPr="0089339D" w:rsidRDefault="0089339D" w:rsidP="0089339D">
      <w:pPr>
        <w:rPr>
          <w:rFonts w:ascii="Cambria" w:eastAsia="MS Mincho" w:hAnsi="Cambria" w:cs="Times New Roman"/>
          <w:sz w:val="24"/>
          <w:szCs w:val="24"/>
          <w:lang w:val="en-US"/>
        </w:rPr>
      </w:pPr>
      <w:r w:rsidRPr="0089339D">
        <w:rPr>
          <w:rFonts w:ascii="Arial" w:eastAsia="Arial" w:hAnsi="Arial" w:cs="Times New Roman"/>
          <w:b/>
          <w:sz w:val="24"/>
          <w:szCs w:val="24"/>
          <w:lang w:val="en-US"/>
        </w:rPr>
        <w:t>Appendix A – Detailed Consolidated Income Statement</w:t>
      </w:r>
    </w:p>
    <w:tbl>
      <w:tblPr>
        <w:tblStyle w:val="TableGrid15"/>
        <w:tblW w:w="0" w:type="auto"/>
        <w:tblLook w:val="04A0" w:firstRow="1" w:lastRow="0" w:firstColumn="1" w:lastColumn="0" w:noHBand="0" w:noVBand="1"/>
      </w:tblPr>
      <w:tblGrid>
        <w:gridCol w:w="1600"/>
        <w:gridCol w:w="1531"/>
        <w:gridCol w:w="1531"/>
        <w:gridCol w:w="1531"/>
        <w:gridCol w:w="1531"/>
        <w:gridCol w:w="1518"/>
      </w:tblGrid>
      <w:tr w:rsidR="0089339D" w:rsidRPr="0089339D" w:rsidTr="0089339D">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Line Item</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2025</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2024</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2023</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2022</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2021</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Revenue from fee business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1,897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1,774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1,672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1,434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1,153</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Revenue from owned, leased &amp; managed lease hotels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544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515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471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394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237</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Revenue from insurance activities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System Fund revenue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1,717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928</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Reimbursable revenue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1,004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589</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System Fund and reimbursable revenues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2,611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2,460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2,049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revenue</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5,189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4,923</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4,624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3,892</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2,907</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Cost of sales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(794)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(745)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(742)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(648)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(486)</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System Fund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(1,763)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(939)</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Reimbursable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(1,004)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(589)</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System Fund and reimbursable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(2,694)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(2,441)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(2,154)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Administrative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(338)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Insurance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Share of profits/(losses) of associates &amp; JVs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Other operating income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 xml:space="preserve">Depreciation and </w:t>
            </w:r>
            <w:proofErr w:type="spellStart"/>
            <w:r w:rsidRPr="0089339D">
              <w:rPr>
                <w:rFonts w:ascii="Arial" w:eastAsia="Arial" w:hAnsi="Arial" w:cs="Times New Roman"/>
                <w:sz w:val="13"/>
              </w:rPr>
              <w:t>amortisation</w:t>
            </w:r>
            <w:proofErr w:type="spellEnd"/>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(98)</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Impairment &amp; other net charges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Operating profit</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1,198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1,041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1,066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628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494</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Financial income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Financial expenses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(147)</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Fair value &amp; other items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Profit before tax</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1,041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897</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1,010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540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361</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Tax</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(96)</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Profit for the year</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758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628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750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376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265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Basic EPS (¢)</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490.9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389.6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443.8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207.2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145.4</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Diluted EPS (¢)</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486.0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385.3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441.2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206.0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144.6</w:t>
            </w:r>
          </w:p>
        </w:tc>
      </w:tr>
    </w:tbl>
    <w:p w:rsidR="0089339D" w:rsidRPr="0089339D" w:rsidRDefault="0089339D" w:rsidP="0089339D">
      <w:pPr>
        <w:rPr>
          <w:rFonts w:ascii="Cambria" w:eastAsia="MS Mincho" w:hAnsi="Cambria" w:cs="Times New Roman"/>
          <w:sz w:val="16"/>
          <w:szCs w:val="16"/>
          <w:lang w:val="en-US"/>
        </w:rPr>
      </w:pPr>
      <w:r w:rsidRPr="0089339D">
        <w:rPr>
          <w:rFonts w:ascii="Arial" w:eastAsia="Arial" w:hAnsi="Arial" w:cs="Times New Roman"/>
          <w:i/>
          <w:sz w:val="16"/>
          <w:szCs w:val="16"/>
          <w:lang w:val="en-US"/>
        </w:rPr>
        <w:t>Notes: 2022–2024 System Fund and reimbursable lines presented combined (source presentation). 2021 uses older separate presentation. Source: IHG Full Year Results / Annual Reports 2021–2025.</w:t>
      </w:r>
    </w:p>
    <w:p w:rsidR="0089339D" w:rsidRPr="0089339D" w:rsidRDefault="0089339D" w:rsidP="0089339D">
      <w:pPr>
        <w:rPr>
          <w:rFonts w:ascii="Cambria" w:eastAsia="MS Mincho" w:hAnsi="Cambria" w:cs="Times New Roman"/>
          <w:lang w:val="en-US"/>
        </w:rPr>
      </w:pPr>
      <w:r w:rsidRPr="0089339D">
        <w:rPr>
          <w:rFonts w:ascii="Cambria" w:eastAsia="MS Mincho" w:hAnsi="Cambria" w:cs="Times New Roman"/>
          <w:lang w:val="en-US"/>
        </w:rPr>
        <w:br w:type="page"/>
      </w:r>
    </w:p>
    <w:p w:rsidR="0089339D" w:rsidRPr="0089339D" w:rsidRDefault="0089339D" w:rsidP="0089339D">
      <w:pPr>
        <w:rPr>
          <w:rFonts w:ascii="Cambria" w:eastAsia="MS Mincho" w:hAnsi="Cambria" w:cs="Times New Roman"/>
          <w:sz w:val="24"/>
          <w:szCs w:val="24"/>
          <w:lang w:val="en-US"/>
        </w:rPr>
      </w:pPr>
      <w:r w:rsidRPr="0089339D">
        <w:rPr>
          <w:rFonts w:ascii="Arial" w:eastAsia="Arial" w:hAnsi="Arial" w:cs="Times New Roman"/>
          <w:b/>
          <w:sz w:val="24"/>
          <w:szCs w:val="24"/>
          <w:lang w:val="en-US"/>
        </w:rPr>
        <w:lastRenderedPageBreak/>
        <w:t>Appendix B – Detailed Consolidated Balance Sheet</w:t>
      </w:r>
    </w:p>
    <w:p w:rsidR="0089339D" w:rsidRPr="0089339D" w:rsidRDefault="0089339D" w:rsidP="0089339D">
      <w:pPr>
        <w:rPr>
          <w:rFonts w:ascii="Cambria" w:eastAsia="MS Mincho" w:hAnsi="Cambria" w:cs="Times New Roman"/>
          <w:lang w:val="en-US"/>
        </w:rPr>
      </w:pPr>
      <w:proofErr w:type="gramStart"/>
      <w:r w:rsidRPr="0089339D">
        <w:rPr>
          <w:rFonts w:ascii="Arial" w:eastAsia="Arial" w:hAnsi="Arial" w:cs="Times New Roman"/>
          <w:i/>
          <w:sz w:val="16"/>
          <w:lang w:val="en-US"/>
        </w:rPr>
        <w:t>As at 31 December (US$ million).</w:t>
      </w:r>
      <w:proofErr w:type="gramEnd"/>
      <w:r w:rsidRPr="0089339D">
        <w:rPr>
          <w:rFonts w:ascii="Arial" w:eastAsia="Arial" w:hAnsi="Arial" w:cs="Times New Roman"/>
          <w:i/>
          <w:sz w:val="16"/>
          <w:lang w:val="en-US"/>
        </w:rPr>
        <w:t xml:space="preserve"> Negative equity is structural for IHG’s asset-light model.</w:t>
      </w:r>
    </w:p>
    <w:tbl>
      <w:tblPr>
        <w:tblStyle w:val="TableGrid15"/>
        <w:tblW w:w="0" w:type="auto"/>
        <w:tblLook w:val="04A0" w:firstRow="1" w:lastRow="0" w:firstColumn="1" w:lastColumn="0" w:noHBand="0" w:noVBand="1"/>
      </w:tblPr>
      <w:tblGrid>
        <w:gridCol w:w="1592"/>
        <w:gridCol w:w="1530"/>
        <w:gridCol w:w="1530"/>
        <w:gridCol w:w="1530"/>
        <w:gridCol w:w="1530"/>
        <w:gridCol w:w="1530"/>
      </w:tblGrid>
      <w:tr w:rsidR="0089339D" w:rsidRPr="0089339D" w:rsidTr="0089339D">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Line Item</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2025</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2024</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2023</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2022</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2021</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ASSETS</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Goodwill and other intangible assets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1,155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1,042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1,099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1,144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Property, plant and equipment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Right-of-use assets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Investment in associates and joint ventures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Retirement benefit assets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Other financial assets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185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Derivative financial instruments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compensation plan investments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Non-current other receivables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tax assets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Contract costs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Contract assets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424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336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300</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non-current assets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3,296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2,879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2,684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2,538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2,382</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Inventories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Trade and other receivables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860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807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662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575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Current tax receivable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Other financial assets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Cash and cash equivalents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1,008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976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1,450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Contract costs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Contract assets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current assets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2,049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1,869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2,129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1,678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2,066</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ASSETS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5,345</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4,748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4,813</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4,216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4,448</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LIABILITIES</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Loans and other borrowings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(398)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(599)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Lease liabilities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Trade and other payables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(676)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(711)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(401)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revenue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(766)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Provisions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Insurance liabilities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Tax payable (current)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(70)</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current liabilities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(2,100)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(1,928)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(2,190)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(1,544)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(1,624)</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Loans and other borrowings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(3,723)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(2,876)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(2,567)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(2,341)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Lease liabilities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(396)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(401)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(380)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Derivative financial instruments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Retirement benefit obligations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compensation plan liabilities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Trade and other payables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revenue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(1,340)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(1,294)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(1,096)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(1,043)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(900)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Provisions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Insurance liabilities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Deferred tax liabilities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Tax payable (non-current)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non-current liabilities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(5,981)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(5,128)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(4,569)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(4,280)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(3,915)</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LIABILITIES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(8,081)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(7,056)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(6,759)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(5,824)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(5,539)</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lastRenderedPageBreak/>
              <w:t>Net liabilities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(2,736)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(2,308)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(1,946)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(1,608)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(1,091)</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EQUITY</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IHG shareholders’ equity</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(2,741)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(2,312)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(1,950)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(1,615)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Non-controlling interest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TOTAL EQUITY</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(2,736)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(2,308)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(1,946)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(1,608)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(1,091)</w:t>
            </w:r>
          </w:p>
        </w:tc>
      </w:tr>
    </w:tbl>
    <w:p w:rsidR="0089339D" w:rsidRPr="0089339D" w:rsidRDefault="0089339D" w:rsidP="0089339D">
      <w:pPr>
        <w:rPr>
          <w:rFonts w:ascii="Cambria" w:eastAsia="MS Mincho" w:hAnsi="Cambria" w:cs="Times New Roman"/>
          <w:lang w:val="en-US"/>
        </w:rPr>
      </w:pPr>
      <w:r w:rsidRPr="0089339D">
        <w:rPr>
          <w:rFonts w:ascii="Arial" w:eastAsia="Arial" w:hAnsi="Arial" w:cs="Times New Roman"/>
          <w:i/>
          <w:color w:val="666666"/>
          <w:sz w:val="14"/>
          <w:lang w:val="en-US"/>
        </w:rPr>
        <w:t>Note: Negative equity is normal for IHG due to aggressive share buybacks and large deferred revenue (loyalty) liabilities. Some 2021–2022 figures are aggregated where full line-by-line restatement was not available on an identical basis. Source: IHG Annual Reports &amp; Form 20-F.</w:t>
      </w:r>
    </w:p>
    <w:p w:rsidR="0089339D" w:rsidRDefault="0089339D" w:rsidP="0089339D">
      <w:pPr>
        <w:rPr>
          <w:rFonts w:ascii="Cambria" w:eastAsia="MS Mincho" w:hAnsi="Cambria" w:cs="Times New Roman"/>
          <w:lang w:val="en-US"/>
        </w:rPr>
      </w:pPr>
    </w:p>
    <w:p w:rsidR="0089339D" w:rsidRPr="0089339D" w:rsidRDefault="0089339D" w:rsidP="0089339D">
      <w:pPr>
        <w:rPr>
          <w:rFonts w:ascii="Cambria" w:eastAsia="MS Mincho" w:hAnsi="Cambria" w:cs="Times New Roman"/>
          <w:lang w:val="en-US"/>
        </w:rPr>
      </w:pPr>
      <w:r w:rsidRPr="0089339D">
        <w:rPr>
          <w:rFonts w:ascii="Arial" w:eastAsia="Arial" w:hAnsi="Arial" w:cs="Times New Roman"/>
          <w:b/>
          <w:sz w:val="24"/>
          <w:szCs w:val="24"/>
          <w:lang w:val="en-US"/>
        </w:rPr>
        <w:t>Appendix C – Consolidated Statement of Cash Flows</w:t>
      </w:r>
    </w:p>
    <w:p w:rsidR="0089339D" w:rsidRPr="0089339D" w:rsidRDefault="0089339D" w:rsidP="0089339D">
      <w:pPr>
        <w:rPr>
          <w:rFonts w:ascii="Cambria" w:eastAsia="MS Mincho" w:hAnsi="Cambria" w:cs="Times New Roman"/>
          <w:lang w:val="en-US"/>
        </w:rPr>
      </w:pPr>
      <w:r w:rsidRPr="0089339D">
        <w:rPr>
          <w:rFonts w:ascii="Arial" w:eastAsia="Arial" w:hAnsi="Arial" w:cs="Times New Roman"/>
          <w:i/>
          <w:sz w:val="16"/>
          <w:lang w:val="en-US"/>
        </w:rPr>
        <w:t>For the years ended 31 December (IFRS, US$ million)</w:t>
      </w:r>
    </w:p>
    <w:tbl>
      <w:tblPr>
        <w:tblStyle w:val="TableGrid15"/>
        <w:tblW w:w="0" w:type="auto"/>
        <w:tblLook w:val="04A0" w:firstRow="1" w:lastRow="0" w:firstColumn="1" w:lastColumn="0" w:noHBand="0" w:noVBand="1"/>
      </w:tblPr>
      <w:tblGrid>
        <w:gridCol w:w="1603"/>
        <w:gridCol w:w="1527"/>
        <w:gridCol w:w="1528"/>
        <w:gridCol w:w="1528"/>
        <w:gridCol w:w="1528"/>
        <w:gridCol w:w="1528"/>
      </w:tblGrid>
      <w:tr w:rsidR="0089339D" w:rsidRPr="0089339D" w:rsidTr="0089339D">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Line Item</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2025</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2024</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2023</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2022</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4"/>
              </w:rPr>
              <w:t>2021</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CASH FLOWS FROM OPERATING ACTIVITIES</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Profit for the year (Net Income)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628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376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Adjustments reconciling profit to cash from operations (net)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550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585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371</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Cash flow from operations (pre interest &amp; tax)</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1,309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1,149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1,219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961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636</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Interest paid (net of interest received)</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(113)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(104)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Tax paid</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(298)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(309)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(86)</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Net cash from operating activities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898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724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893</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646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636</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CASH FLOWS FROM INVESTING ACTIVITIES</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Purchase of property, plant &amp; equipment (PPE)</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(17)</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Purchase of intangible assets (incl. key money / contracts)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Other investing activities (net)</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40</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Net cash used in investing activities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(190)</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(99)</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(137)</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(78)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(12)</w:t>
            </w:r>
          </w:p>
        </w:tc>
      </w:tr>
      <w:tr w:rsidR="0089339D" w:rsidRPr="0089339D" w:rsidTr="0089339D">
        <w:tc>
          <w:tcPr>
            <w:tcW w:w="1701" w:type="dxa"/>
            <w:shd w:val="clear" w:color="auto" w:fill="2E75B6"/>
          </w:tcPr>
          <w:p w:rsidR="0089339D" w:rsidRPr="0089339D" w:rsidRDefault="0089339D" w:rsidP="0089339D">
            <w:pPr>
              <w:rPr>
                <w:rFonts w:ascii="Cambria" w:hAnsi="Cambria" w:cs="Times New Roman"/>
              </w:rPr>
            </w:pPr>
            <w:r w:rsidRPr="0089339D">
              <w:rPr>
                <w:rFonts w:ascii="Arial" w:eastAsia="Arial" w:hAnsi="Arial" w:cs="Times New Roman"/>
                <w:b/>
                <w:color w:val="FFFFFF"/>
                <w:sz w:val="14"/>
              </w:rPr>
              <w:t>CASH FLOWS FROM FINANCING ACTIVITIES</w:t>
            </w: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c>
          <w:tcPr>
            <w:tcW w:w="1701" w:type="dxa"/>
            <w:shd w:val="clear" w:color="auto" w:fill="2E75B6"/>
          </w:tcPr>
          <w:p w:rsidR="0089339D" w:rsidRPr="0089339D" w:rsidRDefault="0089339D" w:rsidP="0089339D">
            <w:pPr>
              <w:jc w:val="center"/>
              <w:rPr>
                <w:rFonts w:ascii="Cambria" w:hAnsi="Cambria" w:cs="Times New Roman"/>
              </w:rPr>
            </w:pP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Dividends paid to shareholders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(270)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(259)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Repurchase of shares / buybacks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(907)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(831)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(798)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(483)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Net long-term debt issued / (repaid)</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587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657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(209)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(828)</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Principal element of lease payments &amp; other financing</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(32)</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Net cash used in financing activities</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(614)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(894)</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(417)</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(961)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(860)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Net increase / (decrease) in cash &amp; cash equivalents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94</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(269)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339</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(393)</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(236)</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Effect of exchange rate changes on cash</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41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(77)</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3</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sz w:val="13"/>
              </w:rPr>
              <w:t>Cash &amp; cash equivalents at beginning of year</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991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1,278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921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1,391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3"/>
              </w:rPr>
              <w:t>1,627</w:t>
            </w:r>
          </w:p>
        </w:tc>
      </w:tr>
      <w:tr w:rsidR="0089339D" w:rsidRPr="0089339D" w:rsidTr="0089339D">
        <w:tc>
          <w:tcPr>
            <w:tcW w:w="1701" w:type="dxa"/>
            <w:shd w:val="clear" w:color="auto" w:fill="D6EAF8"/>
          </w:tcPr>
          <w:p w:rsidR="0089339D" w:rsidRPr="0089339D" w:rsidRDefault="0089339D" w:rsidP="0089339D">
            <w:pPr>
              <w:rPr>
                <w:rFonts w:ascii="Cambria" w:hAnsi="Cambria" w:cs="Times New Roman"/>
              </w:rPr>
            </w:pPr>
            <w:r w:rsidRPr="0089339D">
              <w:rPr>
                <w:rFonts w:ascii="Arial" w:eastAsia="Arial" w:hAnsi="Arial" w:cs="Times New Roman"/>
                <w:b/>
                <w:sz w:val="13"/>
              </w:rPr>
              <w:t>Cash &amp; cash equivalents at end of year</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1,126</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991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1,278</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921</w:t>
            </w:r>
          </w:p>
        </w:tc>
        <w:tc>
          <w:tcPr>
            <w:tcW w:w="1701" w:type="dxa"/>
            <w:shd w:val="clear" w:color="auto" w:fill="D6EAF8"/>
          </w:tcPr>
          <w:p w:rsidR="0089339D" w:rsidRPr="0089339D" w:rsidRDefault="0089339D" w:rsidP="0089339D">
            <w:pPr>
              <w:jc w:val="center"/>
              <w:rPr>
                <w:rFonts w:ascii="Cambria" w:hAnsi="Cambria" w:cs="Times New Roman"/>
              </w:rPr>
            </w:pPr>
            <w:r w:rsidRPr="0089339D">
              <w:rPr>
                <w:rFonts w:ascii="Arial" w:eastAsia="Arial" w:hAnsi="Arial" w:cs="Times New Roman"/>
                <w:b/>
                <w:sz w:val="13"/>
              </w:rPr>
              <w:t>1,394</w:t>
            </w:r>
          </w:p>
        </w:tc>
      </w:tr>
    </w:tbl>
    <w:p w:rsidR="0089339D" w:rsidRPr="0089339D" w:rsidRDefault="0089339D" w:rsidP="0089339D">
      <w:pPr>
        <w:rPr>
          <w:rFonts w:ascii="Cambria" w:eastAsia="MS Mincho" w:hAnsi="Cambria" w:cs="Times New Roman"/>
          <w:lang w:val="en-US"/>
        </w:rPr>
      </w:pPr>
      <w:r w:rsidRPr="0089339D">
        <w:rPr>
          <w:rFonts w:ascii="Arial" w:eastAsia="Arial" w:hAnsi="Arial" w:cs="Times New Roman"/>
          <w:i/>
          <w:color w:val="666666"/>
          <w:sz w:val="14"/>
          <w:lang w:val="en-US"/>
        </w:rPr>
        <w:t xml:space="preserve">Sources: IHG Annual Reports &amp; Form 20-F (Group Statement of Cash Flows), Full Year Results. Net cash from operating / investing / financing activities are official verified figures </w:t>
      </w:r>
      <w:proofErr w:type="spellStart"/>
      <w:r w:rsidRPr="0089339D">
        <w:rPr>
          <w:rFonts w:ascii="Arial" w:eastAsia="Arial" w:hAnsi="Arial" w:cs="Times New Roman"/>
          <w:i/>
          <w:color w:val="666666"/>
          <w:sz w:val="14"/>
          <w:lang w:val="en-US"/>
        </w:rPr>
        <w:t>where</w:t>
      </w:r>
      <w:proofErr w:type="spellEnd"/>
      <w:r w:rsidRPr="0089339D">
        <w:rPr>
          <w:rFonts w:ascii="Arial" w:eastAsia="Arial" w:hAnsi="Arial" w:cs="Times New Roman"/>
          <w:i/>
          <w:color w:val="666666"/>
          <w:sz w:val="14"/>
          <w:lang w:val="en-US"/>
        </w:rPr>
        <w:t xml:space="preserve"> available. Asset-light model results in relatively low PPE </w:t>
      </w:r>
      <w:proofErr w:type="spellStart"/>
      <w:r w:rsidRPr="0089339D">
        <w:rPr>
          <w:rFonts w:ascii="Arial" w:eastAsia="Arial" w:hAnsi="Arial" w:cs="Times New Roman"/>
          <w:i/>
          <w:color w:val="666666"/>
          <w:sz w:val="14"/>
          <w:lang w:val="en-US"/>
        </w:rPr>
        <w:t>capex</w:t>
      </w:r>
      <w:proofErr w:type="spellEnd"/>
      <w:r w:rsidRPr="0089339D">
        <w:rPr>
          <w:rFonts w:ascii="Arial" w:eastAsia="Arial" w:hAnsi="Arial" w:cs="Times New Roman"/>
          <w:i/>
          <w:color w:val="666666"/>
          <w:sz w:val="14"/>
          <w:lang w:val="en-US"/>
        </w:rPr>
        <w:t>.</w:t>
      </w:r>
    </w:p>
    <w:p w:rsidR="0089339D" w:rsidRPr="0089339D" w:rsidRDefault="0089339D" w:rsidP="0089339D">
      <w:pPr>
        <w:rPr>
          <w:rFonts w:ascii="Cambria" w:eastAsia="MS Mincho" w:hAnsi="Cambria" w:cs="Times New Roman"/>
          <w:lang w:val="en-US"/>
        </w:rPr>
      </w:pPr>
      <w:r w:rsidRPr="0089339D">
        <w:rPr>
          <w:rFonts w:ascii="Cambria" w:eastAsia="MS Mincho" w:hAnsi="Cambria" w:cs="Times New Roman"/>
          <w:lang w:val="en-US"/>
        </w:rPr>
        <w:br w:type="page"/>
      </w:r>
    </w:p>
    <w:p w:rsidR="0089339D" w:rsidRPr="0089339D" w:rsidRDefault="0089339D" w:rsidP="0089339D">
      <w:pPr>
        <w:rPr>
          <w:rFonts w:ascii="Cambria" w:eastAsia="MS Mincho" w:hAnsi="Cambria" w:cs="Times New Roman"/>
          <w:sz w:val="24"/>
          <w:szCs w:val="24"/>
          <w:lang w:val="en-US"/>
        </w:rPr>
      </w:pPr>
      <w:r w:rsidRPr="0089339D">
        <w:rPr>
          <w:rFonts w:ascii="Arial" w:eastAsia="Arial" w:hAnsi="Arial" w:cs="Times New Roman"/>
          <w:b/>
          <w:sz w:val="24"/>
          <w:szCs w:val="24"/>
          <w:lang w:val="en-US"/>
        </w:rPr>
        <w:lastRenderedPageBreak/>
        <w:t>Appendix D – ROE Calculation and Cash Conversion Cycle</w:t>
      </w:r>
    </w:p>
    <w:p w:rsidR="0089339D" w:rsidRPr="0089339D" w:rsidRDefault="0089339D" w:rsidP="0089339D">
      <w:pPr>
        <w:rPr>
          <w:rFonts w:ascii="Cambria" w:eastAsia="MS Mincho" w:hAnsi="Cambria" w:cs="Times New Roman"/>
          <w:lang w:val="en-US"/>
        </w:rPr>
      </w:pPr>
      <w:r w:rsidRPr="0089339D">
        <w:rPr>
          <w:rFonts w:ascii="Arial" w:eastAsia="Arial" w:hAnsi="Arial" w:cs="Times New Roman"/>
          <w:b/>
          <w:sz w:val="20"/>
          <w:lang w:val="en-US"/>
        </w:rPr>
        <w:t>ROE (Return on Equity) – Calculation Workings</w:t>
      </w:r>
    </w:p>
    <w:p w:rsidR="0089339D" w:rsidRPr="0089339D" w:rsidRDefault="0089339D" w:rsidP="0089339D">
      <w:pPr>
        <w:rPr>
          <w:rFonts w:ascii="Cambria" w:eastAsia="MS Mincho" w:hAnsi="Cambria" w:cs="Times New Roman"/>
          <w:lang w:val="en-US"/>
        </w:rPr>
      </w:pPr>
      <w:r w:rsidRPr="0089339D">
        <w:rPr>
          <w:rFonts w:ascii="Arial" w:eastAsia="Arial" w:hAnsi="Arial" w:cs="Times New Roman"/>
          <w:lang w:val="en-US"/>
        </w:rPr>
        <w:t>ROE = Net Income ÷ Shareholders’ Equity. Equity was negative in every year 2021–2025 because cumulative share buybacks and dividends exceeded retained earnings. This is a deliberate capital-return policy (also observed at Marriott and Hilton), not operating distress. Net income was positive throughout.</w:t>
      </w:r>
    </w:p>
    <w:tbl>
      <w:tblPr>
        <w:tblStyle w:val="TableGrid15"/>
        <w:tblW w:w="0" w:type="auto"/>
        <w:tblLook w:val="04A0" w:firstRow="1" w:lastRow="0" w:firstColumn="1" w:lastColumn="0" w:noHBand="0" w:noVBand="1"/>
      </w:tblPr>
      <w:tblGrid>
        <w:gridCol w:w="2272"/>
        <w:gridCol w:w="2300"/>
        <w:gridCol w:w="2372"/>
        <w:gridCol w:w="2298"/>
      </w:tblGrid>
      <w:tr w:rsidR="0089339D" w:rsidRPr="0089339D" w:rsidTr="0089339D">
        <w:tc>
          <w:tcPr>
            <w:tcW w:w="255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Year</w:t>
            </w:r>
          </w:p>
        </w:tc>
        <w:tc>
          <w:tcPr>
            <w:tcW w:w="255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Net Income (US$ m)</w:t>
            </w:r>
          </w:p>
        </w:tc>
        <w:tc>
          <w:tcPr>
            <w:tcW w:w="255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Shareholders’ Equity (US$ m)</w:t>
            </w:r>
          </w:p>
        </w:tc>
        <w:tc>
          <w:tcPr>
            <w:tcW w:w="255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ROE</w:t>
            </w:r>
          </w:p>
        </w:tc>
      </w:tr>
      <w:tr w:rsidR="0089339D" w:rsidRPr="0089339D" w:rsidTr="0089339D">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2021</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265</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−1,474</w:t>
            </w:r>
          </w:p>
        </w:tc>
        <w:tc>
          <w:tcPr>
            <w:tcW w:w="2551" w:type="dxa"/>
            <w:shd w:val="clear" w:color="auto" w:fill="FFF9C4"/>
          </w:tcPr>
          <w:p w:rsidR="0089339D" w:rsidRPr="0089339D" w:rsidRDefault="0089339D" w:rsidP="0089339D">
            <w:pPr>
              <w:jc w:val="center"/>
              <w:rPr>
                <w:rFonts w:ascii="Cambria" w:hAnsi="Cambria" w:cs="Times New Roman"/>
              </w:rPr>
            </w:pPr>
            <w:r w:rsidRPr="0089339D">
              <w:rPr>
                <w:rFonts w:ascii="Arial" w:eastAsia="Arial" w:hAnsi="Arial" w:cs="Times New Roman"/>
                <w:b/>
                <w:sz w:val="16"/>
              </w:rPr>
              <w:t>−18.0%</w:t>
            </w:r>
          </w:p>
        </w:tc>
      </w:tr>
      <w:tr w:rsidR="0089339D" w:rsidRPr="0089339D" w:rsidTr="0089339D">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2022</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376</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−1,608</w:t>
            </w:r>
          </w:p>
        </w:tc>
        <w:tc>
          <w:tcPr>
            <w:tcW w:w="2551" w:type="dxa"/>
            <w:shd w:val="clear" w:color="auto" w:fill="FFF9C4"/>
          </w:tcPr>
          <w:p w:rsidR="0089339D" w:rsidRPr="0089339D" w:rsidRDefault="0089339D" w:rsidP="0089339D">
            <w:pPr>
              <w:jc w:val="center"/>
              <w:rPr>
                <w:rFonts w:ascii="Cambria" w:hAnsi="Cambria" w:cs="Times New Roman"/>
              </w:rPr>
            </w:pPr>
            <w:r w:rsidRPr="0089339D">
              <w:rPr>
                <w:rFonts w:ascii="Arial" w:eastAsia="Arial" w:hAnsi="Arial" w:cs="Times New Roman"/>
                <w:b/>
                <w:sz w:val="16"/>
              </w:rPr>
              <w:t>−23.4%</w:t>
            </w:r>
          </w:p>
        </w:tc>
      </w:tr>
      <w:tr w:rsidR="0089339D" w:rsidRPr="0089339D" w:rsidTr="0089339D">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2023</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750</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−1,946</w:t>
            </w:r>
          </w:p>
        </w:tc>
        <w:tc>
          <w:tcPr>
            <w:tcW w:w="2551" w:type="dxa"/>
            <w:shd w:val="clear" w:color="auto" w:fill="FFF9C4"/>
          </w:tcPr>
          <w:p w:rsidR="0089339D" w:rsidRPr="0089339D" w:rsidRDefault="0089339D" w:rsidP="0089339D">
            <w:pPr>
              <w:jc w:val="center"/>
              <w:rPr>
                <w:rFonts w:ascii="Cambria" w:hAnsi="Cambria" w:cs="Times New Roman"/>
              </w:rPr>
            </w:pPr>
            <w:r w:rsidRPr="0089339D">
              <w:rPr>
                <w:rFonts w:ascii="Arial" w:eastAsia="Arial" w:hAnsi="Arial" w:cs="Times New Roman"/>
                <w:b/>
                <w:sz w:val="16"/>
              </w:rPr>
              <w:t>−38.5%</w:t>
            </w:r>
          </w:p>
        </w:tc>
      </w:tr>
      <w:tr w:rsidR="0089339D" w:rsidRPr="0089339D" w:rsidTr="0089339D">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2024</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628</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−2,308</w:t>
            </w:r>
          </w:p>
        </w:tc>
        <w:tc>
          <w:tcPr>
            <w:tcW w:w="2551" w:type="dxa"/>
            <w:shd w:val="clear" w:color="auto" w:fill="FFF9C4"/>
          </w:tcPr>
          <w:p w:rsidR="0089339D" w:rsidRPr="0089339D" w:rsidRDefault="0089339D" w:rsidP="0089339D">
            <w:pPr>
              <w:jc w:val="center"/>
              <w:rPr>
                <w:rFonts w:ascii="Cambria" w:hAnsi="Cambria" w:cs="Times New Roman"/>
              </w:rPr>
            </w:pPr>
            <w:r w:rsidRPr="0089339D">
              <w:rPr>
                <w:rFonts w:ascii="Arial" w:eastAsia="Arial" w:hAnsi="Arial" w:cs="Times New Roman"/>
                <w:b/>
                <w:sz w:val="16"/>
              </w:rPr>
              <w:t>−27.2%</w:t>
            </w:r>
          </w:p>
        </w:tc>
      </w:tr>
      <w:tr w:rsidR="0089339D" w:rsidRPr="0089339D" w:rsidTr="0089339D">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2025</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759</w:t>
            </w:r>
          </w:p>
        </w:tc>
        <w:tc>
          <w:tcPr>
            <w:tcW w:w="255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−2,736</w:t>
            </w:r>
          </w:p>
        </w:tc>
        <w:tc>
          <w:tcPr>
            <w:tcW w:w="2551" w:type="dxa"/>
            <w:shd w:val="clear" w:color="auto" w:fill="FFF9C4"/>
          </w:tcPr>
          <w:p w:rsidR="0089339D" w:rsidRPr="0089339D" w:rsidRDefault="0089339D" w:rsidP="0089339D">
            <w:pPr>
              <w:jc w:val="center"/>
              <w:rPr>
                <w:rFonts w:ascii="Cambria" w:hAnsi="Cambria" w:cs="Times New Roman"/>
              </w:rPr>
            </w:pPr>
            <w:r w:rsidRPr="0089339D">
              <w:rPr>
                <w:rFonts w:ascii="Arial" w:eastAsia="Arial" w:hAnsi="Arial" w:cs="Times New Roman"/>
                <w:b/>
                <w:sz w:val="16"/>
              </w:rPr>
              <w:t>−27.7%</w:t>
            </w:r>
          </w:p>
        </w:tc>
      </w:tr>
    </w:tbl>
    <w:p w:rsidR="0089339D" w:rsidRPr="0089339D" w:rsidRDefault="0089339D" w:rsidP="0089339D">
      <w:pPr>
        <w:rPr>
          <w:rFonts w:ascii="Cambria" w:eastAsia="MS Mincho" w:hAnsi="Cambria" w:cs="Times New Roman"/>
          <w:lang w:val="en-US"/>
        </w:rPr>
      </w:pPr>
      <w:r w:rsidRPr="0089339D">
        <w:rPr>
          <w:rFonts w:ascii="Arial" w:eastAsia="Arial" w:hAnsi="Arial" w:cs="Times New Roman"/>
          <w:i/>
          <w:sz w:val="16"/>
          <w:lang w:val="en-US"/>
        </w:rPr>
        <w:t>Workings: 265÷(−1,474)=−18.0%; 376÷(−1,608)=−23.4%; 750÷(−1,946)=−38.5%; 628÷(−2,308)=−27.2%; 759÷(−2,736)=−27.7%.</w:t>
      </w:r>
    </w:p>
    <w:p w:rsidR="0089339D" w:rsidRPr="0089339D" w:rsidRDefault="0089339D" w:rsidP="0089339D">
      <w:pPr>
        <w:rPr>
          <w:rFonts w:ascii="Cambria" w:eastAsia="MS Mincho" w:hAnsi="Cambria" w:cs="Times New Roman"/>
          <w:lang w:val="en-US"/>
        </w:rPr>
      </w:pPr>
      <w:r w:rsidRPr="0089339D">
        <w:rPr>
          <w:rFonts w:ascii="Arial" w:eastAsia="Arial" w:hAnsi="Arial" w:cs="Times New Roman"/>
          <w:b/>
          <w:sz w:val="20"/>
          <w:lang w:val="en-US"/>
        </w:rPr>
        <w:t>Cash Conversion Cycle Components (Days)</w:t>
      </w:r>
    </w:p>
    <w:tbl>
      <w:tblPr>
        <w:tblStyle w:val="TableGrid15"/>
        <w:tblW w:w="0" w:type="auto"/>
        <w:tblLook w:val="04A0" w:firstRow="1" w:lastRow="0" w:firstColumn="1" w:lastColumn="0" w:noHBand="0" w:noVBand="1"/>
      </w:tblPr>
      <w:tblGrid>
        <w:gridCol w:w="1598"/>
        <w:gridCol w:w="1520"/>
        <w:gridCol w:w="1520"/>
        <w:gridCol w:w="1520"/>
        <w:gridCol w:w="1542"/>
        <w:gridCol w:w="1542"/>
      </w:tblGrid>
      <w:tr w:rsidR="0089339D" w:rsidRPr="0089339D" w:rsidTr="0089339D">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Metric</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2021</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2022</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2023</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2024</w:t>
            </w:r>
          </w:p>
        </w:tc>
        <w:tc>
          <w:tcPr>
            <w:tcW w:w="1701" w:type="dxa"/>
            <w:shd w:val="clear" w:color="auto" w:fill="1F4E79"/>
          </w:tcPr>
          <w:p w:rsidR="0089339D" w:rsidRPr="0089339D" w:rsidRDefault="0089339D" w:rsidP="0089339D">
            <w:pPr>
              <w:jc w:val="center"/>
              <w:rPr>
                <w:rFonts w:ascii="Cambria" w:hAnsi="Cambria" w:cs="Times New Roman"/>
              </w:rPr>
            </w:pPr>
            <w:r w:rsidRPr="0089339D">
              <w:rPr>
                <w:rFonts w:ascii="Arial" w:eastAsia="Arial" w:hAnsi="Arial" w:cs="Times New Roman"/>
                <w:b/>
                <w:color w:val="FFFFFF"/>
                <w:sz w:val="16"/>
              </w:rPr>
              <w:t>2025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b/>
                <w:sz w:val="16"/>
              </w:rPr>
              <w:t>DSO – Receivable Days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72.2</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62.1</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59.6</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59.8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60.5</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b/>
                <w:sz w:val="16"/>
              </w:rPr>
              <w:t>DIO – Inventory Days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~1.0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~0.8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~0.8</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2.0</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2.4</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b/>
                <w:sz w:val="16"/>
              </w:rPr>
              <w:t>DPO – Payable Days</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318.5</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323.0</w:t>
            </w:r>
          </w:p>
        </w:tc>
      </w:tr>
      <w:tr w:rsidR="0089339D" w:rsidRPr="0089339D" w:rsidTr="0089339D">
        <w:tc>
          <w:tcPr>
            <w:tcW w:w="1701" w:type="dxa"/>
          </w:tcPr>
          <w:p w:rsidR="0089339D" w:rsidRPr="0089339D" w:rsidRDefault="0089339D" w:rsidP="0089339D">
            <w:pPr>
              <w:rPr>
                <w:rFonts w:ascii="Cambria" w:hAnsi="Cambria" w:cs="Times New Roman"/>
              </w:rPr>
            </w:pPr>
            <w:r w:rsidRPr="0089339D">
              <w:rPr>
                <w:rFonts w:ascii="Arial" w:eastAsia="Arial" w:hAnsi="Arial" w:cs="Times New Roman"/>
                <w:b/>
                <w:sz w:val="16"/>
              </w:rPr>
              <w:t>CCC (DSO + DIO − DPO)</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tcPr>
          <w:p w:rsidR="0089339D" w:rsidRPr="0089339D" w:rsidRDefault="0089339D" w:rsidP="0089339D">
            <w:pPr>
              <w:jc w:val="center"/>
              <w:rPr>
                <w:rFonts w:ascii="Cambria" w:hAnsi="Cambria" w:cs="Times New Roman"/>
              </w:rPr>
            </w:pPr>
            <w:r w:rsidRPr="0089339D">
              <w:rPr>
                <w:rFonts w:ascii="Arial" w:eastAsia="Arial" w:hAnsi="Arial" w:cs="Times New Roman"/>
                <w:sz w:val="16"/>
              </w:rPr>
              <w:t>n/a</w:t>
            </w:r>
          </w:p>
        </w:tc>
        <w:tc>
          <w:tcPr>
            <w:tcW w:w="1701" w:type="dxa"/>
            <w:shd w:val="clear" w:color="auto" w:fill="C8E6C9"/>
          </w:tcPr>
          <w:p w:rsidR="0089339D" w:rsidRPr="0089339D" w:rsidRDefault="0089339D" w:rsidP="0089339D">
            <w:pPr>
              <w:jc w:val="center"/>
              <w:rPr>
                <w:rFonts w:ascii="Cambria" w:hAnsi="Cambria" w:cs="Times New Roman"/>
              </w:rPr>
            </w:pPr>
            <w:r w:rsidRPr="0089339D">
              <w:rPr>
                <w:rFonts w:ascii="Arial" w:eastAsia="Arial" w:hAnsi="Arial" w:cs="Times New Roman"/>
                <w:sz w:val="16"/>
              </w:rPr>
              <w:t>−256.7</w:t>
            </w:r>
          </w:p>
        </w:tc>
        <w:tc>
          <w:tcPr>
            <w:tcW w:w="1701" w:type="dxa"/>
            <w:shd w:val="clear" w:color="auto" w:fill="C8E6C9"/>
          </w:tcPr>
          <w:p w:rsidR="0089339D" w:rsidRPr="0089339D" w:rsidRDefault="0089339D" w:rsidP="0089339D">
            <w:pPr>
              <w:jc w:val="center"/>
              <w:rPr>
                <w:rFonts w:ascii="Cambria" w:hAnsi="Cambria" w:cs="Times New Roman"/>
              </w:rPr>
            </w:pPr>
            <w:r w:rsidRPr="0089339D">
              <w:rPr>
                <w:rFonts w:ascii="Arial" w:eastAsia="Arial" w:hAnsi="Arial" w:cs="Times New Roman"/>
                <w:sz w:val="16"/>
              </w:rPr>
              <w:t>−260.1</w:t>
            </w:r>
          </w:p>
        </w:tc>
      </w:tr>
    </w:tbl>
    <w:p w:rsidR="0089339D" w:rsidRPr="0089339D" w:rsidRDefault="0089339D" w:rsidP="0089339D">
      <w:pPr>
        <w:rPr>
          <w:rFonts w:ascii="Cambria" w:eastAsia="MS Mincho" w:hAnsi="Cambria" w:cs="Times New Roman"/>
          <w:sz w:val="20"/>
          <w:szCs w:val="20"/>
          <w:lang w:val="en-US"/>
        </w:rPr>
      </w:pPr>
      <w:r w:rsidRPr="0089339D">
        <w:rPr>
          <w:rFonts w:ascii="Arial" w:eastAsia="Arial" w:hAnsi="Arial" w:cs="Times New Roman"/>
          <w:i/>
          <w:sz w:val="20"/>
          <w:szCs w:val="20"/>
          <w:lang w:val="en-US"/>
        </w:rPr>
        <w:t>Formulas: DSO = Receivables ÷ Revenue × 365; DIO = Inventory ÷ COGS × 365; DPO = Payables ÷ COGS × 365; CCC = DSO + DIO − DPO. Strongly negative CCC indicates a cash-generative operating cycle typical of the asset-light franchisor model. High DPO is inflated by deferred revenue and loyalty liabilities within trade payables.</w:t>
      </w:r>
    </w:p>
    <w:p w:rsidR="0089339D" w:rsidRDefault="0089339D" w:rsidP="00F52350">
      <w:pPr>
        <w:keepNext/>
        <w:keepLines/>
        <w:spacing w:before="280" w:after="120"/>
        <w:outlineLvl w:val="0"/>
        <w:rPr>
          <w:rFonts w:ascii="Arial" w:eastAsia="Arial" w:hAnsi="Arial" w:cs="Times New Roman"/>
          <w:b/>
          <w:bCs/>
          <w:sz w:val="28"/>
          <w:szCs w:val="28"/>
          <w:lang w:val="en-US"/>
        </w:rPr>
      </w:pPr>
    </w:p>
    <w:p w:rsidR="0089339D" w:rsidRDefault="0089339D" w:rsidP="00F52350">
      <w:pPr>
        <w:keepNext/>
        <w:keepLines/>
        <w:spacing w:before="280" w:after="120"/>
        <w:outlineLvl w:val="0"/>
        <w:rPr>
          <w:rFonts w:ascii="Arial" w:eastAsia="Arial" w:hAnsi="Arial" w:cs="Times New Roman"/>
          <w:b/>
          <w:bCs/>
          <w:sz w:val="28"/>
          <w:szCs w:val="28"/>
          <w:lang w:val="en-US"/>
        </w:rPr>
      </w:pPr>
    </w:p>
    <w:sectPr w:rsidR="008933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MS Gothic"/>
    <w:panose1 w:val="020206090402050803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E480008"/>
    <w:multiLevelType w:val="hybridMultilevel"/>
    <w:tmpl w:val="434AC0CC"/>
    <w:lvl w:ilvl="0" w:tplc="83BC472E">
      <w:start w:val="1"/>
      <w:numFmt w:val="decimal"/>
      <w:lvlText w:val="%1."/>
      <w:lvlJc w:val="left"/>
      <w:pPr>
        <w:ind w:left="720" w:hanging="36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3E83C51"/>
    <w:multiLevelType w:val="multilevel"/>
    <w:tmpl w:val="92869A48"/>
    <w:lvl w:ilvl="0">
      <w:start w:val="2"/>
      <w:numFmt w:val="decimal"/>
      <w:lvlText w:val="%1"/>
      <w:lvlJc w:val="left"/>
      <w:pPr>
        <w:ind w:left="400" w:hanging="400"/>
      </w:pPr>
      <w:rPr>
        <w:rFonts w:ascii="Arial" w:eastAsia="Arial" w:hAnsi="Arial" w:cs="Times New Roman" w:hint="default"/>
        <w:color w:val="000000" w:themeColor="text1"/>
        <w:sz w:val="28"/>
      </w:rPr>
    </w:lvl>
    <w:lvl w:ilvl="1">
      <w:start w:val="1"/>
      <w:numFmt w:val="decimal"/>
      <w:pStyle w:val="Heading2"/>
      <w:lvlText w:val="%1.%2"/>
      <w:lvlJc w:val="left"/>
      <w:pPr>
        <w:ind w:left="850" w:hanging="400"/>
      </w:pPr>
      <w:rPr>
        <w:rFonts w:ascii="Arial" w:eastAsia="Arial" w:hAnsi="Arial" w:cs="Times New Roman" w:hint="default"/>
        <w:color w:val="000000" w:themeColor="text1"/>
        <w:sz w:val="28"/>
      </w:rPr>
    </w:lvl>
    <w:lvl w:ilvl="2">
      <w:start w:val="1"/>
      <w:numFmt w:val="decimal"/>
      <w:lvlText w:val="%1.%2.%3"/>
      <w:lvlJc w:val="left"/>
      <w:pPr>
        <w:ind w:left="1620" w:hanging="720"/>
      </w:pPr>
      <w:rPr>
        <w:rFonts w:ascii="Arial" w:eastAsia="Arial" w:hAnsi="Arial" w:cs="Times New Roman" w:hint="default"/>
        <w:color w:val="000000" w:themeColor="text1"/>
        <w:sz w:val="28"/>
      </w:rPr>
    </w:lvl>
    <w:lvl w:ilvl="3">
      <w:start w:val="1"/>
      <w:numFmt w:val="decimal"/>
      <w:lvlText w:val="%1.%2.%3.%4"/>
      <w:lvlJc w:val="left"/>
      <w:pPr>
        <w:ind w:left="2430" w:hanging="1080"/>
      </w:pPr>
      <w:rPr>
        <w:rFonts w:ascii="Arial" w:eastAsia="Arial" w:hAnsi="Arial" w:cs="Times New Roman" w:hint="default"/>
        <w:color w:val="000000" w:themeColor="text1"/>
        <w:sz w:val="28"/>
      </w:rPr>
    </w:lvl>
    <w:lvl w:ilvl="4">
      <w:start w:val="1"/>
      <w:numFmt w:val="decimal"/>
      <w:lvlText w:val="%1.%2.%3.%4.%5"/>
      <w:lvlJc w:val="left"/>
      <w:pPr>
        <w:ind w:left="2880" w:hanging="1080"/>
      </w:pPr>
      <w:rPr>
        <w:rFonts w:ascii="Arial" w:eastAsia="Arial" w:hAnsi="Arial" w:cs="Times New Roman" w:hint="default"/>
        <w:color w:val="000000" w:themeColor="text1"/>
        <w:sz w:val="28"/>
      </w:rPr>
    </w:lvl>
    <w:lvl w:ilvl="5">
      <w:start w:val="1"/>
      <w:numFmt w:val="decimal"/>
      <w:lvlText w:val="%1.%2.%3.%4.%5.%6"/>
      <w:lvlJc w:val="left"/>
      <w:pPr>
        <w:ind w:left="3690" w:hanging="1440"/>
      </w:pPr>
      <w:rPr>
        <w:rFonts w:ascii="Arial" w:eastAsia="Arial" w:hAnsi="Arial" w:cs="Times New Roman" w:hint="default"/>
        <w:color w:val="000000" w:themeColor="text1"/>
        <w:sz w:val="28"/>
      </w:rPr>
    </w:lvl>
    <w:lvl w:ilvl="6">
      <w:start w:val="1"/>
      <w:numFmt w:val="decimal"/>
      <w:lvlText w:val="%1.%2.%3.%4.%5.%6.%7"/>
      <w:lvlJc w:val="left"/>
      <w:pPr>
        <w:ind w:left="4140" w:hanging="1440"/>
      </w:pPr>
      <w:rPr>
        <w:rFonts w:ascii="Arial" w:eastAsia="Arial" w:hAnsi="Arial" w:cs="Times New Roman" w:hint="default"/>
        <w:color w:val="000000" w:themeColor="text1"/>
        <w:sz w:val="28"/>
      </w:rPr>
    </w:lvl>
    <w:lvl w:ilvl="7">
      <w:start w:val="1"/>
      <w:numFmt w:val="decimal"/>
      <w:lvlText w:val="%1.%2.%3.%4.%5.%6.%7.%8"/>
      <w:lvlJc w:val="left"/>
      <w:pPr>
        <w:ind w:left="4950" w:hanging="1800"/>
      </w:pPr>
      <w:rPr>
        <w:rFonts w:ascii="Arial" w:eastAsia="Arial" w:hAnsi="Arial" w:cs="Times New Roman" w:hint="default"/>
        <w:color w:val="000000" w:themeColor="text1"/>
        <w:sz w:val="28"/>
      </w:rPr>
    </w:lvl>
    <w:lvl w:ilvl="8">
      <w:start w:val="1"/>
      <w:numFmt w:val="decimal"/>
      <w:lvlText w:val="%1.%2.%3.%4.%5.%6.%7.%8.%9"/>
      <w:lvlJc w:val="left"/>
      <w:pPr>
        <w:ind w:left="5400" w:hanging="1800"/>
      </w:pPr>
      <w:rPr>
        <w:rFonts w:ascii="Arial" w:eastAsia="Arial" w:hAnsi="Arial" w:cs="Times New Roman" w:hint="default"/>
        <w:color w:val="000000" w:themeColor="text1"/>
        <w:sz w:val="28"/>
      </w:rPr>
    </w:lvl>
  </w:abstractNum>
  <w:abstractNum w:abstractNumId="3">
    <w:nsid w:val="39B058C4"/>
    <w:multiLevelType w:val="hybridMultilevel"/>
    <w:tmpl w:val="434AC0CC"/>
    <w:lvl w:ilvl="0" w:tplc="83BC472E">
      <w:start w:val="1"/>
      <w:numFmt w:val="decimal"/>
      <w:lvlText w:val="%1."/>
      <w:lvlJc w:val="left"/>
      <w:pPr>
        <w:ind w:left="720" w:hanging="360"/>
      </w:pPr>
      <w:rPr>
        <w:rFonts w:eastAsia="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CF4135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nsid w:val="5094050B"/>
    <w:multiLevelType w:val="multilevel"/>
    <w:tmpl w:val="4B045CAC"/>
    <w:lvl w:ilvl="0">
      <w:start w:val="2"/>
      <w:numFmt w:val="decimal"/>
      <w:lvlText w:val="%1"/>
      <w:lvlJc w:val="left"/>
      <w:pPr>
        <w:ind w:left="400" w:hanging="400"/>
      </w:pPr>
      <w:rPr>
        <w:rFonts w:ascii="Arial" w:eastAsia="Arial" w:hAnsi="Arial" w:cs="Times New Roman" w:hint="default"/>
        <w:color w:val="000000" w:themeColor="text1"/>
        <w:sz w:val="28"/>
      </w:rPr>
    </w:lvl>
    <w:lvl w:ilvl="1">
      <w:start w:val="1"/>
      <w:numFmt w:val="decimal"/>
      <w:lvlText w:val="%1.%2"/>
      <w:lvlJc w:val="left"/>
      <w:pPr>
        <w:ind w:left="850" w:hanging="400"/>
      </w:pPr>
      <w:rPr>
        <w:rFonts w:ascii="Arial" w:eastAsia="Arial" w:hAnsi="Arial" w:cs="Times New Roman" w:hint="default"/>
        <w:color w:val="000000" w:themeColor="text1"/>
        <w:sz w:val="28"/>
      </w:rPr>
    </w:lvl>
    <w:lvl w:ilvl="2">
      <w:start w:val="1"/>
      <w:numFmt w:val="decimal"/>
      <w:lvlText w:val="%1.%2.%3"/>
      <w:lvlJc w:val="left"/>
      <w:pPr>
        <w:ind w:left="1620" w:hanging="720"/>
      </w:pPr>
      <w:rPr>
        <w:rFonts w:ascii="Arial" w:eastAsia="Arial" w:hAnsi="Arial" w:cs="Times New Roman" w:hint="default"/>
        <w:color w:val="000000" w:themeColor="text1"/>
        <w:sz w:val="28"/>
      </w:rPr>
    </w:lvl>
    <w:lvl w:ilvl="3">
      <w:start w:val="1"/>
      <w:numFmt w:val="decimal"/>
      <w:lvlText w:val="%1.%2.%3.%4"/>
      <w:lvlJc w:val="left"/>
      <w:pPr>
        <w:ind w:left="2430" w:hanging="1080"/>
      </w:pPr>
      <w:rPr>
        <w:rFonts w:ascii="Arial" w:eastAsia="Arial" w:hAnsi="Arial" w:cs="Times New Roman" w:hint="default"/>
        <w:color w:val="000000" w:themeColor="text1"/>
        <w:sz w:val="28"/>
      </w:rPr>
    </w:lvl>
    <w:lvl w:ilvl="4">
      <w:start w:val="1"/>
      <w:numFmt w:val="decimal"/>
      <w:lvlText w:val="%1.%2.%3.%4.%5"/>
      <w:lvlJc w:val="left"/>
      <w:pPr>
        <w:ind w:left="2880" w:hanging="1080"/>
      </w:pPr>
      <w:rPr>
        <w:rFonts w:ascii="Arial" w:eastAsia="Arial" w:hAnsi="Arial" w:cs="Times New Roman" w:hint="default"/>
        <w:color w:val="000000" w:themeColor="text1"/>
        <w:sz w:val="28"/>
      </w:rPr>
    </w:lvl>
    <w:lvl w:ilvl="5">
      <w:start w:val="1"/>
      <w:numFmt w:val="decimal"/>
      <w:lvlText w:val="%1.%2.%3.%4.%5.%6"/>
      <w:lvlJc w:val="left"/>
      <w:pPr>
        <w:ind w:left="3690" w:hanging="1440"/>
      </w:pPr>
      <w:rPr>
        <w:rFonts w:ascii="Arial" w:eastAsia="Arial" w:hAnsi="Arial" w:cs="Times New Roman" w:hint="default"/>
        <w:color w:val="000000" w:themeColor="text1"/>
        <w:sz w:val="28"/>
      </w:rPr>
    </w:lvl>
    <w:lvl w:ilvl="6">
      <w:start w:val="1"/>
      <w:numFmt w:val="decimal"/>
      <w:lvlText w:val="%1.%2.%3.%4.%5.%6.%7"/>
      <w:lvlJc w:val="left"/>
      <w:pPr>
        <w:ind w:left="4140" w:hanging="1440"/>
      </w:pPr>
      <w:rPr>
        <w:rFonts w:ascii="Arial" w:eastAsia="Arial" w:hAnsi="Arial" w:cs="Times New Roman" w:hint="default"/>
        <w:color w:val="000000" w:themeColor="text1"/>
        <w:sz w:val="28"/>
      </w:rPr>
    </w:lvl>
    <w:lvl w:ilvl="7">
      <w:start w:val="1"/>
      <w:numFmt w:val="decimal"/>
      <w:lvlText w:val="%1.%2.%3.%4.%5.%6.%7.%8"/>
      <w:lvlJc w:val="left"/>
      <w:pPr>
        <w:ind w:left="4950" w:hanging="1800"/>
      </w:pPr>
      <w:rPr>
        <w:rFonts w:ascii="Arial" w:eastAsia="Arial" w:hAnsi="Arial" w:cs="Times New Roman" w:hint="default"/>
        <w:color w:val="000000" w:themeColor="text1"/>
        <w:sz w:val="28"/>
      </w:rPr>
    </w:lvl>
    <w:lvl w:ilvl="8">
      <w:start w:val="1"/>
      <w:numFmt w:val="decimal"/>
      <w:lvlText w:val="%1.%2.%3.%4.%5.%6.%7.%8.%9"/>
      <w:lvlJc w:val="left"/>
      <w:pPr>
        <w:ind w:left="5400" w:hanging="1800"/>
      </w:pPr>
      <w:rPr>
        <w:rFonts w:ascii="Arial" w:eastAsia="Arial" w:hAnsi="Arial" w:cs="Times New Roman" w:hint="default"/>
        <w:color w:val="000000" w:themeColor="text1"/>
        <w:sz w:val="28"/>
      </w:rPr>
    </w:lvl>
  </w:abstractNum>
  <w:abstractNum w:abstractNumId="6">
    <w:nsid w:val="70D02AEB"/>
    <w:multiLevelType w:val="multilevel"/>
    <w:tmpl w:val="4B045CAC"/>
    <w:lvl w:ilvl="0">
      <w:start w:val="2"/>
      <w:numFmt w:val="decimal"/>
      <w:lvlText w:val="%1"/>
      <w:lvlJc w:val="left"/>
      <w:pPr>
        <w:ind w:left="400" w:hanging="400"/>
      </w:pPr>
      <w:rPr>
        <w:rFonts w:ascii="Arial" w:eastAsia="Arial" w:hAnsi="Arial" w:cs="Times New Roman" w:hint="default"/>
        <w:color w:val="000000" w:themeColor="text1"/>
        <w:sz w:val="28"/>
      </w:rPr>
    </w:lvl>
    <w:lvl w:ilvl="1">
      <w:start w:val="1"/>
      <w:numFmt w:val="decimal"/>
      <w:lvlText w:val="%1.%2"/>
      <w:lvlJc w:val="left"/>
      <w:pPr>
        <w:ind w:left="850" w:hanging="400"/>
      </w:pPr>
      <w:rPr>
        <w:rFonts w:ascii="Arial" w:eastAsia="Arial" w:hAnsi="Arial" w:cs="Times New Roman" w:hint="default"/>
        <w:color w:val="000000" w:themeColor="text1"/>
        <w:sz w:val="28"/>
      </w:rPr>
    </w:lvl>
    <w:lvl w:ilvl="2">
      <w:start w:val="1"/>
      <w:numFmt w:val="decimal"/>
      <w:lvlText w:val="%1.%2.%3"/>
      <w:lvlJc w:val="left"/>
      <w:pPr>
        <w:ind w:left="1620" w:hanging="720"/>
      </w:pPr>
      <w:rPr>
        <w:rFonts w:ascii="Arial" w:eastAsia="Arial" w:hAnsi="Arial" w:cs="Times New Roman" w:hint="default"/>
        <w:color w:val="000000" w:themeColor="text1"/>
        <w:sz w:val="28"/>
      </w:rPr>
    </w:lvl>
    <w:lvl w:ilvl="3">
      <w:start w:val="1"/>
      <w:numFmt w:val="decimal"/>
      <w:lvlText w:val="%1.%2.%3.%4"/>
      <w:lvlJc w:val="left"/>
      <w:pPr>
        <w:ind w:left="2430" w:hanging="1080"/>
      </w:pPr>
      <w:rPr>
        <w:rFonts w:ascii="Arial" w:eastAsia="Arial" w:hAnsi="Arial" w:cs="Times New Roman" w:hint="default"/>
        <w:color w:val="000000" w:themeColor="text1"/>
        <w:sz w:val="28"/>
      </w:rPr>
    </w:lvl>
    <w:lvl w:ilvl="4">
      <w:start w:val="1"/>
      <w:numFmt w:val="decimal"/>
      <w:lvlText w:val="%1.%2.%3.%4.%5"/>
      <w:lvlJc w:val="left"/>
      <w:pPr>
        <w:ind w:left="2880" w:hanging="1080"/>
      </w:pPr>
      <w:rPr>
        <w:rFonts w:ascii="Arial" w:eastAsia="Arial" w:hAnsi="Arial" w:cs="Times New Roman" w:hint="default"/>
        <w:color w:val="000000" w:themeColor="text1"/>
        <w:sz w:val="28"/>
      </w:rPr>
    </w:lvl>
    <w:lvl w:ilvl="5">
      <w:start w:val="1"/>
      <w:numFmt w:val="decimal"/>
      <w:lvlText w:val="%1.%2.%3.%4.%5.%6"/>
      <w:lvlJc w:val="left"/>
      <w:pPr>
        <w:ind w:left="3690" w:hanging="1440"/>
      </w:pPr>
      <w:rPr>
        <w:rFonts w:ascii="Arial" w:eastAsia="Arial" w:hAnsi="Arial" w:cs="Times New Roman" w:hint="default"/>
        <w:color w:val="000000" w:themeColor="text1"/>
        <w:sz w:val="28"/>
      </w:rPr>
    </w:lvl>
    <w:lvl w:ilvl="6">
      <w:start w:val="1"/>
      <w:numFmt w:val="decimal"/>
      <w:lvlText w:val="%1.%2.%3.%4.%5.%6.%7"/>
      <w:lvlJc w:val="left"/>
      <w:pPr>
        <w:ind w:left="4140" w:hanging="1440"/>
      </w:pPr>
      <w:rPr>
        <w:rFonts w:ascii="Arial" w:eastAsia="Arial" w:hAnsi="Arial" w:cs="Times New Roman" w:hint="default"/>
        <w:color w:val="000000" w:themeColor="text1"/>
        <w:sz w:val="28"/>
      </w:rPr>
    </w:lvl>
    <w:lvl w:ilvl="7">
      <w:start w:val="1"/>
      <w:numFmt w:val="decimal"/>
      <w:lvlText w:val="%1.%2.%3.%4.%5.%6.%7.%8"/>
      <w:lvlJc w:val="left"/>
      <w:pPr>
        <w:ind w:left="4950" w:hanging="1800"/>
      </w:pPr>
      <w:rPr>
        <w:rFonts w:ascii="Arial" w:eastAsia="Arial" w:hAnsi="Arial" w:cs="Times New Roman" w:hint="default"/>
        <w:color w:val="000000" w:themeColor="text1"/>
        <w:sz w:val="28"/>
      </w:rPr>
    </w:lvl>
    <w:lvl w:ilvl="8">
      <w:start w:val="1"/>
      <w:numFmt w:val="decimal"/>
      <w:lvlText w:val="%1.%2.%3.%4.%5.%6.%7.%8.%9"/>
      <w:lvlJc w:val="left"/>
      <w:pPr>
        <w:ind w:left="5400" w:hanging="1800"/>
      </w:pPr>
      <w:rPr>
        <w:rFonts w:ascii="Arial" w:eastAsia="Arial" w:hAnsi="Arial" w:cs="Times New Roman" w:hint="default"/>
        <w:color w:val="000000" w:themeColor="text1"/>
        <w:sz w:val="28"/>
      </w:rPr>
    </w:lvl>
  </w:abstractNum>
  <w:num w:numId="1">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0"/>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0B5F"/>
    <w:rsid w:val="00046CB0"/>
    <w:rsid w:val="000B6EA7"/>
    <w:rsid w:val="000F1016"/>
    <w:rsid w:val="00171B43"/>
    <w:rsid w:val="00220ECC"/>
    <w:rsid w:val="00282AAF"/>
    <w:rsid w:val="002942FB"/>
    <w:rsid w:val="00390B5F"/>
    <w:rsid w:val="00483C97"/>
    <w:rsid w:val="00585BFA"/>
    <w:rsid w:val="006362DA"/>
    <w:rsid w:val="00690D65"/>
    <w:rsid w:val="006E1CDD"/>
    <w:rsid w:val="006F7347"/>
    <w:rsid w:val="007E50F7"/>
    <w:rsid w:val="007F12AB"/>
    <w:rsid w:val="00833252"/>
    <w:rsid w:val="0089339D"/>
    <w:rsid w:val="008C55C5"/>
    <w:rsid w:val="008E17CF"/>
    <w:rsid w:val="00960CB4"/>
    <w:rsid w:val="00A97DC1"/>
    <w:rsid w:val="00D269DB"/>
    <w:rsid w:val="00DF4891"/>
    <w:rsid w:val="00F52350"/>
    <w:rsid w:val="00F65FEF"/>
    <w:rsid w:val="00F82109"/>
    <w:rsid w:val="00F829CA"/>
    <w:rsid w:val="00F91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50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90B5F"/>
    <w:pPr>
      <w:keepNext/>
      <w:keepLines/>
      <w:numPr>
        <w:ilvl w:val="1"/>
        <w:numId w:val="1"/>
      </w:numPr>
      <w:spacing w:before="200" w:after="0" w:line="360" w:lineRule="auto"/>
      <w:outlineLvl w:val="1"/>
    </w:pPr>
    <w:rPr>
      <w:rFonts w:ascii="Arial" w:eastAsia="Times New Roman" w:hAnsi="Arial" w:cs="Times New Roman"/>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0B5F"/>
    <w:rPr>
      <w:rFonts w:ascii="Arial" w:eastAsia="Times New Roman" w:hAnsi="Arial" w:cs="Times New Roman"/>
      <w:b/>
      <w:bCs/>
      <w:color w:val="000000" w:themeColor="text1"/>
      <w:sz w:val="28"/>
      <w:szCs w:val="26"/>
    </w:rPr>
  </w:style>
  <w:style w:type="table" w:styleId="MediumShading2-Accent2">
    <w:name w:val="Medium Shading 2 Accent 2"/>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390B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B5F"/>
    <w:rPr>
      <w:rFonts w:ascii="Tahoma" w:hAnsi="Tahoma" w:cs="Tahoma"/>
      <w:sz w:val="16"/>
      <w:szCs w:val="16"/>
    </w:rPr>
  </w:style>
  <w:style w:type="character" w:customStyle="1" w:styleId="Heading1Char">
    <w:name w:val="Heading 1 Char"/>
    <w:basedOn w:val="DefaultParagraphFont"/>
    <w:link w:val="Heading1"/>
    <w:uiPriority w:val="9"/>
    <w:rsid w:val="007E50F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E50F7"/>
    <w:pPr>
      <w:ind w:left="720"/>
      <w:contextualSpacing/>
    </w:pPr>
  </w:style>
  <w:style w:type="table" w:styleId="TableGrid">
    <w:name w:val="Table Grid"/>
    <w:basedOn w:val="TableNormal"/>
    <w:uiPriority w:val="59"/>
    <w:rsid w:val="007E50F7"/>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E50F7"/>
    <w:rPr>
      <w:color w:val="0000FF"/>
      <w:u w:val="single"/>
    </w:rPr>
  </w:style>
  <w:style w:type="table" w:customStyle="1" w:styleId="TableGrid1">
    <w:name w:val="Table Grid1"/>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F52350"/>
    <w:pPr>
      <w:tabs>
        <w:tab w:val="left" w:pos="440"/>
        <w:tab w:val="right" w:leader="dot" w:pos="9016"/>
      </w:tabs>
      <w:spacing w:after="100"/>
    </w:pPr>
    <w:rPr>
      <w:rFonts w:ascii="Arial" w:eastAsia="MS Gothic" w:hAnsi="Arial" w:cs="Arial"/>
      <w:b/>
      <w:noProof/>
      <w:lang w:val="en-US"/>
    </w:rPr>
  </w:style>
  <w:style w:type="paragraph" w:styleId="TOC2">
    <w:name w:val="toc 2"/>
    <w:basedOn w:val="Normal"/>
    <w:next w:val="Normal"/>
    <w:autoRedefine/>
    <w:uiPriority w:val="39"/>
    <w:unhideWhenUsed/>
    <w:rsid w:val="00F52350"/>
    <w:pPr>
      <w:spacing w:after="100"/>
      <w:ind w:left="220"/>
    </w:pPr>
  </w:style>
  <w:style w:type="table" w:customStyle="1" w:styleId="TableGrid6">
    <w:name w:val="Table Grid6"/>
    <w:basedOn w:val="TableNormal"/>
    <w:next w:val="TableGrid"/>
    <w:uiPriority w:val="59"/>
    <w:rsid w:val="00A97DC1"/>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Bullet">
    <w:name w:val="List Bullet"/>
    <w:basedOn w:val="Normal"/>
    <w:uiPriority w:val="99"/>
    <w:unhideWhenUsed/>
    <w:rsid w:val="00220ECC"/>
    <w:pPr>
      <w:numPr>
        <w:numId w:val="5"/>
      </w:numPr>
      <w:tabs>
        <w:tab w:val="clear" w:pos="360"/>
      </w:tabs>
      <w:ind w:left="400" w:hanging="400"/>
      <w:contextualSpacing/>
    </w:pPr>
    <w:rPr>
      <w:rFonts w:eastAsia="MS Mincho"/>
      <w:lang w:val="en-US"/>
    </w:rPr>
  </w:style>
  <w:style w:type="table" w:customStyle="1" w:styleId="TableGrid8">
    <w:name w:val="Table Grid8"/>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0">
    <w:name w:val="Table Grid10"/>
    <w:basedOn w:val="TableNormal"/>
    <w:next w:val="TableGrid"/>
    <w:uiPriority w:val="59"/>
    <w:rsid w:val="00F65FEF"/>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1">
    <w:name w:val="Table Grid11"/>
    <w:basedOn w:val="TableNormal"/>
    <w:next w:val="TableGrid"/>
    <w:uiPriority w:val="59"/>
    <w:rsid w:val="00F65FEF"/>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2">
    <w:name w:val="Table Grid12"/>
    <w:basedOn w:val="TableNormal"/>
    <w:next w:val="TableGrid"/>
    <w:uiPriority w:val="59"/>
    <w:rsid w:val="00F82109"/>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3">
    <w:name w:val="Table Grid13"/>
    <w:basedOn w:val="TableNormal"/>
    <w:next w:val="TableGrid"/>
    <w:uiPriority w:val="59"/>
    <w:rsid w:val="00F82109"/>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4">
    <w:name w:val="Table Grid14"/>
    <w:basedOn w:val="TableNormal"/>
    <w:next w:val="TableGrid"/>
    <w:uiPriority w:val="59"/>
    <w:rsid w:val="00F829CA"/>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5">
    <w:name w:val="Table Grid15"/>
    <w:basedOn w:val="TableNormal"/>
    <w:next w:val="TableGrid"/>
    <w:uiPriority w:val="59"/>
    <w:rsid w:val="0089339D"/>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942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42F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E50F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390B5F"/>
    <w:pPr>
      <w:keepNext/>
      <w:keepLines/>
      <w:numPr>
        <w:ilvl w:val="1"/>
        <w:numId w:val="1"/>
      </w:numPr>
      <w:spacing w:before="200" w:after="0" w:line="360" w:lineRule="auto"/>
      <w:outlineLvl w:val="1"/>
    </w:pPr>
    <w:rPr>
      <w:rFonts w:ascii="Arial" w:eastAsia="Times New Roman" w:hAnsi="Arial" w:cs="Times New Roman"/>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90B5F"/>
    <w:rPr>
      <w:rFonts w:ascii="Arial" w:eastAsia="Times New Roman" w:hAnsi="Arial" w:cs="Times New Roman"/>
      <w:b/>
      <w:bCs/>
      <w:color w:val="000000" w:themeColor="text1"/>
      <w:sz w:val="28"/>
      <w:szCs w:val="26"/>
    </w:rPr>
  </w:style>
  <w:style w:type="table" w:styleId="MediumShading2-Accent2">
    <w:name w:val="Medium Shading 2 Accent 2"/>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390B5F"/>
    <w:pPr>
      <w:spacing w:after="0" w:line="240" w:lineRule="auto"/>
    </w:pPr>
    <w:rPr>
      <w:rFonts w:ascii="Calibri" w:eastAsia="Calibri" w:hAnsi="Calibri" w:cs="Times New Roman"/>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Lines="0" w:before="0" w:beforeAutospacing="0" w:afterLines="0" w:after="0" w:afterAutospacing="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Lines="0" w:before="0" w:beforeAutospacing="0" w:afterLines="0" w:after="0" w:afterAutospacing="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BalloonText">
    <w:name w:val="Balloon Text"/>
    <w:basedOn w:val="Normal"/>
    <w:link w:val="BalloonTextChar"/>
    <w:uiPriority w:val="99"/>
    <w:semiHidden/>
    <w:unhideWhenUsed/>
    <w:rsid w:val="00390B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B5F"/>
    <w:rPr>
      <w:rFonts w:ascii="Tahoma" w:hAnsi="Tahoma" w:cs="Tahoma"/>
      <w:sz w:val="16"/>
      <w:szCs w:val="16"/>
    </w:rPr>
  </w:style>
  <w:style w:type="character" w:customStyle="1" w:styleId="Heading1Char">
    <w:name w:val="Heading 1 Char"/>
    <w:basedOn w:val="DefaultParagraphFont"/>
    <w:link w:val="Heading1"/>
    <w:uiPriority w:val="9"/>
    <w:rsid w:val="007E50F7"/>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7E50F7"/>
    <w:pPr>
      <w:ind w:left="720"/>
      <w:contextualSpacing/>
    </w:pPr>
  </w:style>
  <w:style w:type="table" w:styleId="TableGrid">
    <w:name w:val="Table Grid"/>
    <w:basedOn w:val="TableNormal"/>
    <w:uiPriority w:val="59"/>
    <w:rsid w:val="007E50F7"/>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E50F7"/>
    <w:rPr>
      <w:color w:val="0000FF"/>
      <w:u w:val="single"/>
    </w:rPr>
  </w:style>
  <w:style w:type="table" w:customStyle="1" w:styleId="TableGrid1">
    <w:name w:val="Table Grid1"/>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5">
    <w:name w:val="Table Grid5"/>
    <w:basedOn w:val="TableNormal"/>
    <w:uiPriority w:val="59"/>
    <w:rsid w:val="00F52350"/>
    <w:pPr>
      <w:spacing w:after="0" w:line="240" w:lineRule="auto"/>
    </w:pPr>
    <w:rPr>
      <w:rFonts w:ascii="Cambria" w:eastAsia="MS Mincho" w:hAnsi="Cambria" w:cs="Times New Roman"/>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F52350"/>
    <w:pPr>
      <w:tabs>
        <w:tab w:val="left" w:pos="440"/>
        <w:tab w:val="right" w:leader="dot" w:pos="9016"/>
      </w:tabs>
      <w:spacing w:after="100"/>
    </w:pPr>
    <w:rPr>
      <w:rFonts w:ascii="Arial" w:eastAsia="MS Gothic" w:hAnsi="Arial" w:cs="Arial"/>
      <w:b/>
      <w:noProof/>
      <w:lang w:val="en-US"/>
    </w:rPr>
  </w:style>
  <w:style w:type="paragraph" w:styleId="TOC2">
    <w:name w:val="toc 2"/>
    <w:basedOn w:val="Normal"/>
    <w:next w:val="Normal"/>
    <w:autoRedefine/>
    <w:uiPriority w:val="39"/>
    <w:unhideWhenUsed/>
    <w:rsid w:val="00F52350"/>
    <w:pPr>
      <w:spacing w:after="100"/>
      <w:ind w:left="220"/>
    </w:pPr>
  </w:style>
  <w:style w:type="table" w:customStyle="1" w:styleId="TableGrid6">
    <w:name w:val="Table Grid6"/>
    <w:basedOn w:val="TableNormal"/>
    <w:next w:val="TableGrid"/>
    <w:uiPriority w:val="59"/>
    <w:rsid w:val="00A97DC1"/>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7">
    <w:name w:val="Table Grid7"/>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Bullet">
    <w:name w:val="List Bullet"/>
    <w:basedOn w:val="Normal"/>
    <w:uiPriority w:val="99"/>
    <w:unhideWhenUsed/>
    <w:rsid w:val="00220ECC"/>
    <w:pPr>
      <w:numPr>
        <w:numId w:val="5"/>
      </w:numPr>
      <w:tabs>
        <w:tab w:val="clear" w:pos="360"/>
      </w:tabs>
      <w:ind w:left="400" w:hanging="400"/>
      <w:contextualSpacing/>
    </w:pPr>
    <w:rPr>
      <w:rFonts w:eastAsia="MS Mincho"/>
      <w:lang w:val="en-US"/>
    </w:rPr>
  </w:style>
  <w:style w:type="table" w:customStyle="1" w:styleId="TableGrid8">
    <w:name w:val="Table Grid8"/>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9">
    <w:name w:val="Table Grid9"/>
    <w:basedOn w:val="TableNormal"/>
    <w:next w:val="TableGrid"/>
    <w:uiPriority w:val="59"/>
    <w:rsid w:val="00220ECC"/>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0">
    <w:name w:val="Table Grid10"/>
    <w:basedOn w:val="TableNormal"/>
    <w:next w:val="TableGrid"/>
    <w:uiPriority w:val="59"/>
    <w:rsid w:val="00F65FEF"/>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1">
    <w:name w:val="Table Grid11"/>
    <w:basedOn w:val="TableNormal"/>
    <w:next w:val="TableGrid"/>
    <w:uiPriority w:val="59"/>
    <w:rsid w:val="00F65FEF"/>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2">
    <w:name w:val="Table Grid12"/>
    <w:basedOn w:val="TableNormal"/>
    <w:next w:val="TableGrid"/>
    <w:uiPriority w:val="59"/>
    <w:rsid w:val="00F82109"/>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3">
    <w:name w:val="Table Grid13"/>
    <w:basedOn w:val="TableNormal"/>
    <w:next w:val="TableGrid"/>
    <w:uiPriority w:val="59"/>
    <w:rsid w:val="00F82109"/>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4">
    <w:name w:val="Table Grid14"/>
    <w:basedOn w:val="TableNormal"/>
    <w:next w:val="TableGrid"/>
    <w:uiPriority w:val="59"/>
    <w:rsid w:val="00F829CA"/>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5">
    <w:name w:val="Table Grid15"/>
    <w:basedOn w:val="TableNormal"/>
    <w:next w:val="TableGrid"/>
    <w:uiPriority w:val="59"/>
    <w:rsid w:val="0089339D"/>
    <w:pPr>
      <w:spacing w:after="0" w:line="240" w:lineRule="auto"/>
    </w:pPr>
    <w:rPr>
      <w:rFonts w:eastAsia="MS Mincho"/>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2942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942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1175876">
      <w:bodyDiv w:val="1"/>
      <w:marLeft w:val="0"/>
      <w:marRight w:val="0"/>
      <w:marTop w:val="0"/>
      <w:marBottom w:val="0"/>
      <w:divBdr>
        <w:top w:val="none" w:sz="0" w:space="0" w:color="auto"/>
        <w:left w:val="none" w:sz="0" w:space="0" w:color="auto"/>
        <w:bottom w:val="none" w:sz="0" w:space="0" w:color="auto"/>
        <w:right w:val="none" w:sz="0" w:space="0" w:color="auto"/>
      </w:divBdr>
    </w:div>
    <w:div w:id="1134442822">
      <w:bodyDiv w:val="1"/>
      <w:marLeft w:val="0"/>
      <w:marRight w:val="0"/>
      <w:marTop w:val="0"/>
      <w:marBottom w:val="0"/>
      <w:divBdr>
        <w:top w:val="none" w:sz="0" w:space="0" w:color="auto"/>
        <w:left w:val="none" w:sz="0" w:space="0" w:color="auto"/>
        <w:bottom w:val="none" w:sz="0" w:space="0" w:color="auto"/>
        <w:right w:val="none" w:sz="0" w:space="0" w:color="auto"/>
      </w:divBdr>
    </w:div>
    <w:div w:id="1294402979">
      <w:bodyDiv w:val="1"/>
      <w:marLeft w:val="0"/>
      <w:marRight w:val="0"/>
      <w:marTop w:val="0"/>
      <w:marBottom w:val="0"/>
      <w:divBdr>
        <w:top w:val="none" w:sz="0" w:space="0" w:color="auto"/>
        <w:left w:val="none" w:sz="0" w:space="0" w:color="auto"/>
        <w:bottom w:val="none" w:sz="0" w:space="0" w:color="auto"/>
        <w:right w:val="none" w:sz="0" w:space="0" w:color="auto"/>
      </w:divBdr>
    </w:div>
    <w:div w:id="1726366110">
      <w:bodyDiv w:val="1"/>
      <w:marLeft w:val="0"/>
      <w:marRight w:val="0"/>
      <w:marTop w:val="0"/>
      <w:marBottom w:val="0"/>
      <w:divBdr>
        <w:top w:val="none" w:sz="0" w:space="0" w:color="auto"/>
        <w:left w:val="none" w:sz="0" w:space="0" w:color="auto"/>
        <w:bottom w:val="none" w:sz="0" w:space="0" w:color="auto"/>
        <w:right w:val="none" w:sz="0" w:space="0" w:color="auto"/>
      </w:divBdr>
    </w:div>
    <w:div w:id="1776898884">
      <w:bodyDiv w:val="1"/>
      <w:marLeft w:val="0"/>
      <w:marRight w:val="0"/>
      <w:marTop w:val="0"/>
      <w:marBottom w:val="0"/>
      <w:divBdr>
        <w:top w:val="none" w:sz="0" w:space="0" w:color="auto"/>
        <w:left w:val="none" w:sz="0" w:space="0" w:color="auto"/>
        <w:bottom w:val="none" w:sz="0" w:space="0" w:color="auto"/>
        <w:right w:val="none" w:sz="0" w:space="0" w:color="auto"/>
      </w:divBdr>
    </w:div>
    <w:div w:id="1816137617">
      <w:bodyDiv w:val="1"/>
      <w:marLeft w:val="0"/>
      <w:marRight w:val="0"/>
      <w:marTop w:val="0"/>
      <w:marBottom w:val="0"/>
      <w:divBdr>
        <w:top w:val="none" w:sz="0" w:space="0" w:color="auto"/>
        <w:left w:val="none" w:sz="0" w:space="0" w:color="auto"/>
        <w:bottom w:val="none" w:sz="0" w:space="0" w:color="auto"/>
        <w:right w:val="none" w:sz="0" w:space="0" w:color="auto"/>
      </w:divBdr>
    </w:div>
    <w:div w:id="2109689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jpeg"/><Relationship Id="rId12" Type="http://schemas.openxmlformats.org/officeDocument/2006/relationships/hyperlink" Target="https://csimarke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A88287-7A78-4A69-8CEF-6A005B548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8262</Words>
  <Characters>47098</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2026-08-13T09:59:00Z</dcterms:created>
  <dcterms:modified xsi:type="dcterms:W3CDTF">2026-08-13T09:59:00Z</dcterms:modified>
</cp:coreProperties>
</file>