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C3E770" w14:textId="774664B4" w:rsidR="00276182" w:rsidRPr="00017EF4" w:rsidRDefault="00276182" w:rsidP="00017EF4">
      <w:r>
        <w:t xml:space="preserve"> </w:t>
      </w:r>
      <w:r w:rsidR="00017EF4">
        <w:rPr>
          <w:noProof/>
          <w:sz w:val="32"/>
          <w:szCs w:val="32"/>
        </w:rPr>
        <w:drawing>
          <wp:inline distT="0" distB="0" distL="0" distR="0" wp14:anchorId="10E054C1" wp14:editId="09203460">
            <wp:extent cx="5659075" cy="2668409"/>
            <wp:effectExtent l="0" t="0" r="0" b="0"/>
            <wp:docPr id="372462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64425" cy="2670931"/>
                    </a:xfrm>
                    <a:prstGeom prst="rect">
                      <a:avLst/>
                    </a:prstGeom>
                    <a:noFill/>
                    <a:ln>
                      <a:noFill/>
                    </a:ln>
                  </pic:spPr>
                </pic:pic>
              </a:graphicData>
            </a:graphic>
          </wp:inline>
        </w:drawing>
      </w:r>
      <w:r>
        <w:rPr>
          <w:b/>
          <w:bCs/>
          <w:sz w:val="32"/>
          <w:szCs w:val="32"/>
        </w:rPr>
        <w:t>Student Name: Neboh Celsius</w:t>
      </w:r>
    </w:p>
    <w:p w14:paraId="2DA5D3BD" w14:textId="77777777" w:rsidR="00F85872" w:rsidRDefault="00276182" w:rsidP="00017EF4">
      <w:pPr>
        <w:jc w:val="both"/>
        <w:rPr>
          <w:b/>
          <w:bCs/>
          <w:sz w:val="32"/>
          <w:szCs w:val="32"/>
        </w:rPr>
      </w:pPr>
      <w:r>
        <w:rPr>
          <w:b/>
          <w:bCs/>
          <w:sz w:val="32"/>
          <w:szCs w:val="32"/>
        </w:rPr>
        <w:t>Student Number: 2434221</w:t>
      </w:r>
    </w:p>
    <w:p w14:paraId="0851456D" w14:textId="4DB8B6BA" w:rsidR="00276182" w:rsidRDefault="00276182" w:rsidP="00017EF4">
      <w:pPr>
        <w:jc w:val="both"/>
        <w:rPr>
          <w:b/>
          <w:bCs/>
          <w:sz w:val="32"/>
          <w:szCs w:val="32"/>
        </w:rPr>
      </w:pPr>
      <w:r>
        <w:rPr>
          <w:b/>
          <w:bCs/>
          <w:sz w:val="32"/>
          <w:szCs w:val="32"/>
        </w:rPr>
        <w:t>Module: Principles of Health &amp; S Practice</w:t>
      </w:r>
    </w:p>
    <w:p w14:paraId="44F79C4F" w14:textId="675B4249" w:rsidR="00276182" w:rsidRDefault="00276182" w:rsidP="00017EF4">
      <w:pPr>
        <w:jc w:val="both"/>
        <w:rPr>
          <w:b/>
          <w:bCs/>
          <w:sz w:val="32"/>
          <w:szCs w:val="32"/>
        </w:rPr>
      </w:pPr>
      <w:r>
        <w:rPr>
          <w:b/>
          <w:bCs/>
          <w:sz w:val="32"/>
          <w:szCs w:val="32"/>
        </w:rPr>
        <w:t>Module Code: BMPH5016</w:t>
      </w:r>
    </w:p>
    <w:p w14:paraId="3F668BBB" w14:textId="5C5D3FB6" w:rsidR="00276182" w:rsidRDefault="00276182" w:rsidP="00017EF4">
      <w:pPr>
        <w:jc w:val="both"/>
        <w:rPr>
          <w:b/>
          <w:bCs/>
          <w:sz w:val="32"/>
          <w:szCs w:val="32"/>
        </w:rPr>
      </w:pPr>
      <w:r>
        <w:rPr>
          <w:b/>
          <w:bCs/>
          <w:sz w:val="32"/>
          <w:szCs w:val="32"/>
        </w:rPr>
        <w:t>Assignment title: Written (Reflective Report)</w:t>
      </w:r>
    </w:p>
    <w:p w14:paraId="4C267685" w14:textId="52E16F5A" w:rsidR="00276182" w:rsidRDefault="00276182" w:rsidP="00017EF4">
      <w:pPr>
        <w:jc w:val="both"/>
        <w:rPr>
          <w:b/>
          <w:bCs/>
          <w:sz w:val="32"/>
          <w:szCs w:val="32"/>
        </w:rPr>
      </w:pPr>
      <w:r>
        <w:rPr>
          <w:b/>
          <w:bCs/>
          <w:sz w:val="32"/>
          <w:szCs w:val="32"/>
        </w:rPr>
        <w:t>Lecturer: Azida Zainol</w:t>
      </w:r>
    </w:p>
    <w:p w14:paraId="772943BE" w14:textId="77777777" w:rsidR="00F85872" w:rsidRDefault="00276182" w:rsidP="00017EF4">
      <w:pPr>
        <w:jc w:val="both"/>
        <w:rPr>
          <w:b/>
          <w:bCs/>
          <w:sz w:val="32"/>
          <w:szCs w:val="32"/>
        </w:rPr>
      </w:pPr>
      <w:r>
        <w:rPr>
          <w:b/>
          <w:bCs/>
          <w:sz w:val="32"/>
          <w:szCs w:val="32"/>
        </w:rPr>
        <w:t>Date: Sunday 5</w:t>
      </w:r>
      <w:r w:rsidRPr="00276182">
        <w:rPr>
          <w:b/>
          <w:bCs/>
          <w:sz w:val="32"/>
          <w:szCs w:val="32"/>
          <w:vertAlign w:val="superscript"/>
        </w:rPr>
        <w:t>th</w:t>
      </w:r>
      <w:r>
        <w:rPr>
          <w:b/>
          <w:bCs/>
          <w:sz w:val="32"/>
          <w:szCs w:val="32"/>
        </w:rPr>
        <w:t xml:space="preserve"> July 2026</w:t>
      </w:r>
    </w:p>
    <w:p w14:paraId="706E330D" w14:textId="5488AA9F" w:rsidR="00276182" w:rsidRDefault="00276182" w:rsidP="00017EF4">
      <w:pPr>
        <w:jc w:val="both"/>
        <w:rPr>
          <w:b/>
          <w:bCs/>
          <w:sz w:val="32"/>
          <w:szCs w:val="32"/>
        </w:rPr>
      </w:pPr>
      <w:r>
        <w:rPr>
          <w:b/>
          <w:bCs/>
          <w:sz w:val="32"/>
          <w:szCs w:val="32"/>
        </w:rPr>
        <w:t>Word count:</w:t>
      </w:r>
      <w:r w:rsidR="00F85872">
        <w:rPr>
          <w:b/>
          <w:bCs/>
          <w:sz w:val="32"/>
          <w:szCs w:val="32"/>
        </w:rPr>
        <w:t xml:space="preserve">  </w:t>
      </w:r>
      <w:r>
        <w:rPr>
          <w:b/>
          <w:bCs/>
          <w:sz w:val="32"/>
          <w:szCs w:val="32"/>
        </w:rPr>
        <w:t xml:space="preserve"> </w:t>
      </w:r>
      <w:r w:rsidR="002B6EF0">
        <w:rPr>
          <w:b/>
          <w:bCs/>
          <w:sz w:val="32"/>
          <w:szCs w:val="32"/>
        </w:rPr>
        <w:t>2044</w:t>
      </w:r>
    </w:p>
    <w:p w14:paraId="2291C30F" w14:textId="77777777" w:rsidR="00F85872" w:rsidRDefault="00F85872" w:rsidP="00017EF4">
      <w:pPr>
        <w:jc w:val="both"/>
        <w:rPr>
          <w:b/>
          <w:bCs/>
          <w:sz w:val="32"/>
          <w:szCs w:val="32"/>
        </w:rPr>
      </w:pPr>
    </w:p>
    <w:p w14:paraId="6A6E472B" w14:textId="77777777" w:rsidR="00F85872" w:rsidRDefault="00F85872" w:rsidP="00017EF4">
      <w:pPr>
        <w:jc w:val="both"/>
        <w:rPr>
          <w:b/>
          <w:bCs/>
          <w:sz w:val="32"/>
          <w:szCs w:val="32"/>
        </w:rPr>
      </w:pPr>
    </w:p>
    <w:p w14:paraId="42FE5622" w14:textId="77777777" w:rsidR="00F85872" w:rsidRDefault="00F85872" w:rsidP="00017EF4">
      <w:pPr>
        <w:jc w:val="both"/>
        <w:rPr>
          <w:b/>
          <w:bCs/>
          <w:sz w:val="32"/>
          <w:szCs w:val="32"/>
        </w:rPr>
      </w:pPr>
    </w:p>
    <w:p w14:paraId="23BD3916" w14:textId="77777777" w:rsidR="00F85872" w:rsidRDefault="00F85872" w:rsidP="00017EF4">
      <w:pPr>
        <w:jc w:val="both"/>
        <w:rPr>
          <w:b/>
          <w:bCs/>
          <w:sz w:val="32"/>
          <w:szCs w:val="32"/>
        </w:rPr>
      </w:pPr>
    </w:p>
    <w:p w14:paraId="1D43652B" w14:textId="77777777" w:rsidR="00F85872" w:rsidRDefault="00F85872" w:rsidP="00017EF4">
      <w:pPr>
        <w:jc w:val="both"/>
        <w:rPr>
          <w:b/>
          <w:bCs/>
          <w:sz w:val="32"/>
          <w:szCs w:val="32"/>
        </w:rPr>
      </w:pPr>
    </w:p>
    <w:p w14:paraId="610C5716" w14:textId="77777777" w:rsidR="00F85872" w:rsidRDefault="00F85872" w:rsidP="00017EF4">
      <w:pPr>
        <w:jc w:val="both"/>
        <w:rPr>
          <w:b/>
          <w:bCs/>
          <w:sz w:val="32"/>
          <w:szCs w:val="32"/>
        </w:rPr>
      </w:pPr>
    </w:p>
    <w:p w14:paraId="0F594733" w14:textId="77777777" w:rsidR="00F85872" w:rsidRDefault="00F85872" w:rsidP="00017EF4">
      <w:pPr>
        <w:jc w:val="both"/>
        <w:rPr>
          <w:b/>
          <w:bCs/>
          <w:sz w:val="32"/>
          <w:szCs w:val="32"/>
        </w:rPr>
      </w:pPr>
    </w:p>
    <w:p w14:paraId="57403216" w14:textId="02EDEB39" w:rsidR="00F85872" w:rsidRDefault="00F85872" w:rsidP="00017EF4">
      <w:pPr>
        <w:jc w:val="both"/>
        <w:rPr>
          <w:b/>
          <w:bCs/>
          <w:sz w:val="32"/>
          <w:szCs w:val="32"/>
        </w:rPr>
      </w:pPr>
    </w:p>
    <w:p w14:paraId="41D5E3EA" w14:textId="77777777" w:rsidR="00ED08F6" w:rsidRPr="00ED08F6" w:rsidRDefault="00ED08F6" w:rsidP="00ED08F6">
      <w:pPr>
        <w:jc w:val="both"/>
        <w:rPr>
          <w:sz w:val="22"/>
          <w:szCs w:val="22"/>
        </w:rPr>
      </w:pPr>
      <w:r w:rsidRPr="00ED08F6">
        <w:rPr>
          <w:b/>
          <w:bCs/>
          <w:sz w:val="22"/>
          <w:szCs w:val="22"/>
        </w:rPr>
        <w:lastRenderedPageBreak/>
        <w:t>Table of Contents</w:t>
      </w:r>
    </w:p>
    <w:p w14:paraId="459570D5" w14:textId="77777777" w:rsidR="00ED08F6" w:rsidRPr="00ED08F6" w:rsidRDefault="00ED08F6" w:rsidP="00ED08F6">
      <w:pPr>
        <w:jc w:val="both"/>
        <w:rPr>
          <w:sz w:val="22"/>
          <w:szCs w:val="22"/>
        </w:rPr>
      </w:pPr>
      <w:r w:rsidRPr="00ED08F6">
        <w:rPr>
          <w:sz w:val="22"/>
          <w:szCs w:val="22"/>
        </w:rPr>
        <w:t>Introduction</w:t>
      </w:r>
      <w:r w:rsidRPr="00ED08F6">
        <w:rPr>
          <w:sz w:val="22"/>
          <w:szCs w:val="22"/>
        </w:rPr>
        <w:tab/>
        <w:t>3</w:t>
      </w:r>
    </w:p>
    <w:p w14:paraId="111679A4" w14:textId="77777777" w:rsidR="00ED08F6" w:rsidRPr="00ED08F6" w:rsidRDefault="00ED08F6" w:rsidP="00ED08F6">
      <w:pPr>
        <w:jc w:val="both"/>
        <w:rPr>
          <w:sz w:val="22"/>
          <w:szCs w:val="22"/>
        </w:rPr>
      </w:pPr>
      <w:r w:rsidRPr="00ED08F6">
        <w:rPr>
          <w:sz w:val="22"/>
          <w:szCs w:val="22"/>
        </w:rPr>
        <w:t>Task 1: Reflection on the Importance of Principles of Health and Social Care</w:t>
      </w:r>
      <w:r w:rsidRPr="00ED08F6">
        <w:rPr>
          <w:sz w:val="22"/>
          <w:szCs w:val="22"/>
        </w:rPr>
        <w:tab/>
        <w:t>3</w:t>
      </w:r>
    </w:p>
    <w:p w14:paraId="26454F63" w14:textId="77777777" w:rsidR="00ED08F6" w:rsidRPr="00ED08F6" w:rsidRDefault="00ED08F6" w:rsidP="00ED08F6">
      <w:pPr>
        <w:jc w:val="both"/>
        <w:rPr>
          <w:sz w:val="22"/>
          <w:szCs w:val="22"/>
        </w:rPr>
      </w:pPr>
      <w:r w:rsidRPr="00ED08F6">
        <w:rPr>
          <w:sz w:val="22"/>
          <w:szCs w:val="22"/>
        </w:rPr>
        <w:t>Task 2: Practical Examples of Concepts in Practice – Joan's Story</w:t>
      </w:r>
      <w:r w:rsidRPr="00ED08F6">
        <w:rPr>
          <w:sz w:val="22"/>
          <w:szCs w:val="22"/>
        </w:rPr>
        <w:tab/>
        <w:t>5</w:t>
      </w:r>
    </w:p>
    <w:p w14:paraId="4C035564" w14:textId="77777777" w:rsidR="00ED08F6" w:rsidRPr="00ED08F6" w:rsidRDefault="00ED08F6" w:rsidP="00ED08F6">
      <w:pPr>
        <w:jc w:val="both"/>
        <w:rPr>
          <w:sz w:val="22"/>
          <w:szCs w:val="22"/>
        </w:rPr>
      </w:pPr>
      <w:r w:rsidRPr="00ED08F6">
        <w:rPr>
          <w:sz w:val="22"/>
          <w:szCs w:val="22"/>
        </w:rPr>
        <w:t>Task 3: Self-Reflection as a Health and Social Care Professional</w:t>
      </w:r>
      <w:r w:rsidRPr="00ED08F6">
        <w:rPr>
          <w:sz w:val="22"/>
          <w:szCs w:val="22"/>
        </w:rPr>
        <w:tab/>
        <w:t>7</w:t>
      </w:r>
    </w:p>
    <w:p w14:paraId="36EFC1A8" w14:textId="77777777" w:rsidR="00ED08F6" w:rsidRPr="00ED08F6" w:rsidRDefault="00ED08F6" w:rsidP="00ED08F6">
      <w:pPr>
        <w:jc w:val="both"/>
        <w:rPr>
          <w:sz w:val="22"/>
          <w:szCs w:val="22"/>
        </w:rPr>
      </w:pPr>
      <w:r w:rsidRPr="00ED08F6">
        <w:rPr>
          <w:sz w:val="22"/>
          <w:szCs w:val="22"/>
        </w:rPr>
        <w:t>Conclusion</w:t>
      </w:r>
      <w:r w:rsidRPr="00ED08F6">
        <w:rPr>
          <w:sz w:val="22"/>
          <w:szCs w:val="22"/>
        </w:rPr>
        <w:tab/>
        <w:t>10</w:t>
      </w:r>
    </w:p>
    <w:p w14:paraId="26E52C30" w14:textId="77777777" w:rsidR="00ED08F6" w:rsidRPr="00ED08F6" w:rsidRDefault="00ED08F6" w:rsidP="00ED08F6">
      <w:pPr>
        <w:jc w:val="both"/>
        <w:rPr>
          <w:sz w:val="22"/>
          <w:szCs w:val="22"/>
        </w:rPr>
      </w:pPr>
      <w:r w:rsidRPr="00ED08F6">
        <w:rPr>
          <w:sz w:val="22"/>
          <w:szCs w:val="22"/>
        </w:rPr>
        <w:t>References</w:t>
      </w:r>
      <w:r w:rsidRPr="00ED08F6">
        <w:rPr>
          <w:sz w:val="22"/>
          <w:szCs w:val="22"/>
        </w:rPr>
        <w:tab/>
        <w:t>11</w:t>
      </w:r>
    </w:p>
    <w:p w14:paraId="40DD0554" w14:textId="77777777" w:rsidR="00ED08F6" w:rsidRPr="00ED08F6" w:rsidRDefault="00ED08F6" w:rsidP="00ED08F6">
      <w:pPr>
        <w:jc w:val="both"/>
        <w:rPr>
          <w:sz w:val="22"/>
          <w:szCs w:val="22"/>
        </w:rPr>
      </w:pPr>
      <w:r w:rsidRPr="00ED08F6">
        <w:rPr>
          <w:sz w:val="22"/>
          <w:szCs w:val="22"/>
        </w:rPr>
        <w:br w:type="page"/>
      </w:r>
    </w:p>
    <w:p w14:paraId="3F57245D" w14:textId="77777777" w:rsidR="00B74732" w:rsidRPr="00016A16" w:rsidRDefault="00B74732" w:rsidP="00016A16">
      <w:pPr>
        <w:pStyle w:val="Heading1"/>
      </w:pPr>
      <w:r w:rsidRPr="00016A16">
        <w:lastRenderedPageBreak/>
        <w:t>Introduction</w:t>
      </w:r>
    </w:p>
    <w:p w14:paraId="0D1AE5B8" w14:textId="23D962F8" w:rsidR="00B74732" w:rsidRPr="00132BB4" w:rsidRDefault="00B74732" w:rsidP="00016A16">
      <w:pPr>
        <w:jc w:val="both"/>
        <w:rPr>
          <w:rFonts w:ascii="Arial" w:hAnsi="Arial" w:cs="Arial"/>
          <w:sz w:val="22"/>
          <w:szCs w:val="22"/>
        </w:rPr>
      </w:pPr>
      <w:r w:rsidRPr="00132BB4">
        <w:rPr>
          <w:rFonts w:ascii="Arial" w:hAnsi="Arial" w:cs="Arial"/>
          <w:sz w:val="22"/>
          <w:szCs w:val="22"/>
        </w:rPr>
        <w:t>Health and Social Care (HSC) is delivered under a multitude of policy frameworks and legislative provisions that interact with each other. Three core elements of HSC delivery have been established and are central to providing high-quality HSC services. These include person-</w:t>
      </w:r>
      <w:r w:rsidR="00656F5D" w:rsidRPr="00132BB4">
        <w:rPr>
          <w:rFonts w:ascii="Arial" w:hAnsi="Arial" w:cs="Arial"/>
          <w:sz w:val="22"/>
          <w:szCs w:val="22"/>
        </w:rPr>
        <w:t>centred</w:t>
      </w:r>
      <w:r w:rsidRPr="00132BB4">
        <w:rPr>
          <w:rFonts w:ascii="Arial" w:hAnsi="Arial" w:cs="Arial"/>
          <w:sz w:val="22"/>
          <w:szCs w:val="22"/>
        </w:rPr>
        <w:t xml:space="preserve"> care, partnership working, and ethics. All three elements contribute to the overall quality of HSC service provided for users of the HSC system. The purpose of this reflective report is to evaluate these tree elements of HSC delivery via three related activities. First, I reflect critically on why these elements are theoretically important. Second, I assess the practical application of these concepts through a real-world example. Third, I reflect personally on how they may affect my future development as a practicing HSC professional. In addition to drawing upon current statutory provision in England, i.e., the Care Act 2014; the Health and Care Act 2022; the Mental Capacity Act 2005; I also draw upon contemporary theory, academic research and literature that has been peer-reviewed since January 1st, 2020</w:t>
      </w:r>
    </w:p>
    <w:p w14:paraId="7D56CEBD" w14:textId="77777777" w:rsidR="008D2D64" w:rsidRPr="00132BB4" w:rsidRDefault="008D2D64" w:rsidP="00016A16">
      <w:pPr>
        <w:jc w:val="both"/>
        <w:rPr>
          <w:rFonts w:ascii="Arial" w:hAnsi="Arial" w:cs="Arial"/>
          <w:sz w:val="22"/>
          <w:szCs w:val="22"/>
        </w:rPr>
      </w:pPr>
    </w:p>
    <w:p w14:paraId="4F4385FA" w14:textId="77777777" w:rsidR="00784353" w:rsidRPr="00132BB4" w:rsidRDefault="00784353" w:rsidP="00016A16">
      <w:pPr>
        <w:pStyle w:val="Heading2"/>
      </w:pPr>
      <w:r w:rsidRPr="00132BB4">
        <w:t>Task 1: Reflection on the Importance of Principles of Health and Social Care</w:t>
      </w:r>
    </w:p>
    <w:p w14:paraId="6C77B570" w14:textId="77777777" w:rsidR="00784353" w:rsidRPr="00132BB4" w:rsidRDefault="00784353" w:rsidP="00016A16">
      <w:pPr>
        <w:jc w:val="both"/>
        <w:rPr>
          <w:rFonts w:ascii="Arial" w:hAnsi="Arial" w:cs="Arial"/>
          <w:sz w:val="22"/>
          <w:szCs w:val="22"/>
        </w:rPr>
      </w:pPr>
      <w:r w:rsidRPr="00132BB4">
        <w:rPr>
          <w:rFonts w:ascii="Arial" w:hAnsi="Arial" w:cs="Arial"/>
          <w:sz w:val="22"/>
          <w:szCs w:val="22"/>
        </w:rPr>
        <w:t>In this first task I reflect on why person-centred care, partnership working and ethics are regarded as the foundational principles of health and social care in the UK. To give my reflection a clear and rigorous structure, I have applied Gibbs’ Reflective Cycle (Gibbs, 1988), working through its six stages of description, feelings, evaluation, analysis, conclusion and action plan.</w:t>
      </w:r>
    </w:p>
    <w:p w14:paraId="47787FED" w14:textId="7D2D9EDF" w:rsidR="00784353" w:rsidRPr="00132BB4" w:rsidRDefault="00784353" w:rsidP="00016A16">
      <w:pPr>
        <w:jc w:val="both"/>
        <w:rPr>
          <w:rFonts w:ascii="Arial" w:hAnsi="Arial" w:cs="Arial"/>
          <w:sz w:val="22"/>
          <w:szCs w:val="22"/>
        </w:rPr>
      </w:pPr>
      <w:r w:rsidRPr="00132BB4">
        <w:rPr>
          <w:rFonts w:ascii="Arial" w:hAnsi="Arial" w:cs="Arial"/>
          <w:b/>
          <w:sz w:val="22"/>
          <w:szCs w:val="22"/>
        </w:rPr>
        <w:t xml:space="preserve">Description. </w:t>
      </w:r>
      <w:r w:rsidRPr="00132BB4">
        <w:rPr>
          <w:rFonts w:ascii="Arial" w:hAnsi="Arial" w:cs="Arial"/>
          <w:sz w:val="22"/>
          <w:szCs w:val="22"/>
        </w:rPr>
        <w:t xml:space="preserve">Throughout this module I have engaged with the three core principles of health and social care delivery through lectures, seminar discussions and independent reading. I examined how person-centred care recognises </w:t>
      </w:r>
      <w:r w:rsidR="00D07C3F" w:rsidRPr="00132BB4">
        <w:rPr>
          <w:rFonts w:ascii="Arial" w:hAnsi="Arial" w:cs="Arial"/>
          <w:sz w:val="22"/>
          <w:szCs w:val="22"/>
        </w:rPr>
        <w:t>everyone</w:t>
      </w:r>
      <w:r w:rsidRPr="00132BB4">
        <w:rPr>
          <w:rFonts w:ascii="Arial" w:hAnsi="Arial" w:cs="Arial"/>
          <w:sz w:val="22"/>
          <w:szCs w:val="22"/>
        </w:rPr>
        <w:t xml:space="preserve"> as having their own values, preferences and life history rather than being defined solely by a diagnosis; how partnership working brings organisations, professionals and service users together in collaborative practice; and how ethical principles guide everyday decision-making. I also studied the legislative context in which these principles operate, including the Care Act 2014, the Health and Care Act 2022 and the Mental Capacity Act 2005.</w:t>
      </w:r>
    </w:p>
    <w:p w14:paraId="74D072D9" w14:textId="33C74548" w:rsidR="00784353" w:rsidRPr="00132BB4" w:rsidRDefault="00784353" w:rsidP="00016A16">
      <w:pPr>
        <w:jc w:val="both"/>
        <w:rPr>
          <w:rFonts w:ascii="Arial" w:hAnsi="Arial" w:cs="Arial"/>
          <w:sz w:val="22"/>
          <w:szCs w:val="22"/>
        </w:rPr>
      </w:pPr>
      <w:r w:rsidRPr="00132BB4">
        <w:rPr>
          <w:rFonts w:ascii="Arial" w:hAnsi="Arial" w:cs="Arial"/>
          <w:b/>
          <w:sz w:val="22"/>
          <w:szCs w:val="22"/>
        </w:rPr>
        <w:t xml:space="preserve">Feelings. </w:t>
      </w:r>
      <w:r w:rsidRPr="00132BB4">
        <w:rPr>
          <w:rFonts w:ascii="Arial" w:hAnsi="Arial" w:cs="Arial"/>
          <w:sz w:val="22"/>
          <w:szCs w:val="22"/>
        </w:rPr>
        <w:t xml:space="preserve">When I began the module, I assumed that these principles were largely a matter of common sense or professional courtesy. I was genuinely surprised, and at times slightly overwhelmed, to discover the extent to which they are embedded in statute. For example, the Health and Care Act 2022 </w:t>
      </w:r>
      <w:r w:rsidR="00D07C3F" w:rsidRPr="00132BB4">
        <w:rPr>
          <w:rFonts w:ascii="Arial" w:hAnsi="Arial" w:cs="Arial"/>
          <w:sz w:val="22"/>
          <w:szCs w:val="22"/>
        </w:rPr>
        <w:t>require</w:t>
      </w:r>
      <w:r w:rsidRPr="00132BB4">
        <w:rPr>
          <w:rFonts w:ascii="Arial" w:hAnsi="Arial" w:cs="Arial"/>
          <w:sz w:val="22"/>
          <w:szCs w:val="22"/>
        </w:rPr>
        <w:t xml:space="preserve"> Integrated Care Systems (ICSs) to actively engage with communities when making decisions about how services should be provided (UK Government, 2022). Learning that person-centred care is a legal obligation rather than merely an aspirational goal gave me a heightened sense of professional responsibility, but also reassurance: practitioners are not left to rely on goodwill alone, because the law actively requires services to be built around the individual.</w:t>
      </w:r>
    </w:p>
    <w:p w14:paraId="7BD2E12B" w14:textId="77777777" w:rsidR="00784353" w:rsidRPr="00132BB4" w:rsidRDefault="00784353" w:rsidP="00016A16">
      <w:pPr>
        <w:jc w:val="both"/>
        <w:rPr>
          <w:rFonts w:ascii="Arial" w:hAnsi="Arial" w:cs="Arial"/>
          <w:sz w:val="22"/>
          <w:szCs w:val="22"/>
        </w:rPr>
      </w:pPr>
      <w:r w:rsidRPr="00132BB4">
        <w:rPr>
          <w:rFonts w:ascii="Arial" w:hAnsi="Arial" w:cs="Arial"/>
          <w:b/>
          <w:sz w:val="22"/>
          <w:szCs w:val="22"/>
        </w:rPr>
        <w:t xml:space="preserve">Evaluation. </w:t>
      </w:r>
      <w:r w:rsidRPr="00132BB4">
        <w:rPr>
          <w:rFonts w:ascii="Arial" w:hAnsi="Arial" w:cs="Arial"/>
          <w:sz w:val="22"/>
          <w:szCs w:val="22"/>
        </w:rPr>
        <w:t xml:space="preserve">The most valuable part of this learning was discovering theoretical models that gave structure to ideas I had previously held only intuitively. Although Abraham Maslow’s Hierarchy of Needs (Maslow, 1943) was originally developed to describe human motivation in the general population, it proved a particularly useful lens for understanding person-centred </w:t>
      </w:r>
      <w:r w:rsidRPr="00132BB4">
        <w:rPr>
          <w:rFonts w:ascii="Arial" w:hAnsi="Arial" w:cs="Arial"/>
          <w:sz w:val="22"/>
          <w:szCs w:val="22"/>
        </w:rPr>
        <w:lastRenderedPageBreak/>
        <w:t>care: it illustrates that effective care must attend to basic physiological requirements, safety, belonging, esteem and self-actualisation, and not merely to the biological aspects of a person’s illness. Baillie et al. (2020) provide empirical support for this, demonstrating that assessing and addressing the full range of a patient’s needs leads to better outcomes, especially for those with complex or chronic conditions. What I found more uncomfortable was recognising what happens when these principles fail: Dickinson and O’Flynn (2022) warn that where partnerships do not develop genuinely, people with multiple needs may fall through the gaps between agencies, with potentially serious consequences for their health and well-being.</w:t>
      </w:r>
    </w:p>
    <w:p w14:paraId="64153604" w14:textId="77777777" w:rsidR="00784353" w:rsidRPr="00132BB4" w:rsidRDefault="00784353" w:rsidP="00016A16">
      <w:pPr>
        <w:jc w:val="both"/>
        <w:rPr>
          <w:rFonts w:ascii="Arial" w:hAnsi="Arial" w:cs="Arial"/>
          <w:sz w:val="22"/>
          <w:szCs w:val="22"/>
        </w:rPr>
      </w:pPr>
      <w:r w:rsidRPr="00132BB4">
        <w:rPr>
          <w:rFonts w:ascii="Arial" w:hAnsi="Arial" w:cs="Arial"/>
          <w:b/>
          <w:sz w:val="22"/>
          <w:szCs w:val="22"/>
        </w:rPr>
        <w:t xml:space="preserve">Analysis. </w:t>
      </w:r>
      <w:r w:rsidRPr="00132BB4">
        <w:rPr>
          <w:rFonts w:ascii="Arial" w:hAnsi="Arial" w:cs="Arial"/>
          <w:sz w:val="22"/>
          <w:szCs w:val="22"/>
        </w:rPr>
        <w:t xml:space="preserve">In analysing why these principles carry such weight, I came to see that they are mutually reinforcing rather than separate requirements. Person-centred care cannot be delivered by a single organisation acting alone, which is precisely why the Health and Care Act 2022 introduced ICSs as part of a national strategy to integrate working practices across health and social care (UK Government, 2022). According to Dickinson and O’Flynn (2022), successful partnership working breaks down organisational silos, reduces duplication of effort and results in service users receiving coherent and continuous support. Underpinning both principles is ethics. </w:t>
      </w:r>
    </w:p>
    <w:p w14:paraId="1CC619FC" w14:textId="525C821F" w:rsidR="00784353" w:rsidRPr="00132BB4" w:rsidRDefault="00784353" w:rsidP="00016A16">
      <w:pPr>
        <w:jc w:val="both"/>
        <w:rPr>
          <w:rFonts w:ascii="Arial" w:hAnsi="Arial" w:cs="Arial"/>
          <w:sz w:val="22"/>
          <w:szCs w:val="22"/>
        </w:rPr>
      </w:pPr>
      <w:r w:rsidRPr="00132BB4">
        <w:rPr>
          <w:rFonts w:ascii="Arial" w:hAnsi="Arial" w:cs="Arial"/>
          <w:b/>
          <w:sz w:val="22"/>
          <w:szCs w:val="22"/>
        </w:rPr>
        <w:t xml:space="preserve">Conclusion. </w:t>
      </w:r>
      <w:r w:rsidRPr="00132BB4">
        <w:rPr>
          <w:rFonts w:ascii="Arial" w:hAnsi="Arial" w:cs="Arial"/>
          <w:sz w:val="22"/>
          <w:szCs w:val="22"/>
        </w:rPr>
        <w:t>From this reflection I conclude that person-centred care, partnership working and ethics are not abstract ideals but the practical, legal and moral architecture of high-quality care. My most significant leaning point is that the three principles depend upon one another: care cannot be truly person-centred without genuine collaboration between professionals and agencies, and neither is meaningful unless it is ethically grounded in respect for autonomy, beneficence, non-maleficence and justice.</w:t>
      </w:r>
    </w:p>
    <w:p w14:paraId="76DFACEA" w14:textId="77777777" w:rsidR="00784353" w:rsidRPr="00132BB4" w:rsidRDefault="00784353" w:rsidP="00016A16">
      <w:pPr>
        <w:jc w:val="both"/>
        <w:rPr>
          <w:rFonts w:ascii="Arial" w:hAnsi="Arial" w:cs="Arial"/>
          <w:sz w:val="22"/>
          <w:szCs w:val="22"/>
        </w:rPr>
      </w:pPr>
      <w:r w:rsidRPr="00132BB4">
        <w:rPr>
          <w:rFonts w:ascii="Arial" w:hAnsi="Arial" w:cs="Arial"/>
          <w:b/>
          <w:sz w:val="22"/>
          <w:szCs w:val="22"/>
        </w:rPr>
        <w:t xml:space="preserve">Action plan. </w:t>
      </w:r>
      <w:r w:rsidRPr="00132BB4">
        <w:rPr>
          <w:rFonts w:ascii="Arial" w:hAnsi="Arial" w:cs="Arial"/>
          <w:sz w:val="22"/>
          <w:szCs w:val="22"/>
        </w:rPr>
        <w:t>Moving forward, I intend to test this theoretical understanding against real-world practice. In Task 2 I apply these principles to a practical case study, Joan’s Story, to examine how they operate in a genuine care context, and in Task 3 I reflect on what they mean for my own development as a future practitioner. I will also continue to engage with current legislation and peer-reviewed research so that my understanding of these principles remains accurate and up to date.</w:t>
      </w:r>
    </w:p>
    <w:p w14:paraId="4FEC9A6B" w14:textId="77777777" w:rsidR="00246A5A" w:rsidRPr="00132BB4" w:rsidRDefault="00246A5A" w:rsidP="00016A16">
      <w:pPr>
        <w:jc w:val="both"/>
        <w:rPr>
          <w:rFonts w:ascii="Arial" w:hAnsi="Arial" w:cs="Arial"/>
          <w:sz w:val="22"/>
          <w:szCs w:val="22"/>
        </w:rPr>
      </w:pPr>
    </w:p>
    <w:p w14:paraId="15F4ACE2" w14:textId="77777777" w:rsidR="00AC1E9E" w:rsidRPr="00132BB4" w:rsidRDefault="00AC1E9E" w:rsidP="00016A16">
      <w:pPr>
        <w:pStyle w:val="Heading2"/>
      </w:pPr>
      <w:r w:rsidRPr="00132BB4">
        <w:t>Task 2: Practical Examples of Concepts in Practice – Joan's Story</w:t>
      </w:r>
    </w:p>
    <w:p w14:paraId="66991DC3" w14:textId="513C7231" w:rsidR="00AC1E9E" w:rsidRPr="00132BB4" w:rsidRDefault="00AC1E9E" w:rsidP="00016A16">
      <w:pPr>
        <w:jc w:val="both"/>
        <w:rPr>
          <w:rFonts w:ascii="Arial" w:hAnsi="Arial" w:cs="Arial"/>
          <w:sz w:val="22"/>
          <w:szCs w:val="22"/>
        </w:rPr>
      </w:pPr>
      <w:r w:rsidRPr="00132BB4">
        <w:rPr>
          <w:rFonts w:ascii="Arial" w:hAnsi="Arial" w:cs="Arial"/>
          <w:sz w:val="22"/>
          <w:szCs w:val="22"/>
        </w:rPr>
        <w:t>Joan's Story, based upon NHS England's Personalized Care case study examples, is an excellent example of person-</w:t>
      </w:r>
      <w:r w:rsidR="00D07C3F" w:rsidRPr="00132BB4">
        <w:rPr>
          <w:rFonts w:ascii="Arial" w:hAnsi="Arial" w:cs="Arial"/>
          <w:sz w:val="22"/>
          <w:szCs w:val="22"/>
        </w:rPr>
        <w:t>centred</w:t>
      </w:r>
      <w:r w:rsidRPr="00132BB4">
        <w:rPr>
          <w:rFonts w:ascii="Arial" w:hAnsi="Arial" w:cs="Arial"/>
          <w:sz w:val="22"/>
          <w:szCs w:val="22"/>
        </w:rPr>
        <w:t xml:space="preserve"> care, partnership working and ethical practice in a true UK healthcare and social care context. Joan has chronic obstructive pulmonary disease (COPD) and uncontrolled </w:t>
      </w:r>
      <w:r w:rsidR="009374BE" w:rsidRPr="00132BB4">
        <w:rPr>
          <w:rFonts w:ascii="Arial" w:hAnsi="Arial" w:cs="Arial"/>
          <w:sz w:val="22"/>
          <w:szCs w:val="22"/>
        </w:rPr>
        <w:t>Crohn’s</w:t>
      </w:r>
      <w:r w:rsidRPr="00132BB4">
        <w:rPr>
          <w:rFonts w:ascii="Arial" w:hAnsi="Arial" w:cs="Arial"/>
          <w:sz w:val="22"/>
          <w:szCs w:val="22"/>
        </w:rPr>
        <w:t xml:space="preserve"> disease. Although she was referred to pulmonary rehabilitation by her specialist physiotherapist, Joan often failed to keep scheduled appointments and fail to follow clinical recommendations resulting in frequent emergency hospitalizations. Joan's situation is reflective of larger issue in UK healthcare: when care is developed and implemented through clinical pathways instead of the individual, compliance with prescribed care plans and outcomes are typically suboptimal (NHS England, 2023).</w:t>
      </w:r>
    </w:p>
    <w:p w14:paraId="1B179C81" w14:textId="4EEB4B24" w:rsidR="00AC1E9E" w:rsidRPr="00132BB4" w:rsidRDefault="00AC1E9E" w:rsidP="00016A16">
      <w:pPr>
        <w:jc w:val="both"/>
        <w:rPr>
          <w:rFonts w:ascii="Arial" w:hAnsi="Arial" w:cs="Arial"/>
          <w:sz w:val="22"/>
          <w:szCs w:val="22"/>
        </w:rPr>
      </w:pPr>
      <w:r w:rsidRPr="00132BB4">
        <w:rPr>
          <w:rFonts w:ascii="Arial" w:hAnsi="Arial" w:cs="Arial"/>
          <w:sz w:val="22"/>
          <w:szCs w:val="22"/>
        </w:rPr>
        <w:t>When the therapy team in Joan's care transitioned to a clear person-</w:t>
      </w:r>
      <w:r w:rsidR="00132BB4" w:rsidRPr="00132BB4">
        <w:rPr>
          <w:rFonts w:ascii="Arial" w:hAnsi="Arial" w:cs="Arial"/>
          <w:sz w:val="22"/>
          <w:szCs w:val="22"/>
        </w:rPr>
        <w:t>centred</w:t>
      </w:r>
      <w:r w:rsidRPr="00132BB4">
        <w:rPr>
          <w:rFonts w:ascii="Arial" w:hAnsi="Arial" w:cs="Arial"/>
          <w:sz w:val="22"/>
          <w:szCs w:val="22"/>
        </w:rPr>
        <w:t xml:space="preserve"> approach, Joan's care underwent significant changes. Instead of merely modifying her treatment plan alone, the therapist requested that Joan completed a Patient Activation Measure (PAM) assessment. A </w:t>
      </w:r>
      <w:r w:rsidRPr="00132BB4">
        <w:rPr>
          <w:rFonts w:ascii="Arial" w:hAnsi="Arial" w:cs="Arial"/>
          <w:sz w:val="22"/>
          <w:szCs w:val="22"/>
        </w:rPr>
        <w:lastRenderedPageBreak/>
        <w:t>PAM measures a patients' level of confidence, knowledge and capability for managi</w:t>
      </w:r>
      <w:r w:rsidR="00E77344" w:rsidRPr="00132BB4">
        <w:rPr>
          <w:rFonts w:ascii="Arial" w:hAnsi="Arial" w:cs="Arial"/>
          <w:sz w:val="22"/>
          <w:szCs w:val="22"/>
        </w:rPr>
        <w:t>n</w:t>
      </w:r>
      <w:r w:rsidRPr="00132BB4">
        <w:rPr>
          <w:rFonts w:ascii="Arial" w:hAnsi="Arial" w:cs="Arial"/>
          <w:sz w:val="22"/>
          <w:szCs w:val="22"/>
        </w:rPr>
        <w:t xml:space="preserve">g their health. </w:t>
      </w:r>
    </w:p>
    <w:p w14:paraId="73DBD275" w14:textId="0BDCADE2" w:rsidR="00AC1E9E" w:rsidRPr="00132BB4" w:rsidRDefault="00AC1E9E" w:rsidP="00016A16">
      <w:pPr>
        <w:jc w:val="both"/>
        <w:rPr>
          <w:rFonts w:ascii="Arial" w:hAnsi="Arial" w:cs="Arial"/>
          <w:sz w:val="22"/>
          <w:szCs w:val="22"/>
        </w:rPr>
      </w:pPr>
      <w:r w:rsidRPr="00132BB4">
        <w:rPr>
          <w:rFonts w:ascii="Arial" w:hAnsi="Arial" w:cs="Arial"/>
          <w:sz w:val="22"/>
          <w:szCs w:val="22"/>
        </w:rPr>
        <w:t>The weekly sessions that occurred after Joan completed the assessment provide an exemplary demonstration of what is meant by person-</w:t>
      </w:r>
      <w:r w:rsidR="00540AA8" w:rsidRPr="00132BB4">
        <w:rPr>
          <w:rFonts w:ascii="Arial" w:hAnsi="Arial" w:cs="Arial"/>
          <w:sz w:val="22"/>
          <w:szCs w:val="22"/>
        </w:rPr>
        <w:t>centred</w:t>
      </w:r>
      <w:r w:rsidRPr="00132BB4">
        <w:rPr>
          <w:rFonts w:ascii="Arial" w:hAnsi="Arial" w:cs="Arial"/>
          <w:sz w:val="22"/>
          <w:szCs w:val="22"/>
        </w:rPr>
        <w:t xml:space="preserve"> care at its highest degree. It was during these meetings where Joan was empowered to identify potential barriers to keeping scheduled appointments and take responsibility for her health. Working together with her therapy team, they identified the primary reason why Joan could not leave her house to attend appointments -- her unmanaged </w:t>
      </w:r>
      <w:r w:rsidR="00540AA8" w:rsidRPr="00132BB4">
        <w:rPr>
          <w:rFonts w:ascii="Arial" w:hAnsi="Arial" w:cs="Arial"/>
          <w:sz w:val="22"/>
          <w:szCs w:val="22"/>
        </w:rPr>
        <w:t>Crohn’s</w:t>
      </w:r>
      <w:r w:rsidRPr="00132BB4">
        <w:rPr>
          <w:rFonts w:ascii="Arial" w:hAnsi="Arial" w:cs="Arial"/>
          <w:sz w:val="22"/>
          <w:szCs w:val="22"/>
        </w:rPr>
        <w:t xml:space="preserve"> disease and subsequent gastrointestinal symptoms. As a result of this discovery, all aspects of Joan's care were modified. </w:t>
      </w:r>
    </w:p>
    <w:p w14:paraId="5325CB4A" w14:textId="7EB598DA" w:rsidR="00AC1E9E" w:rsidRPr="00132BB4" w:rsidRDefault="00AC1E9E" w:rsidP="00016A16">
      <w:pPr>
        <w:jc w:val="both"/>
        <w:rPr>
          <w:rFonts w:ascii="Arial" w:hAnsi="Arial" w:cs="Arial"/>
          <w:sz w:val="22"/>
          <w:szCs w:val="22"/>
        </w:rPr>
      </w:pPr>
      <w:r w:rsidRPr="00132BB4">
        <w:rPr>
          <w:rFonts w:ascii="Arial" w:hAnsi="Arial" w:cs="Arial"/>
          <w:sz w:val="22"/>
          <w:szCs w:val="22"/>
        </w:rPr>
        <w:t xml:space="preserve">Ethical considerations regarding Joan's care are present throughout. By providing Joan with a legitimate voice in making decisions concerning her care plan, the team provided her with respect for her autonomy. Instead of forcing a care plan onto Joan, the team worked with her to develop an action plan that she would be willing to follow. This aligns with the autonomy principle established in the Mental Capacity Act 2005, as well as the ethical obligation to recognize and empower individuals as active participants in their own care versus passive recipients of medical treatment. The principle of beneficence is also evidenced in the </w:t>
      </w:r>
      <w:r w:rsidR="00540AA8" w:rsidRPr="00132BB4">
        <w:rPr>
          <w:rFonts w:ascii="Arial" w:hAnsi="Arial" w:cs="Arial"/>
          <w:sz w:val="22"/>
          <w:szCs w:val="22"/>
        </w:rPr>
        <w:t>team’s</w:t>
      </w:r>
      <w:r w:rsidRPr="00132BB4">
        <w:rPr>
          <w:rFonts w:ascii="Arial" w:hAnsi="Arial" w:cs="Arial"/>
          <w:sz w:val="22"/>
          <w:szCs w:val="22"/>
        </w:rPr>
        <w:t xml:space="preserve"> actions; by addressing the fundamental obstacle (management of </w:t>
      </w:r>
      <w:r w:rsidR="00540AA8" w:rsidRPr="00132BB4">
        <w:rPr>
          <w:rFonts w:ascii="Arial" w:hAnsi="Arial" w:cs="Arial"/>
          <w:sz w:val="22"/>
          <w:szCs w:val="22"/>
        </w:rPr>
        <w:t>Crohn’s</w:t>
      </w:r>
      <w:r w:rsidRPr="00132BB4">
        <w:rPr>
          <w:rFonts w:ascii="Arial" w:hAnsi="Arial" w:cs="Arial"/>
          <w:sz w:val="22"/>
          <w:szCs w:val="22"/>
        </w:rPr>
        <w:t xml:space="preserve"> disease) hindering Joan's ability to adhere to recommended treatments, the team took actions that were truly in her best interests.</w:t>
      </w:r>
    </w:p>
    <w:p w14:paraId="6BF4A83A" w14:textId="38EFC5A5" w:rsidR="00AC1E9E" w:rsidRPr="00132BB4" w:rsidRDefault="00AC1E9E" w:rsidP="00016A16">
      <w:pPr>
        <w:jc w:val="both"/>
        <w:rPr>
          <w:rFonts w:ascii="Arial" w:hAnsi="Arial" w:cs="Arial"/>
          <w:sz w:val="22"/>
          <w:szCs w:val="22"/>
        </w:rPr>
      </w:pPr>
      <w:r w:rsidRPr="00132BB4">
        <w:rPr>
          <w:rFonts w:ascii="Arial" w:hAnsi="Arial" w:cs="Arial"/>
          <w:sz w:val="22"/>
          <w:szCs w:val="22"/>
        </w:rPr>
        <w:t>The outcome(s) of this person-</w:t>
      </w:r>
      <w:r w:rsidR="00540AA8" w:rsidRPr="00132BB4">
        <w:rPr>
          <w:rFonts w:ascii="Arial" w:hAnsi="Arial" w:cs="Arial"/>
          <w:sz w:val="22"/>
          <w:szCs w:val="22"/>
        </w:rPr>
        <w:t>centred</w:t>
      </w:r>
      <w:r w:rsidRPr="00132BB4">
        <w:rPr>
          <w:rFonts w:ascii="Arial" w:hAnsi="Arial" w:cs="Arial"/>
          <w:sz w:val="22"/>
          <w:szCs w:val="22"/>
        </w:rPr>
        <w:t xml:space="preserve"> and partnership-driven approach resulted in transformational effects. Within seven months of completing the PAM assessment, Joan had increased her PAM score by over forty percent -- indicative of enhanced levels of confidence and self-management capabilities. Additionally, she was able to accompany her daughter to Christmas shopping for the first time in many years and attended pulmonary rehabilitation on a regular basis independent of any direct supervision. Furthermore, emergency hospital admission decreased dramatically while attendance at scheduled appointments increased substantially. </w:t>
      </w:r>
    </w:p>
    <w:p w14:paraId="2BC39721" w14:textId="77777777" w:rsidR="001011CD" w:rsidRPr="00132BB4" w:rsidRDefault="001011CD" w:rsidP="00016A16">
      <w:pPr>
        <w:jc w:val="both"/>
        <w:rPr>
          <w:rFonts w:ascii="Arial" w:hAnsi="Arial" w:cs="Arial"/>
          <w:sz w:val="22"/>
          <w:szCs w:val="22"/>
        </w:rPr>
      </w:pPr>
    </w:p>
    <w:p w14:paraId="721DBEDE" w14:textId="77777777" w:rsidR="00113D25" w:rsidRPr="00132BB4" w:rsidRDefault="00113D25" w:rsidP="00016A16">
      <w:pPr>
        <w:pStyle w:val="Heading2"/>
      </w:pPr>
      <w:r w:rsidRPr="00132BB4">
        <w:t>Task 3: Self-Reflection as a Health and Social Care Professional</w:t>
      </w:r>
    </w:p>
    <w:p w14:paraId="7A304E98" w14:textId="77777777" w:rsidR="00113D25" w:rsidRPr="00132BB4" w:rsidRDefault="00113D25" w:rsidP="00016A16">
      <w:pPr>
        <w:jc w:val="both"/>
        <w:rPr>
          <w:rFonts w:ascii="Arial" w:hAnsi="Arial" w:cs="Arial"/>
          <w:sz w:val="22"/>
          <w:szCs w:val="22"/>
        </w:rPr>
      </w:pPr>
      <w:r w:rsidRPr="00132BB4">
        <w:rPr>
          <w:rFonts w:ascii="Arial" w:hAnsi="Arial" w:cs="Arial"/>
          <w:sz w:val="22"/>
          <w:szCs w:val="22"/>
        </w:rPr>
        <w:t>Engaging with the principles of person-centred care, partnership working, and ethics throughout this module has significantly deepened my understanding of what it means to be a health and social care professional in the UK. As a student beginning my journey into this field, I recognise that these principles are not simply academic concepts to be studied; they are the values and behaviours that will define the kind of practitioner I aspire to become. In this section, I use Gibbs' Reflective Cycle (1988) as a framework to structure my reflections on what I have learned, how it connects to practice, and the steps I will take to develop further.</w:t>
      </w:r>
    </w:p>
    <w:p w14:paraId="2A44187A" w14:textId="77777777" w:rsidR="00113D25" w:rsidRPr="00132BB4" w:rsidRDefault="00113D25" w:rsidP="00016A16">
      <w:pPr>
        <w:jc w:val="both"/>
        <w:rPr>
          <w:rFonts w:ascii="Arial" w:hAnsi="Arial" w:cs="Arial"/>
          <w:sz w:val="22"/>
          <w:szCs w:val="22"/>
        </w:rPr>
      </w:pPr>
      <w:r w:rsidRPr="00132BB4">
        <w:rPr>
          <w:rFonts w:ascii="Arial" w:hAnsi="Arial" w:cs="Arial"/>
          <w:sz w:val="22"/>
          <w:szCs w:val="22"/>
        </w:rPr>
        <w:t xml:space="preserve">Reflecting on person-centred care, I initially understood it broadly as simply 'treating people with respect.' However, my engagement with case studies like Joan's Story has taught me that it is far more nuanced than this. True person-centredness requires listening deeply, understanding the whole person beyond their diagnosis, and actively involving individuals in every stage of decision-making. Thinking about my future role in health and social care, I recognise that I will regularly encounter individuals who, like Joan, face complex barriers to engagement that are not immediately visible. </w:t>
      </w:r>
    </w:p>
    <w:p w14:paraId="116BD285" w14:textId="77777777" w:rsidR="00113D25" w:rsidRPr="00132BB4" w:rsidRDefault="00113D25" w:rsidP="00016A16">
      <w:pPr>
        <w:jc w:val="both"/>
        <w:rPr>
          <w:rFonts w:ascii="Arial" w:hAnsi="Arial" w:cs="Arial"/>
          <w:sz w:val="22"/>
          <w:szCs w:val="22"/>
        </w:rPr>
      </w:pPr>
      <w:r w:rsidRPr="00132BB4">
        <w:rPr>
          <w:rFonts w:ascii="Arial" w:hAnsi="Arial" w:cs="Arial"/>
          <w:sz w:val="22"/>
          <w:szCs w:val="22"/>
        </w:rPr>
        <w:lastRenderedPageBreak/>
        <w:t xml:space="preserve">In terms of partnership working, I feel I have a good conceptual understanding of why collaboration is essential. The Care Act 2014 established a statutory duty for local authorities and NHS bodies to cooperate in meeting the needs of adults requiring care and support (UK Government, 2014). In practice, however, I recognise that effective partnership working requires more than compliance with legislation; it demands active communication, mutual respect between professionals, and a shared focus on the individual. One area I identify for improvement is my confidence in communicating across professional boundaries. </w:t>
      </w:r>
    </w:p>
    <w:p w14:paraId="7077F5C1" w14:textId="3FC0398B" w:rsidR="00113D25" w:rsidRPr="00132BB4" w:rsidRDefault="00113D25" w:rsidP="00016A16">
      <w:pPr>
        <w:jc w:val="both"/>
        <w:rPr>
          <w:rFonts w:ascii="Arial" w:hAnsi="Arial" w:cs="Arial"/>
          <w:sz w:val="22"/>
          <w:szCs w:val="22"/>
        </w:rPr>
      </w:pPr>
      <w:r w:rsidRPr="00132BB4">
        <w:rPr>
          <w:rFonts w:ascii="Arial" w:hAnsi="Arial" w:cs="Arial"/>
          <w:sz w:val="22"/>
          <w:szCs w:val="22"/>
        </w:rPr>
        <w:t xml:space="preserve">Ethics presents perhaps the most complex dimension of professional practice because it requires ongoing critical reflection rather than simply following rules. I am aware that I will inevitably face situations where ethical principles come into tension with each other – for example, when respecting a person's autonomy conflicts with the duty of beneficence, or when limited resources raise questions of justice and fairness. The Mental Capacity Act 2005 provides an important legal framework for decisions involving individuals who may lack </w:t>
      </w:r>
      <w:r w:rsidR="00540AA8" w:rsidRPr="00132BB4">
        <w:rPr>
          <w:rFonts w:ascii="Arial" w:hAnsi="Arial" w:cs="Arial"/>
          <w:sz w:val="22"/>
          <w:szCs w:val="22"/>
        </w:rPr>
        <w:t>capacity but</w:t>
      </w:r>
      <w:r w:rsidRPr="00132BB4">
        <w:rPr>
          <w:rFonts w:ascii="Arial" w:hAnsi="Arial" w:cs="Arial"/>
          <w:sz w:val="22"/>
          <w:szCs w:val="22"/>
        </w:rPr>
        <w:t xml:space="preserve"> applying it sensitively and appropriately in real situations requires both knowledge and judgment (Social Care Institute for Excellence, 2022). </w:t>
      </w:r>
    </w:p>
    <w:p w14:paraId="451BEB38" w14:textId="77777777" w:rsidR="00113D25" w:rsidRPr="00132BB4" w:rsidRDefault="00113D25" w:rsidP="00016A16">
      <w:pPr>
        <w:jc w:val="both"/>
        <w:rPr>
          <w:rFonts w:ascii="Arial" w:hAnsi="Arial" w:cs="Arial"/>
          <w:sz w:val="22"/>
          <w:szCs w:val="22"/>
        </w:rPr>
      </w:pPr>
      <w:r w:rsidRPr="00132BB4">
        <w:rPr>
          <w:rFonts w:ascii="Arial" w:hAnsi="Arial" w:cs="Arial"/>
          <w:sz w:val="22"/>
          <w:szCs w:val="22"/>
        </w:rPr>
        <w:t>Regarding my current strengths, I believe I bring empathy, a genuine commitment to the dignity of the people I work with, and a strong desire to learn. Baxter and Shenton (2022) argue that self-awareness is the foundation of effective reflective practice, and I consider my willingness to critically examine my own assumptions and biases to be an important starting point. I am also committed to evidence-based practice, which means I will continue to engage with current legislation, guidelines, and research to ensure that my practice remains informed and up to date.</w:t>
      </w:r>
    </w:p>
    <w:p w14:paraId="7E98BE4A" w14:textId="477ABF5F" w:rsidR="001011CD" w:rsidRPr="00132BB4" w:rsidRDefault="00113D25" w:rsidP="00016A16">
      <w:pPr>
        <w:jc w:val="both"/>
        <w:rPr>
          <w:rFonts w:ascii="Arial" w:hAnsi="Arial" w:cs="Arial"/>
          <w:sz w:val="22"/>
          <w:szCs w:val="22"/>
        </w:rPr>
      </w:pPr>
      <w:r w:rsidRPr="00132BB4">
        <w:rPr>
          <w:rFonts w:ascii="Arial" w:hAnsi="Arial" w:cs="Arial"/>
          <w:sz w:val="22"/>
          <w:szCs w:val="22"/>
        </w:rPr>
        <w:t>Looking to the future, I have identified three specific development goals. First, I will deepen my knowledge of the personalised care agenda, particularly the NHS England framework for personalised care and how tools such as the PAM survey can be used to support self-management (NHS England, 2023). Second, I will focus on developing my skills in active listening and shared decision-making, which are central to person-centred practice. Third, I will seek to understand the ethical frameworks and professional codes that govern practice in my field – including the HCPC Standards of Conduct, Performance and Ethics (2023) – so that I am equipped to navigate complex situations with integrity and professionalism.</w:t>
      </w:r>
    </w:p>
    <w:p w14:paraId="7AC01637" w14:textId="77777777" w:rsidR="00294C60" w:rsidRPr="00132BB4" w:rsidRDefault="00294C60" w:rsidP="00016A16">
      <w:pPr>
        <w:jc w:val="both"/>
        <w:rPr>
          <w:rFonts w:ascii="Arial" w:hAnsi="Arial" w:cs="Arial"/>
          <w:sz w:val="22"/>
          <w:szCs w:val="22"/>
        </w:rPr>
      </w:pPr>
    </w:p>
    <w:p w14:paraId="04ECD849" w14:textId="77777777" w:rsidR="00CD488A" w:rsidRPr="00132BB4" w:rsidRDefault="00CD488A" w:rsidP="00016A16">
      <w:pPr>
        <w:pStyle w:val="Heading2"/>
      </w:pPr>
      <w:r w:rsidRPr="00132BB4">
        <w:t>Conclusion</w:t>
      </w:r>
    </w:p>
    <w:p w14:paraId="5911D9CF" w14:textId="77777777" w:rsidR="004821F1" w:rsidRPr="00132BB4" w:rsidRDefault="00CD488A" w:rsidP="00016A16">
      <w:pPr>
        <w:jc w:val="both"/>
        <w:rPr>
          <w:rFonts w:ascii="Arial" w:hAnsi="Arial" w:cs="Arial"/>
          <w:sz w:val="22"/>
          <w:szCs w:val="22"/>
        </w:rPr>
      </w:pPr>
      <w:r w:rsidRPr="00132BB4">
        <w:rPr>
          <w:rFonts w:ascii="Arial" w:hAnsi="Arial" w:cs="Arial"/>
          <w:sz w:val="22"/>
          <w:szCs w:val="22"/>
        </w:rPr>
        <w:t>This reflective report has examined the principles of person-centred care, partnership working, and ethics across three interconnected tasks. Task 1 established the theoretical and legislative foundations of these principles, drawing on Maslow's Hierarchy of Needs, the Care Act 2014, the Health and Care Act 2022, and the core bioethical principles of autonomy, beneficence, non-maleficence, and justice. Task 2 demonstrated their practical application through Joan's Story, illustrating how a genuinely person-centred and collaborative approach transformed care outcomes for a woman with complex, long-term conditions. Task 3 provided a personal self-reflection, identifying current strengths as a developing professional and setting out a clear plan for growth in person-centred practice, partnership skills, and ethical decision-making.</w:t>
      </w:r>
    </w:p>
    <w:p w14:paraId="040DEA3E" w14:textId="77777777" w:rsidR="004821F1" w:rsidRPr="00132BB4" w:rsidRDefault="004821F1" w:rsidP="00016A16">
      <w:pPr>
        <w:jc w:val="both"/>
        <w:rPr>
          <w:rFonts w:ascii="Arial" w:hAnsi="Arial" w:cs="Arial"/>
          <w:sz w:val="22"/>
          <w:szCs w:val="22"/>
        </w:rPr>
      </w:pPr>
    </w:p>
    <w:p w14:paraId="7FCEF37F" w14:textId="77777777" w:rsidR="00F82543" w:rsidRDefault="00F82543" w:rsidP="00016A16">
      <w:pPr>
        <w:jc w:val="both"/>
        <w:rPr>
          <w:rFonts w:ascii="Arial" w:hAnsi="Arial" w:cs="Arial"/>
          <w:b/>
          <w:bCs/>
          <w:sz w:val="22"/>
          <w:szCs w:val="22"/>
        </w:rPr>
      </w:pPr>
    </w:p>
    <w:p w14:paraId="259FDC10" w14:textId="77777777" w:rsidR="00F82543" w:rsidRDefault="00F82543" w:rsidP="00016A16">
      <w:pPr>
        <w:jc w:val="both"/>
        <w:rPr>
          <w:rFonts w:ascii="Arial" w:hAnsi="Arial" w:cs="Arial"/>
          <w:b/>
          <w:bCs/>
          <w:sz w:val="22"/>
          <w:szCs w:val="22"/>
        </w:rPr>
      </w:pPr>
    </w:p>
    <w:p w14:paraId="350C28E0" w14:textId="41604766" w:rsidR="00EB353B" w:rsidRPr="00132BB4" w:rsidRDefault="00EB353B" w:rsidP="00016A16">
      <w:pPr>
        <w:pStyle w:val="Heading2"/>
      </w:pPr>
      <w:r w:rsidRPr="00132BB4">
        <w:t>References</w:t>
      </w:r>
    </w:p>
    <w:p w14:paraId="2E88E115" w14:textId="77777777" w:rsidR="00EB353B" w:rsidRPr="00132BB4" w:rsidRDefault="00EB353B" w:rsidP="00016A16">
      <w:pPr>
        <w:jc w:val="both"/>
        <w:rPr>
          <w:rFonts w:ascii="Arial" w:hAnsi="Arial" w:cs="Arial"/>
          <w:sz w:val="22"/>
          <w:szCs w:val="22"/>
        </w:rPr>
      </w:pPr>
      <w:r w:rsidRPr="00132BB4">
        <w:rPr>
          <w:rFonts w:ascii="Arial" w:hAnsi="Arial" w:cs="Arial"/>
          <w:sz w:val="22"/>
          <w:szCs w:val="22"/>
        </w:rPr>
        <w:t>Baillie, L., Gallini, A., Corser, R., Elworthy, G., Scotcher, A. and Barrand, A. (2020) 'Person-centred care in acute hospital settings: a systematic review', International Journal of Nursing Practice, 26(3), pp. 1–12. doi:10.1111/ijn.12815.</w:t>
      </w:r>
    </w:p>
    <w:p w14:paraId="542FB5F3" w14:textId="77777777" w:rsidR="00EB353B" w:rsidRPr="00132BB4" w:rsidRDefault="00EB353B" w:rsidP="00016A16">
      <w:pPr>
        <w:jc w:val="both"/>
        <w:rPr>
          <w:rFonts w:ascii="Arial" w:hAnsi="Arial" w:cs="Arial"/>
          <w:sz w:val="22"/>
          <w:szCs w:val="22"/>
        </w:rPr>
      </w:pPr>
      <w:r w:rsidRPr="00132BB4">
        <w:rPr>
          <w:rFonts w:ascii="Arial" w:hAnsi="Arial" w:cs="Arial"/>
          <w:sz w:val="22"/>
          <w:szCs w:val="22"/>
        </w:rPr>
        <w:t>Baxter, J. and Shenton, A. (2022) 'Developing reflective practitioners in health and social care education', Reflective Practice, 23(1), pp. 45–57. doi:10.1080/14623943.2021.1994462.</w:t>
      </w:r>
    </w:p>
    <w:p w14:paraId="45640484" w14:textId="77777777" w:rsidR="00EB353B" w:rsidRPr="00132BB4" w:rsidRDefault="00EB353B" w:rsidP="00016A16">
      <w:pPr>
        <w:jc w:val="both"/>
        <w:rPr>
          <w:rFonts w:ascii="Arial" w:hAnsi="Arial" w:cs="Arial"/>
          <w:sz w:val="22"/>
          <w:szCs w:val="22"/>
        </w:rPr>
      </w:pPr>
      <w:r w:rsidRPr="00132BB4">
        <w:rPr>
          <w:rFonts w:ascii="Arial" w:hAnsi="Arial" w:cs="Arial"/>
          <w:sz w:val="22"/>
          <w:szCs w:val="22"/>
        </w:rPr>
        <w:t>Care Act 2014. Available at: https://www.legislation.gov.uk/ukpga/2014/23/contents (Accessed: 24 June 2026).</w:t>
      </w:r>
    </w:p>
    <w:p w14:paraId="290E229B" w14:textId="77777777" w:rsidR="00EB353B" w:rsidRPr="00132BB4" w:rsidRDefault="00EB353B" w:rsidP="00016A16">
      <w:pPr>
        <w:jc w:val="both"/>
        <w:rPr>
          <w:rFonts w:ascii="Arial" w:hAnsi="Arial" w:cs="Arial"/>
          <w:sz w:val="22"/>
          <w:szCs w:val="22"/>
        </w:rPr>
      </w:pPr>
      <w:r w:rsidRPr="00132BB4">
        <w:rPr>
          <w:rFonts w:ascii="Arial" w:hAnsi="Arial" w:cs="Arial"/>
          <w:sz w:val="22"/>
          <w:szCs w:val="22"/>
        </w:rPr>
        <w:t>Dickinson, H. and O'Flynn, J. (2022) Putting the public interest first: partnership working in health and social care. London: Red Globe Press.</w:t>
      </w:r>
    </w:p>
    <w:p w14:paraId="1E52684E" w14:textId="77777777" w:rsidR="00EB353B" w:rsidRPr="00132BB4" w:rsidRDefault="00EB353B" w:rsidP="00016A16">
      <w:pPr>
        <w:jc w:val="both"/>
        <w:rPr>
          <w:rFonts w:ascii="Arial" w:hAnsi="Arial" w:cs="Arial"/>
          <w:sz w:val="22"/>
          <w:szCs w:val="22"/>
        </w:rPr>
      </w:pPr>
      <w:r w:rsidRPr="00132BB4">
        <w:rPr>
          <w:rFonts w:ascii="Arial" w:hAnsi="Arial" w:cs="Arial"/>
          <w:sz w:val="22"/>
          <w:szCs w:val="22"/>
        </w:rPr>
        <w:t>Gibbs, G. (1988) Learning by doing: a guide to teaching and learning methods. Oxford: Further Education Unit, Oxford Polytechnic.</w:t>
      </w:r>
    </w:p>
    <w:p w14:paraId="5A784390" w14:textId="3C60A81B" w:rsidR="00EB353B" w:rsidRPr="00132BB4" w:rsidRDefault="00EB353B" w:rsidP="00016A16">
      <w:pPr>
        <w:jc w:val="both"/>
        <w:rPr>
          <w:rFonts w:ascii="Arial" w:hAnsi="Arial" w:cs="Arial"/>
          <w:sz w:val="22"/>
          <w:szCs w:val="22"/>
        </w:rPr>
      </w:pPr>
      <w:r w:rsidRPr="00132BB4">
        <w:rPr>
          <w:rFonts w:ascii="Arial" w:hAnsi="Arial" w:cs="Arial"/>
          <w:sz w:val="22"/>
          <w:szCs w:val="22"/>
        </w:rPr>
        <w:t>Health</w:t>
      </w:r>
      <w:r w:rsidR="00DB5C36">
        <w:rPr>
          <w:rFonts w:ascii="Arial" w:hAnsi="Arial" w:cs="Arial"/>
          <w:sz w:val="22"/>
          <w:szCs w:val="22"/>
        </w:rPr>
        <w:t xml:space="preserve"> </w:t>
      </w:r>
      <w:r w:rsidRPr="00132BB4">
        <w:rPr>
          <w:rFonts w:ascii="Arial" w:hAnsi="Arial" w:cs="Arial"/>
          <w:sz w:val="22"/>
          <w:szCs w:val="22"/>
        </w:rPr>
        <w:t>and Care Act 2022. Available at: https://www.legislation.gov.uk/ukpga/2022/31/contents (Accessed: 24 June 2026).</w:t>
      </w:r>
    </w:p>
    <w:p w14:paraId="52C4D33D" w14:textId="77777777" w:rsidR="00EB353B" w:rsidRPr="00132BB4" w:rsidRDefault="00EB353B" w:rsidP="00016A16">
      <w:pPr>
        <w:jc w:val="both"/>
        <w:rPr>
          <w:rFonts w:ascii="Arial" w:hAnsi="Arial" w:cs="Arial"/>
          <w:sz w:val="22"/>
          <w:szCs w:val="22"/>
        </w:rPr>
      </w:pPr>
      <w:r w:rsidRPr="00132BB4">
        <w:rPr>
          <w:rFonts w:ascii="Arial" w:hAnsi="Arial" w:cs="Arial"/>
          <w:sz w:val="22"/>
          <w:szCs w:val="22"/>
        </w:rPr>
        <w:t>Health and Care Professions Council (HCPC) (2023) Standards of conduct, performance and ethics. London: HCPC. Available at: https://www.hcpc-uk.org/standards/standards-of-conduct-performance-and-ethics/ (Accessed: 24 June 2026).</w:t>
      </w:r>
    </w:p>
    <w:p w14:paraId="63E8A286" w14:textId="77777777" w:rsidR="00EB353B" w:rsidRPr="00132BB4" w:rsidRDefault="00EB353B" w:rsidP="00016A16">
      <w:pPr>
        <w:jc w:val="both"/>
        <w:rPr>
          <w:rFonts w:ascii="Arial" w:hAnsi="Arial" w:cs="Arial"/>
          <w:sz w:val="22"/>
          <w:szCs w:val="22"/>
        </w:rPr>
      </w:pPr>
      <w:r w:rsidRPr="00132BB4">
        <w:rPr>
          <w:rFonts w:ascii="Arial" w:hAnsi="Arial" w:cs="Arial"/>
          <w:sz w:val="22"/>
          <w:szCs w:val="22"/>
        </w:rPr>
        <w:t>Kangasniemi, M., Kohonen, M. and Voutilainen, P. (2021) 'Ethical principles in nursing and their evaluation: an integrative review', Nursing Ethics, 28(6), pp. 887–901. doi:10.1177/0969733020956194.</w:t>
      </w:r>
    </w:p>
    <w:p w14:paraId="6EAFE6F0" w14:textId="77777777" w:rsidR="00EB353B" w:rsidRPr="00132BB4" w:rsidRDefault="00EB353B" w:rsidP="00016A16">
      <w:pPr>
        <w:jc w:val="both"/>
        <w:rPr>
          <w:rFonts w:ascii="Arial" w:hAnsi="Arial" w:cs="Arial"/>
          <w:sz w:val="22"/>
          <w:szCs w:val="22"/>
        </w:rPr>
      </w:pPr>
      <w:r w:rsidRPr="00132BB4">
        <w:rPr>
          <w:rFonts w:ascii="Arial" w:hAnsi="Arial" w:cs="Arial"/>
          <w:sz w:val="22"/>
          <w:szCs w:val="22"/>
        </w:rPr>
        <w:t>McLeod, S. (2020) Maslow's hierarchy of needs. Simply Psychology. Available at: https://www.simplypsychology.org/maslow.html (Accessed: 24 June 2026).</w:t>
      </w:r>
    </w:p>
    <w:p w14:paraId="6D3B737B" w14:textId="77777777" w:rsidR="00EB353B" w:rsidRPr="00132BB4" w:rsidRDefault="00EB353B" w:rsidP="00016A16">
      <w:pPr>
        <w:jc w:val="both"/>
        <w:rPr>
          <w:rFonts w:ascii="Arial" w:hAnsi="Arial" w:cs="Arial"/>
          <w:sz w:val="22"/>
          <w:szCs w:val="22"/>
        </w:rPr>
      </w:pPr>
      <w:r w:rsidRPr="00132BB4">
        <w:rPr>
          <w:rFonts w:ascii="Arial" w:hAnsi="Arial" w:cs="Arial"/>
          <w:sz w:val="22"/>
          <w:szCs w:val="22"/>
        </w:rPr>
        <w:t>Mental Capacity Act 2005. Available at: https://www.legislation.gov.uk/ukpga/2005/9/contents (Accessed: 24 June 2026).</w:t>
      </w:r>
    </w:p>
    <w:p w14:paraId="1CCA1DE9" w14:textId="77777777" w:rsidR="00EB353B" w:rsidRPr="00132BB4" w:rsidRDefault="00EB353B" w:rsidP="00016A16">
      <w:pPr>
        <w:jc w:val="both"/>
        <w:rPr>
          <w:rFonts w:ascii="Arial" w:hAnsi="Arial" w:cs="Arial"/>
          <w:sz w:val="22"/>
          <w:szCs w:val="22"/>
        </w:rPr>
      </w:pPr>
      <w:r w:rsidRPr="00132BB4">
        <w:rPr>
          <w:rFonts w:ascii="Arial" w:hAnsi="Arial" w:cs="Arial"/>
          <w:sz w:val="22"/>
          <w:szCs w:val="22"/>
        </w:rPr>
        <w:t>NHS England (2023) Personalised care: Joan's story. Available at: https://www.england.nhs.uk/personalisedcare/comprehensive-model/case-studies/ (Accessed: 24 June 2026).</w:t>
      </w:r>
    </w:p>
    <w:p w14:paraId="10EA4099" w14:textId="7033EE4E" w:rsidR="00EB353B" w:rsidRPr="00132BB4" w:rsidRDefault="00EB353B" w:rsidP="00016A16">
      <w:pPr>
        <w:jc w:val="both"/>
        <w:rPr>
          <w:rFonts w:ascii="Arial" w:hAnsi="Arial" w:cs="Arial"/>
          <w:sz w:val="22"/>
          <w:szCs w:val="22"/>
        </w:rPr>
      </w:pPr>
      <w:r w:rsidRPr="00132BB4">
        <w:rPr>
          <w:rFonts w:ascii="Arial" w:hAnsi="Arial" w:cs="Arial"/>
          <w:sz w:val="22"/>
          <w:szCs w:val="22"/>
        </w:rPr>
        <w:t xml:space="preserve">Packer, R., Noonan, R., Burnside, G., Qualter, P. and French, D.P. (2021) 'Sociodemographic inequalities in patient activation in people with chronic conditions: findings from a UK survey', Patient Education and Counselling, 104(9), pp. 2189–2196. </w:t>
      </w:r>
      <w:r w:rsidR="00E676BC" w:rsidRPr="00132BB4">
        <w:rPr>
          <w:rFonts w:ascii="Arial" w:hAnsi="Arial" w:cs="Arial"/>
          <w:sz w:val="22"/>
          <w:szCs w:val="22"/>
        </w:rPr>
        <w:t>Doi</w:t>
      </w:r>
      <w:r w:rsidR="00442861" w:rsidRPr="00132BB4">
        <w:rPr>
          <w:rFonts w:ascii="Arial" w:hAnsi="Arial" w:cs="Arial"/>
          <w:sz w:val="22"/>
          <w:szCs w:val="22"/>
        </w:rPr>
        <w:t>: 10.1016/j.pec</w:t>
      </w:r>
      <w:r w:rsidRPr="00132BB4">
        <w:rPr>
          <w:rFonts w:ascii="Arial" w:hAnsi="Arial" w:cs="Arial"/>
          <w:sz w:val="22"/>
          <w:szCs w:val="22"/>
        </w:rPr>
        <w:t>.2021.02.025.</w:t>
      </w:r>
    </w:p>
    <w:p w14:paraId="05BCF5F7" w14:textId="77777777" w:rsidR="00EB353B" w:rsidRPr="00132BB4" w:rsidRDefault="00EB353B" w:rsidP="00016A16">
      <w:pPr>
        <w:jc w:val="both"/>
        <w:rPr>
          <w:rFonts w:ascii="Arial" w:hAnsi="Arial" w:cs="Arial"/>
          <w:sz w:val="22"/>
          <w:szCs w:val="22"/>
        </w:rPr>
      </w:pPr>
      <w:r w:rsidRPr="00132BB4">
        <w:rPr>
          <w:rFonts w:ascii="Arial" w:hAnsi="Arial" w:cs="Arial"/>
          <w:sz w:val="22"/>
          <w:szCs w:val="22"/>
        </w:rPr>
        <w:t>Social Care Institute for Excellence (SCIE) (2022) Mental Capacity Act 2005 at a glance. London: SCIE. Available at: https://www.scie.org.uk/mca/introduction/mental-capacity-act-2005-at-a-glance (Accessed: 24 June 2026).</w:t>
      </w:r>
    </w:p>
    <w:p w14:paraId="3D34CA0A" w14:textId="77777777" w:rsidR="00EB353B" w:rsidRPr="00132BB4" w:rsidRDefault="00EB353B" w:rsidP="00016A16">
      <w:pPr>
        <w:jc w:val="both"/>
        <w:rPr>
          <w:rFonts w:ascii="Arial" w:hAnsi="Arial" w:cs="Arial"/>
          <w:sz w:val="22"/>
          <w:szCs w:val="22"/>
        </w:rPr>
      </w:pPr>
      <w:r w:rsidRPr="00132BB4">
        <w:rPr>
          <w:rFonts w:ascii="Arial" w:hAnsi="Arial" w:cs="Arial"/>
          <w:sz w:val="22"/>
          <w:szCs w:val="22"/>
        </w:rPr>
        <w:t>UK Government (2014) Care Act 2014: statutory guidance. London: HMSO. Available at: https://www.gov.uk/government/publications/care-act-statutory-guidance/care-and-support-statutory-guidance (Accessed: 24 June 2026).</w:t>
      </w:r>
    </w:p>
    <w:p w14:paraId="376BB817" w14:textId="229008A0" w:rsidR="00EA40E9" w:rsidRPr="00EA40E9" w:rsidRDefault="00EB353B" w:rsidP="00016A16">
      <w:pPr>
        <w:jc w:val="both"/>
        <w:rPr>
          <w:rFonts w:ascii="Arial" w:hAnsi="Arial" w:cs="Arial"/>
          <w:sz w:val="22"/>
          <w:szCs w:val="22"/>
        </w:rPr>
      </w:pPr>
      <w:r w:rsidRPr="00132BB4">
        <w:rPr>
          <w:rFonts w:ascii="Arial" w:hAnsi="Arial" w:cs="Arial"/>
          <w:sz w:val="22"/>
          <w:szCs w:val="22"/>
        </w:rPr>
        <w:lastRenderedPageBreak/>
        <w:t>UK Government (2022) Health and Care Act 2022: overview. London: HMSO. Available at: https://www.gov.uk/government/publications/health-and-care-act-2022-overview (Accessed: 24 June 2026)</w:t>
      </w:r>
      <w:r w:rsidR="00287AE7" w:rsidRPr="00132BB4">
        <w:rPr>
          <w:rFonts w:ascii="Arial" w:hAnsi="Arial" w:cs="Arial"/>
          <w:sz w:val="22"/>
          <w:szCs w:val="22"/>
        </w:rPr>
        <w:t>.</w:t>
      </w:r>
    </w:p>
    <w:sectPr w:rsidR="00EA40E9" w:rsidRPr="00EA40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182"/>
    <w:rsid w:val="00007149"/>
    <w:rsid w:val="00016A16"/>
    <w:rsid w:val="00017EF4"/>
    <w:rsid w:val="00024BFD"/>
    <w:rsid w:val="00045908"/>
    <w:rsid w:val="00053F7B"/>
    <w:rsid w:val="000A30D0"/>
    <w:rsid w:val="000A7DBA"/>
    <w:rsid w:val="000F2007"/>
    <w:rsid w:val="001011CD"/>
    <w:rsid w:val="00113D25"/>
    <w:rsid w:val="00131E5E"/>
    <w:rsid w:val="00132BB4"/>
    <w:rsid w:val="00133604"/>
    <w:rsid w:val="0015510F"/>
    <w:rsid w:val="00173F6E"/>
    <w:rsid w:val="00182828"/>
    <w:rsid w:val="001A1DB4"/>
    <w:rsid w:val="001A5CAE"/>
    <w:rsid w:val="001D388D"/>
    <w:rsid w:val="001E536D"/>
    <w:rsid w:val="001F0AD3"/>
    <w:rsid w:val="00217BCC"/>
    <w:rsid w:val="00220E02"/>
    <w:rsid w:val="00240011"/>
    <w:rsid w:val="00246A5A"/>
    <w:rsid w:val="002759D4"/>
    <w:rsid w:val="00276182"/>
    <w:rsid w:val="00287AE7"/>
    <w:rsid w:val="00294C60"/>
    <w:rsid w:val="002B6EF0"/>
    <w:rsid w:val="002D7A63"/>
    <w:rsid w:val="002E3F55"/>
    <w:rsid w:val="00325BDF"/>
    <w:rsid w:val="0034008B"/>
    <w:rsid w:val="003963A2"/>
    <w:rsid w:val="00442861"/>
    <w:rsid w:val="00442EB6"/>
    <w:rsid w:val="004821F1"/>
    <w:rsid w:val="00490E9B"/>
    <w:rsid w:val="005318ED"/>
    <w:rsid w:val="00540AA8"/>
    <w:rsid w:val="005451C1"/>
    <w:rsid w:val="005563AE"/>
    <w:rsid w:val="00565EE0"/>
    <w:rsid w:val="005A4B7D"/>
    <w:rsid w:val="005C6EBF"/>
    <w:rsid w:val="005F348A"/>
    <w:rsid w:val="005F4E88"/>
    <w:rsid w:val="00624642"/>
    <w:rsid w:val="00633694"/>
    <w:rsid w:val="00656F5D"/>
    <w:rsid w:val="006D7840"/>
    <w:rsid w:val="006F431F"/>
    <w:rsid w:val="007511B9"/>
    <w:rsid w:val="007633A1"/>
    <w:rsid w:val="00767404"/>
    <w:rsid w:val="00780C7D"/>
    <w:rsid w:val="00784353"/>
    <w:rsid w:val="007A06CD"/>
    <w:rsid w:val="007D588B"/>
    <w:rsid w:val="00800CE3"/>
    <w:rsid w:val="00802D2F"/>
    <w:rsid w:val="00814AFC"/>
    <w:rsid w:val="008200CF"/>
    <w:rsid w:val="008233E1"/>
    <w:rsid w:val="00830343"/>
    <w:rsid w:val="00847E6D"/>
    <w:rsid w:val="0085619E"/>
    <w:rsid w:val="00874B19"/>
    <w:rsid w:val="008A6FF3"/>
    <w:rsid w:val="008B6073"/>
    <w:rsid w:val="008D2D64"/>
    <w:rsid w:val="00934457"/>
    <w:rsid w:val="009374BE"/>
    <w:rsid w:val="009A0074"/>
    <w:rsid w:val="009E2F93"/>
    <w:rsid w:val="009F19D7"/>
    <w:rsid w:val="00A56CBE"/>
    <w:rsid w:val="00AA6A55"/>
    <w:rsid w:val="00AC1E9E"/>
    <w:rsid w:val="00B1583C"/>
    <w:rsid w:val="00B46421"/>
    <w:rsid w:val="00B46ECA"/>
    <w:rsid w:val="00B535AA"/>
    <w:rsid w:val="00B65AB3"/>
    <w:rsid w:val="00B74732"/>
    <w:rsid w:val="00C045FB"/>
    <w:rsid w:val="00C538BB"/>
    <w:rsid w:val="00C53C55"/>
    <w:rsid w:val="00C649EB"/>
    <w:rsid w:val="00C930C0"/>
    <w:rsid w:val="00CA0BA9"/>
    <w:rsid w:val="00CD488A"/>
    <w:rsid w:val="00CE6294"/>
    <w:rsid w:val="00D04D37"/>
    <w:rsid w:val="00D07C3F"/>
    <w:rsid w:val="00D22AAD"/>
    <w:rsid w:val="00D44A3E"/>
    <w:rsid w:val="00D47336"/>
    <w:rsid w:val="00D47F32"/>
    <w:rsid w:val="00DA0E6E"/>
    <w:rsid w:val="00DB5C36"/>
    <w:rsid w:val="00E220E7"/>
    <w:rsid w:val="00E2681C"/>
    <w:rsid w:val="00E472DC"/>
    <w:rsid w:val="00E61BA4"/>
    <w:rsid w:val="00E64F08"/>
    <w:rsid w:val="00E676BC"/>
    <w:rsid w:val="00E77344"/>
    <w:rsid w:val="00E84327"/>
    <w:rsid w:val="00E925D0"/>
    <w:rsid w:val="00EA40E9"/>
    <w:rsid w:val="00EA6062"/>
    <w:rsid w:val="00EB353B"/>
    <w:rsid w:val="00EC71AE"/>
    <w:rsid w:val="00ED08F6"/>
    <w:rsid w:val="00F0370E"/>
    <w:rsid w:val="00F03719"/>
    <w:rsid w:val="00F1415B"/>
    <w:rsid w:val="00F31D91"/>
    <w:rsid w:val="00F43082"/>
    <w:rsid w:val="00F66147"/>
    <w:rsid w:val="00F82543"/>
    <w:rsid w:val="00F85872"/>
    <w:rsid w:val="00FA0145"/>
    <w:rsid w:val="00FA6ED0"/>
    <w:rsid w:val="00FB5848"/>
    <w:rsid w:val="00FC7CC4"/>
    <w:rsid w:val="00FF73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EC182"/>
  <w15:chartTrackingRefBased/>
  <w15:docId w15:val="{61FF0337-EEB2-45DA-B9C0-908ED24C6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1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61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61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61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61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61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61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61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61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1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61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61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61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61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61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61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61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6182"/>
    <w:rPr>
      <w:rFonts w:eastAsiaTheme="majorEastAsia" w:cstheme="majorBidi"/>
      <w:color w:val="272727" w:themeColor="text1" w:themeTint="D8"/>
    </w:rPr>
  </w:style>
  <w:style w:type="paragraph" w:styleId="Title">
    <w:name w:val="Title"/>
    <w:basedOn w:val="Normal"/>
    <w:next w:val="Normal"/>
    <w:link w:val="TitleChar"/>
    <w:uiPriority w:val="10"/>
    <w:qFormat/>
    <w:rsid w:val="002761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1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61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1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6182"/>
    <w:pPr>
      <w:spacing w:before="160"/>
      <w:jc w:val="center"/>
    </w:pPr>
    <w:rPr>
      <w:i/>
      <w:iCs/>
      <w:color w:val="404040" w:themeColor="text1" w:themeTint="BF"/>
    </w:rPr>
  </w:style>
  <w:style w:type="character" w:customStyle="1" w:styleId="QuoteChar">
    <w:name w:val="Quote Char"/>
    <w:basedOn w:val="DefaultParagraphFont"/>
    <w:link w:val="Quote"/>
    <w:uiPriority w:val="29"/>
    <w:rsid w:val="00276182"/>
    <w:rPr>
      <w:i/>
      <w:iCs/>
      <w:color w:val="404040" w:themeColor="text1" w:themeTint="BF"/>
    </w:rPr>
  </w:style>
  <w:style w:type="paragraph" w:styleId="ListParagraph">
    <w:name w:val="List Paragraph"/>
    <w:basedOn w:val="Normal"/>
    <w:uiPriority w:val="34"/>
    <w:qFormat/>
    <w:rsid w:val="00276182"/>
    <w:pPr>
      <w:ind w:left="720"/>
      <w:contextualSpacing/>
    </w:pPr>
  </w:style>
  <w:style w:type="character" w:styleId="IntenseEmphasis">
    <w:name w:val="Intense Emphasis"/>
    <w:basedOn w:val="DefaultParagraphFont"/>
    <w:uiPriority w:val="21"/>
    <w:qFormat/>
    <w:rsid w:val="00276182"/>
    <w:rPr>
      <w:i/>
      <w:iCs/>
      <w:color w:val="0F4761" w:themeColor="accent1" w:themeShade="BF"/>
    </w:rPr>
  </w:style>
  <w:style w:type="paragraph" w:styleId="IntenseQuote">
    <w:name w:val="Intense Quote"/>
    <w:basedOn w:val="Normal"/>
    <w:next w:val="Normal"/>
    <w:link w:val="IntenseQuoteChar"/>
    <w:uiPriority w:val="30"/>
    <w:qFormat/>
    <w:rsid w:val="002761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6182"/>
    <w:rPr>
      <w:i/>
      <w:iCs/>
      <w:color w:val="0F4761" w:themeColor="accent1" w:themeShade="BF"/>
    </w:rPr>
  </w:style>
  <w:style w:type="character" w:styleId="IntenseReference">
    <w:name w:val="Intense Reference"/>
    <w:basedOn w:val="DefaultParagraphFont"/>
    <w:uiPriority w:val="32"/>
    <w:qFormat/>
    <w:rsid w:val="0027618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7C36D9-45DB-4D6A-A33C-B283F213B2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TotalTime>
  <Pages>8</Pages>
  <Words>2555</Words>
  <Characters>14564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Celsius Neboh (2434221)</dc:creator>
  <cp:keywords/>
  <dc:description/>
  <cp:lastModifiedBy>Celsius Neboh (2434221)</cp:lastModifiedBy>
  <cp:revision>120</cp:revision>
  <dcterms:created xsi:type="dcterms:W3CDTF">2026-07-01T10:07:00Z</dcterms:created>
  <dcterms:modified xsi:type="dcterms:W3CDTF">2026-07-01T22:51:00Z</dcterms:modified>
</cp:coreProperties>
</file>