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829CC" w14:textId="77777777" w:rsidR="00AA3E3A" w:rsidRDefault="00AA3E3A" w:rsidP="0081323C">
      <w:pPr>
        <w:spacing w:line="360" w:lineRule="auto"/>
        <w:jc w:val="both"/>
        <w:rPr>
          <w:rFonts w:ascii="Times New Roman" w:hAnsi="Times New Roman" w:cs="Times New Roman"/>
        </w:rPr>
      </w:pPr>
    </w:p>
    <w:p w14:paraId="56C9CC79" w14:textId="2A460819" w:rsidR="0013544C" w:rsidRDefault="0013544C" w:rsidP="0081323C">
      <w:pPr>
        <w:spacing w:line="360" w:lineRule="auto"/>
        <w:jc w:val="both"/>
        <w:rPr>
          <w:rFonts w:ascii="Times New Roman" w:hAnsi="Times New Roman" w:cs="Times New Roman"/>
          <w:b/>
          <w:bCs/>
        </w:rPr>
      </w:pPr>
      <w:r w:rsidRPr="0013544C">
        <w:rPr>
          <w:rFonts w:ascii="Times New Roman" w:hAnsi="Times New Roman" w:cs="Times New Roman"/>
          <w:b/>
          <w:bCs/>
        </w:rPr>
        <w:drawing>
          <wp:inline distT="0" distB="0" distL="0" distR="0" wp14:anchorId="5BB170BC" wp14:editId="0A023DF0">
            <wp:extent cx="5943600" cy="7654925"/>
            <wp:effectExtent l="0" t="0" r="0" b="3175"/>
            <wp:docPr id="57899817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98176" name="Picture 1" descr="A close-up of a document&#10;&#10;AI-generated content may be incorrect."/>
                    <pic:cNvPicPr/>
                  </pic:nvPicPr>
                  <pic:blipFill>
                    <a:blip r:embed="rId8"/>
                    <a:stretch>
                      <a:fillRect/>
                    </a:stretch>
                  </pic:blipFill>
                  <pic:spPr>
                    <a:xfrm>
                      <a:off x="0" y="0"/>
                      <a:ext cx="5943600" cy="7654925"/>
                    </a:xfrm>
                    <a:prstGeom prst="rect">
                      <a:avLst/>
                    </a:prstGeom>
                  </pic:spPr>
                </pic:pic>
              </a:graphicData>
            </a:graphic>
          </wp:inline>
        </w:drawing>
      </w:r>
    </w:p>
    <w:p w14:paraId="639329CF" w14:textId="407B571D" w:rsidR="002043A0" w:rsidRDefault="002043A0" w:rsidP="0081323C">
      <w:pPr>
        <w:spacing w:line="360" w:lineRule="auto"/>
        <w:jc w:val="both"/>
        <w:rPr>
          <w:rFonts w:ascii="Times New Roman" w:hAnsi="Times New Roman" w:cs="Times New Roman"/>
          <w:b/>
          <w:bCs/>
        </w:rPr>
      </w:pPr>
      <w:r>
        <w:rPr>
          <w:rFonts w:ascii="Times New Roman" w:hAnsi="Times New Roman" w:cs="Times New Roman"/>
          <w:b/>
          <w:bCs/>
        </w:rPr>
        <w:lastRenderedPageBreak/>
        <w:t>Assignment 1: Portfolio</w:t>
      </w:r>
    </w:p>
    <w:p w14:paraId="6B88FB88" w14:textId="77777777" w:rsidR="002043A0" w:rsidRDefault="002043A0" w:rsidP="0081323C">
      <w:pPr>
        <w:spacing w:line="360" w:lineRule="auto"/>
        <w:jc w:val="both"/>
        <w:rPr>
          <w:rFonts w:ascii="Times New Roman" w:hAnsi="Times New Roman" w:cs="Times New Roman"/>
          <w:b/>
          <w:bCs/>
        </w:rPr>
      </w:pPr>
    </w:p>
    <w:p w14:paraId="2F04ADEC" w14:textId="5889E116" w:rsidR="00D70287" w:rsidRPr="00AA3E3A" w:rsidRDefault="00D70287" w:rsidP="0081323C">
      <w:pPr>
        <w:spacing w:line="360" w:lineRule="auto"/>
        <w:jc w:val="both"/>
        <w:rPr>
          <w:rFonts w:ascii="Times New Roman" w:hAnsi="Times New Roman" w:cs="Times New Roman"/>
          <w:b/>
          <w:bCs/>
        </w:rPr>
      </w:pPr>
      <w:r w:rsidRPr="00AA3E3A">
        <w:rPr>
          <w:rFonts w:ascii="Times New Roman" w:hAnsi="Times New Roman" w:cs="Times New Roman"/>
          <w:b/>
          <w:bCs/>
        </w:rPr>
        <w:t>Titl</w:t>
      </w:r>
      <w:r w:rsidR="00D61FD1">
        <w:rPr>
          <w:rFonts w:ascii="Times New Roman" w:hAnsi="Times New Roman" w:cs="Times New Roman"/>
          <w:b/>
          <w:bCs/>
        </w:rPr>
        <w:t>e</w:t>
      </w:r>
    </w:p>
    <w:p w14:paraId="03A6F43F" w14:textId="1176794E" w:rsidR="002043A0" w:rsidRDefault="00FE3DAF" w:rsidP="0081323C">
      <w:pPr>
        <w:spacing w:line="360" w:lineRule="auto"/>
        <w:jc w:val="both"/>
        <w:rPr>
          <w:rFonts w:ascii="Times New Roman" w:hAnsi="Times New Roman" w:cs="Times New Roman"/>
        </w:rPr>
      </w:pPr>
      <w:r>
        <w:rPr>
          <w:rFonts w:ascii="Times New Roman" w:hAnsi="Times New Roman" w:cs="Times New Roman"/>
        </w:rPr>
        <w:t>Understanding</w:t>
      </w:r>
      <w:r w:rsidRPr="00FE3DAF">
        <w:rPr>
          <w:rFonts w:ascii="Times New Roman" w:hAnsi="Times New Roman" w:cs="Times New Roman"/>
        </w:rPr>
        <w:t xml:space="preserve"> Elderly Patient Engagement and Adherence in Home-Based Tele-Rehabilitation: A Study on Technology Adoption</w:t>
      </w:r>
    </w:p>
    <w:p w14:paraId="14A2369B" w14:textId="77777777" w:rsidR="00FE3DAF" w:rsidRPr="00E013E5" w:rsidRDefault="00FE3DAF" w:rsidP="0081323C">
      <w:pPr>
        <w:spacing w:line="360" w:lineRule="auto"/>
        <w:jc w:val="both"/>
        <w:rPr>
          <w:rFonts w:ascii="Times New Roman" w:hAnsi="Times New Roman" w:cs="Times New Roman"/>
        </w:rPr>
      </w:pPr>
    </w:p>
    <w:p w14:paraId="5F4F1EFB" w14:textId="3D32B8B8" w:rsidR="006F2B8B" w:rsidRPr="002043A0" w:rsidRDefault="002043A0" w:rsidP="006F2B8B">
      <w:pPr>
        <w:spacing w:line="360" w:lineRule="auto"/>
        <w:jc w:val="both"/>
        <w:rPr>
          <w:rFonts w:ascii="Times New Roman" w:hAnsi="Times New Roman" w:cs="Times New Roman"/>
          <w:b/>
          <w:bCs/>
        </w:rPr>
      </w:pPr>
      <w:r>
        <w:rPr>
          <w:rFonts w:ascii="Times New Roman" w:hAnsi="Times New Roman" w:cs="Times New Roman"/>
          <w:b/>
          <w:bCs/>
        </w:rPr>
        <w:t>Summary of Research Portfolio</w:t>
      </w:r>
      <w:r w:rsidR="00D61FD1">
        <w:rPr>
          <w:rFonts w:ascii="Times New Roman" w:hAnsi="Times New Roman" w:cs="Times New Roman"/>
          <w:b/>
          <w:bCs/>
        </w:rPr>
        <w:t xml:space="preserve"> from HKBM7020</w:t>
      </w:r>
    </w:p>
    <w:p w14:paraId="28AE7C9F" w14:textId="53900122" w:rsidR="002043A0" w:rsidRPr="00FE3DAF" w:rsidRDefault="00FE3DAF" w:rsidP="006F2B8B">
      <w:pPr>
        <w:spacing w:line="360" w:lineRule="auto"/>
        <w:jc w:val="both"/>
        <w:rPr>
          <w:rFonts w:ascii="Times New Roman" w:hAnsi="Times New Roman" w:cs="Times New Roman"/>
          <w:u w:val="single"/>
        </w:rPr>
      </w:pPr>
      <w:r w:rsidRPr="00FE3DAF">
        <w:rPr>
          <w:rFonts w:ascii="Times New Roman" w:hAnsi="Times New Roman" w:cs="Times New Roman"/>
          <w:u w:val="single"/>
        </w:rPr>
        <w:t>Background</w:t>
      </w:r>
    </w:p>
    <w:p w14:paraId="589D8439" w14:textId="7014AF0C" w:rsidR="002043A0" w:rsidRPr="002043A0" w:rsidRDefault="00FE3DAF" w:rsidP="002043A0">
      <w:pPr>
        <w:spacing w:line="360" w:lineRule="auto"/>
        <w:jc w:val="both"/>
        <w:rPr>
          <w:rFonts w:ascii="Times New Roman" w:hAnsi="Times New Roman" w:cs="Times New Roman"/>
        </w:rPr>
      </w:pPr>
      <w:r>
        <w:rPr>
          <w:rFonts w:ascii="Times New Roman" w:hAnsi="Times New Roman" w:cs="Times New Roman"/>
        </w:rPr>
        <w:t xml:space="preserve">Like most of the developed regions in the world, </w:t>
      </w:r>
      <w:r w:rsidR="002043A0" w:rsidRPr="002043A0">
        <w:rPr>
          <w:rFonts w:ascii="Times New Roman" w:hAnsi="Times New Roman" w:cs="Times New Roman"/>
        </w:rPr>
        <w:t>Hong Kong is facing a significant aging population trend, with approximately 1.68 million people aged 65 and above in 2023, projected to rise to 2.3 million by 2033. This demographic shift, combined with a high prevalence of chronic diseases, is increasing the demand for rehabilitation services. In 2021, around 28% of the elderly population reported a need for long-term care due to chronic conditions and disabilities. By 2039, the number of patients with chronic diseases under the care of the Hospital Authority is expected to reach 3 million annually.</w:t>
      </w:r>
      <w:r w:rsidR="0065427D">
        <w:rPr>
          <w:rFonts w:ascii="Times New Roman" w:hAnsi="Times New Roman" w:cs="Times New Roman"/>
        </w:rPr>
        <w:t xml:space="preserve"> </w:t>
      </w:r>
      <w:r w:rsidR="0065427D">
        <w:rPr>
          <w:rFonts w:ascii="Times New Roman" w:hAnsi="Times New Roman" w:cs="Times New Roman"/>
        </w:rPr>
        <w:fldChar w:fldCharType="begin"/>
      </w:r>
      <w:r w:rsidR="0065427D">
        <w:rPr>
          <w:rFonts w:ascii="Times New Roman" w:hAnsi="Times New Roman" w:cs="Times New Roman"/>
        </w:rPr>
        <w:instrText xml:space="preserve"> ADDIN ZOTERO_ITEM CSL_CITATION {"citationID":"89t3uUlG","properties":{"formattedCitation":"(Census and Statistics Department, 2023)","plainCitation":"(Census and Statistics Department, 2023)","noteIndex":0},"citationItems":[{"id":274,"uris":["http://zotero.org/users/local/GVEXpyuZ/items/ITPV9ZD7"],"itemData":{"id":274,"type":"article-journal","language":"en","source":"Zotero","title":"Hong Kong Population Projections for 2022 to 2046","author":[{"family":"Census and Statistics Department","given":""}],"issued":{"date-parts":[["2023"]]}}}],"schema":"https://github.com/citation-style-language/schema/raw/master/csl-citation.json"} </w:instrText>
      </w:r>
      <w:r w:rsidR="0065427D">
        <w:rPr>
          <w:rFonts w:ascii="Times New Roman" w:hAnsi="Times New Roman" w:cs="Times New Roman"/>
        </w:rPr>
        <w:fldChar w:fldCharType="separate"/>
      </w:r>
      <w:r w:rsidR="0065427D">
        <w:rPr>
          <w:rFonts w:ascii="Times New Roman" w:hAnsi="Times New Roman" w:cs="Times New Roman"/>
          <w:noProof/>
        </w:rPr>
        <w:t>(Census and Statistics Department, 2023)</w:t>
      </w:r>
      <w:r w:rsidR="0065427D">
        <w:rPr>
          <w:rFonts w:ascii="Times New Roman" w:hAnsi="Times New Roman" w:cs="Times New Roman"/>
        </w:rPr>
        <w:fldChar w:fldCharType="end"/>
      </w:r>
    </w:p>
    <w:p w14:paraId="2DE66CC7" w14:textId="77777777" w:rsidR="002043A0" w:rsidRP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t>The public healthcare system in Hong Kong, primarily managed by the Hospital Authority and the Department of Health, is known for its efficiency and affordability. However, the rising demand for services has led to excessive waiting times for non-emergency procedures. Rehabilitation services are crucial, as they are often needed after acute hospital care for conditions like strokes and hip fractures. In 2013, 38% of stroke patients and 70% of hip fracture patients were transferred to rehabilitation facilities after acute care. However, inadequate outpatient rehabilitation options and long wait times can disrupt patient flow.</w:t>
      </w:r>
    </w:p>
    <w:p w14:paraId="7BE7E19C" w14:textId="4B345CA5" w:rsid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t>Currently, rehabilitation services focus heavily on inpatient care, with 86% of stroke patients receiving inpatient rehabilitation compared to only 20% in day services. This reliance on hospitals limits the reintegration of patients into the community and prolongs recovery. Effective rehabilitation can improve patient outcomes and reduce overall healthcare costs.</w:t>
      </w:r>
      <w:r w:rsidR="0065427D">
        <w:rPr>
          <w:rFonts w:ascii="Times New Roman" w:hAnsi="Times New Roman" w:cs="Times New Roman"/>
        </w:rPr>
        <w:t xml:space="preserve"> </w:t>
      </w:r>
    </w:p>
    <w:p w14:paraId="62C297CD" w14:textId="77777777" w:rsidR="0065427D" w:rsidRPr="002043A0" w:rsidRDefault="0065427D" w:rsidP="002043A0">
      <w:pPr>
        <w:spacing w:line="360" w:lineRule="auto"/>
        <w:jc w:val="both"/>
        <w:rPr>
          <w:rFonts w:ascii="Times New Roman" w:hAnsi="Times New Roman" w:cs="Times New Roman"/>
        </w:rPr>
      </w:pPr>
    </w:p>
    <w:p w14:paraId="09C71D47" w14:textId="7568B5B2" w:rsidR="002043A0" w:rsidRP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lastRenderedPageBreak/>
        <w:t xml:space="preserve">To address the growing demand for rehabilitation services, Hong Kong's healthcare providers need to incorporate technology and innovation. </w:t>
      </w:r>
      <w:r>
        <w:rPr>
          <w:rFonts w:ascii="Times New Roman" w:hAnsi="Times New Roman" w:cs="Times New Roman"/>
        </w:rPr>
        <w:t xml:space="preserve">Home-based telerehabilitation technologies can be a possible way to alleviate inpatient rehabilitation demand if implemented properly. </w:t>
      </w:r>
      <w:r w:rsidRPr="002043A0">
        <w:rPr>
          <w:rFonts w:ascii="Times New Roman" w:hAnsi="Times New Roman" w:cs="Times New Roman"/>
        </w:rPr>
        <w:t xml:space="preserve"> </w:t>
      </w:r>
      <w:r>
        <w:rPr>
          <w:rFonts w:ascii="Times New Roman" w:hAnsi="Times New Roman" w:cs="Times New Roman"/>
        </w:rPr>
        <w:t>Recent t</w:t>
      </w:r>
      <w:r w:rsidRPr="002043A0">
        <w:rPr>
          <w:rFonts w:ascii="Times New Roman" w:hAnsi="Times New Roman" w:cs="Times New Roman"/>
        </w:rPr>
        <w:t>echnolog</w:t>
      </w:r>
      <w:r>
        <w:rPr>
          <w:rFonts w:ascii="Times New Roman" w:hAnsi="Times New Roman" w:cs="Times New Roman"/>
        </w:rPr>
        <w:t>ical innovations</w:t>
      </w:r>
      <w:r w:rsidRPr="002043A0">
        <w:rPr>
          <w:rFonts w:ascii="Times New Roman" w:hAnsi="Times New Roman" w:cs="Times New Roman"/>
        </w:rPr>
        <w:t xml:space="preserve"> such as telehealth, wearable devices, and mobile health apps can enhance patient engagement and improve access to care.</w:t>
      </w:r>
    </w:p>
    <w:p w14:paraId="4005709F" w14:textId="3A9963B9" w:rsidR="002043A0" w:rsidRDefault="002043A0" w:rsidP="006F2B8B">
      <w:pPr>
        <w:spacing w:line="360" w:lineRule="auto"/>
        <w:jc w:val="both"/>
        <w:rPr>
          <w:rFonts w:ascii="Times New Roman" w:hAnsi="Times New Roman" w:cs="Times New Roman"/>
        </w:rPr>
      </w:pPr>
      <w:r w:rsidRPr="002043A0">
        <w:rPr>
          <w:rFonts w:ascii="Times New Roman" w:hAnsi="Times New Roman" w:cs="Times New Roman"/>
        </w:rPr>
        <w:t xml:space="preserve">Despite the potential benefits, there is a lack of structured assessment tools to identify patients' </w:t>
      </w:r>
      <w:r>
        <w:rPr>
          <w:rFonts w:ascii="Times New Roman" w:hAnsi="Times New Roman" w:cs="Times New Roman"/>
        </w:rPr>
        <w:t xml:space="preserve">motivation to undergo self-monitored </w:t>
      </w:r>
      <w:r w:rsidRPr="002043A0">
        <w:rPr>
          <w:rFonts w:ascii="Times New Roman" w:hAnsi="Times New Roman" w:cs="Times New Roman"/>
        </w:rPr>
        <w:t>rehabilitation effectively. This gap creates challenges for healthcare providers in delivering tailored care</w:t>
      </w:r>
      <w:r>
        <w:rPr>
          <w:rFonts w:ascii="Times New Roman" w:hAnsi="Times New Roman" w:cs="Times New Roman"/>
        </w:rPr>
        <w:t xml:space="preserve"> to ensure the quality of care</w:t>
      </w:r>
      <w:r w:rsidRPr="002043A0">
        <w:rPr>
          <w:rFonts w:ascii="Times New Roman" w:hAnsi="Times New Roman" w:cs="Times New Roman"/>
        </w:rPr>
        <w:t>. A study is needed to understand the impact of digital health solutions on patient</w:t>
      </w:r>
      <w:r>
        <w:rPr>
          <w:rFonts w:ascii="Times New Roman" w:hAnsi="Times New Roman" w:cs="Times New Roman"/>
        </w:rPr>
        <w:t>’s behavior intention and hence its effects on technology user behavior (adoption</w:t>
      </w:r>
      <w:r w:rsidRPr="002043A0">
        <w:rPr>
          <w:rFonts w:ascii="Times New Roman" w:hAnsi="Times New Roman" w:cs="Times New Roman"/>
        </w:rPr>
        <w:t xml:space="preserve"> and </w:t>
      </w:r>
      <w:r>
        <w:rPr>
          <w:rFonts w:ascii="Times New Roman" w:hAnsi="Times New Roman" w:cs="Times New Roman"/>
        </w:rPr>
        <w:t>adherence)</w:t>
      </w:r>
      <w:r w:rsidRPr="002043A0">
        <w:rPr>
          <w:rFonts w:ascii="Times New Roman" w:hAnsi="Times New Roman" w:cs="Times New Roman"/>
        </w:rPr>
        <w:t>, using framework</w:t>
      </w:r>
      <w:r>
        <w:rPr>
          <w:rFonts w:ascii="Times New Roman" w:hAnsi="Times New Roman" w:cs="Times New Roman"/>
        </w:rPr>
        <w:t xml:space="preserve"> of </w:t>
      </w:r>
      <w:r w:rsidRPr="002043A0">
        <w:rPr>
          <w:rFonts w:ascii="Times New Roman" w:hAnsi="Times New Roman" w:cs="Times New Roman"/>
        </w:rPr>
        <w:t xml:space="preserve">the Unified Theory of Acceptance and Use of Technology (UTAUT). </w:t>
      </w:r>
    </w:p>
    <w:p w14:paraId="4408464A" w14:textId="0F813720" w:rsid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t>The Unified Theory of Acceptance and Use of Technology (UTAUT), developed by Venkatesh et al. in 2003, explains technology acceptance in organizational settings. It consists of four key constructs:</w:t>
      </w:r>
      <w:r>
        <w:rPr>
          <w:rFonts w:ascii="Times New Roman" w:hAnsi="Times New Roman" w:cs="Times New Roman"/>
        </w:rPr>
        <w:t xml:space="preserve"> </w:t>
      </w:r>
      <w:r w:rsidRPr="002043A0">
        <w:rPr>
          <w:rFonts w:ascii="Times New Roman" w:hAnsi="Times New Roman" w:cs="Times New Roman"/>
        </w:rPr>
        <w:t>Performance Expectancy</w:t>
      </w:r>
      <w:r>
        <w:rPr>
          <w:rFonts w:ascii="Times New Roman" w:hAnsi="Times New Roman" w:cs="Times New Roman"/>
        </w:rPr>
        <w:t xml:space="preserve">, </w:t>
      </w:r>
      <w:r w:rsidRPr="002043A0">
        <w:rPr>
          <w:rFonts w:ascii="Times New Roman" w:hAnsi="Times New Roman" w:cs="Times New Roman"/>
        </w:rPr>
        <w:t>Effort Expectancy</w:t>
      </w:r>
      <w:r>
        <w:rPr>
          <w:rFonts w:ascii="Times New Roman" w:hAnsi="Times New Roman" w:cs="Times New Roman"/>
        </w:rPr>
        <w:t xml:space="preserve">, </w:t>
      </w:r>
      <w:r w:rsidRPr="002043A0">
        <w:rPr>
          <w:rFonts w:ascii="Times New Roman" w:hAnsi="Times New Roman" w:cs="Times New Roman"/>
        </w:rPr>
        <w:t>Social Influence</w:t>
      </w:r>
      <w:r>
        <w:rPr>
          <w:rFonts w:ascii="Times New Roman" w:hAnsi="Times New Roman" w:cs="Times New Roman"/>
        </w:rPr>
        <w:t xml:space="preserve">, and </w:t>
      </w:r>
      <w:r w:rsidRPr="002043A0">
        <w:rPr>
          <w:rFonts w:ascii="Times New Roman" w:hAnsi="Times New Roman" w:cs="Times New Roman"/>
        </w:rPr>
        <w:t>Facilitating Conditions</w:t>
      </w:r>
      <w:r>
        <w:rPr>
          <w:rFonts w:ascii="Times New Roman" w:hAnsi="Times New Roman" w:cs="Times New Roman"/>
        </w:rPr>
        <w:t xml:space="preserve">.   </w:t>
      </w:r>
    </w:p>
    <w:p w14:paraId="782D7EC8" w14:textId="77777777" w:rsidR="002043A0" w:rsidRPr="00E013E5" w:rsidRDefault="002043A0" w:rsidP="002043A0">
      <w:pPr>
        <w:spacing w:line="360" w:lineRule="auto"/>
        <w:jc w:val="both"/>
        <w:rPr>
          <w:rFonts w:ascii="Times New Roman" w:hAnsi="Times New Roman" w:cs="Times New Roman"/>
        </w:rPr>
      </w:pPr>
      <w:r w:rsidRPr="00E013E5">
        <w:rPr>
          <w:rFonts w:ascii="Times New Roman" w:hAnsi="Times New Roman" w:cs="Times New Roman"/>
        </w:rPr>
        <w:fldChar w:fldCharType="begin"/>
      </w:r>
      <w:r w:rsidRPr="00E013E5">
        <w:rPr>
          <w:rFonts w:ascii="Times New Roman" w:hAnsi="Times New Roman" w:cs="Times New Roman"/>
        </w:rPr>
        <w:instrText xml:space="preserve"> INCLUDEPICTURE "/Users/yvonnelai/Library/Group Containers/UBF8T346G9.ms/WebArchiveCopyPasteTempFiles/com.microsoft.Word/497534_1_En_6_Fig1_HTML.jpg" \* MERGEFORMATINET </w:instrText>
      </w:r>
      <w:r w:rsidRPr="00E013E5">
        <w:rPr>
          <w:rFonts w:ascii="Times New Roman" w:hAnsi="Times New Roman" w:cs="Times New Roman"/>
        </w:rPr>
        <w:fldChar w:fldCharType="separate"/>
      </w:r>
      <w:r w:rsidRPr="00E013E5">
        <w:rPr>
          <w:rFonts w:ascii="Times New Roman" w:hAnsi="Times New Roman" w:cs="Times New Roman"/>
          <w:noProof/>
        </w:rPr>
        <w:drawing>
          <wp:inline distT="0" distB="0" distL="0" distR="0" wp14:anchorId="4FDBDE22" wp14:editId="40E5AAD9">
            <wp:extent cx="5943600" cy="3644265"/>
            <wp:effectExtent l="0" t="0" r="0" b="635"/>
            <wp:docPr id="1098796175"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1" descr="Fig.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44265"/>
                    </a:xfrm>
                    <a:prstGeom prst="rect">
                      <a:avLst/>
                    </a:prstGeom>
                    <a:noFill/>
                    <a:ln>
                      <a:noFill/>
                    </a:ln>
                  </pic:spPr>
                </pic:pic>
              </a:graphicData>
            </a:graphic>
          </wp:inline>
        </w:drawing>
      </w:r>
      <w:r w:rsidRPr="00E013E5">
        <w:rPr>
          <w:rFonts w:ascii="Times New Roman" w:hAnsi="Times New Roman" w:cs="Times New Roman"/>
        </w:rPr>
        <w:fldChar w:fldCharType="end"/>
      </w:r>
    </w:p>
    <w:p w14:paraId="414E6961" w14:textId="45D82145" w:rsidR="002043A0" w:rsidRPr="002043A0" w:rsidRDefault="002043A0" w:rsidP="002043A0">
      <w:pPr>
        <w:spacing w:line="360" w:lineRule="auto"/>
        <w:jc w:val="both"/>
        <w:rPr>
          <w:rFonts w:ascii="Times New Roman" w:hAnsi="Times New Roman" w:cs="Times New Roman"/>
        </w:rPr>
      </w:pPr>
      <w:r w:rsidRPr="00E013E5">
        <w:rPr>
          <w:rFonts w:ascii="Times New Roman" w:hAnsi="Times New Roman" w:cs="Times New Roman"/>
          <w:color w:val="1B1B1B"/>
          <w:shd w:val="clear" w:color="auto" w:fill="FFFCF0"/>
        </w:rPr>
        <w:lastRenderedPageBreak/>
        <w:t xml:space="preserve">Unified theory of acceptance and use of technology   </w:t>
      </w:r>
      <w:r w:rsidRPr="00E013E5">
        <w:rPr>
          <w:rFonts w:ascii="Times New Roman" w:hAnsi="Times New Roman" w:cs="Times New Roman"/>
          <w:color w:val="1B1B1B"/>
          <w:shd w:val="clear" w:color="auto" w:fill="FFFCF0"/>
        </w:rPr>
        <w:fldChar w:fldCharType="begin"/>
      </w:r>
      <w:r w:rsidRPr="00E013E5">
        <w:rPr>
          <w:rFonts w:ascii="Times New Roman" w:hAnsi="Times New Roman" w:cs="Times New Roman"/>
          <w:color w:val="1B1B1B"/>
          <w:shd w:val="clear" w:color="auto" w:fill="FFFCF0"/>
        </w:rPr>
        <w:instrText xml:space="preserve"> ADDIN ZOTERO_TEMP </w:instrText>
      </w:r>
      <w:r w:rsidRPr="00E013E5">
        <w:rPr>
          <w:rFonts w:ascii="Times New Roman" w:hAnsi="Times New Roman" w:cs="Times New Roman"/>
          <w:color w:val="1B1B1B"/>
          <w:shd w:val="clear" w:color="auto" w:fill="FFFCF0"/>
        </w:rPr>
        <w:fldChar w:fldCharType="separate"/>
      </w:r>
      <w:r w:rsidRPr="00E013E5">
        <w:rPr>
          <w:rFonts w:ascii="Times New Roman" w:hAnsi="Times New Roman" w:cs="Times New Roman"/>
          <w:noProof/>
          <w:color w:val="1B1B1B"/>
          <w:shd w:val="clear" w:color="auto" w:fill="FFFCF0"/>
        </w:rPr>
        <w:t>(Vanketesh et al. (2003) }</w:t>
      </w:r>
      <w:r w:rsidRPr="00E013E5">
        <w:rPr>
          <w:rFonts w:ascii="Times New Roman" w:hAnsi="Times New Roman" w:cs="Times New Roman"/>
          <w:color w:val="1B1B1B"/>
          <w:shd w:val="clear" w:color="auto" w:fill="FFFCF0"/>
        </w:rPr>
        <w:fldChar w:fldCharType="end"/>
      </w:r>
    </w:p>
    <w:p w14:paraId="5DBA237B" w14:textId="47B3FFD8" w:rsid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t>These factors</w:t>
      </w:r>
      <w:r>
        <w:rPr>
          <w:rFonts w:ascii="Times New Roman" w:hAnsi="Times New Roman" w:cs="Times New Roman"/>
        </w:rPr>
        <w:t xml:space="preserve"> together</w:t>
      </w:r>
      <w:r w:rsidRPr="002043A0">
        <w:rPr>
          <w:rFonts w:ascii="Times New Roman" w:hAnsi="Times New Roman" w:cs="Times New Roman"/>
        </w:rPr>
        <w:t xml:space="preserve"> with moderators like age, gender, and experience affect their behavioral intention and actual use.</w:t>
      </w:r>
    </w:p>
    <w:p w14:paraId="6C673A45" w14:textId="77777777" w:rsidR="00D61FD1" w:rsidRDefault="00D61FD1" w:rsidP="002043A0">
      <w:pPr>
        <w:spacing w:line="360" w:lineRule="auto"/>
        <w:jc w:val="both"/>
        <w:rPr>
          <w:rFonts w:ascii="Times New Roman" w:hAnsi="Times New Roman" w:cs="Times New Roman"/>
        </w:rPr>
      </w:pPr>
    </w:p>
    <w:p w14:paraId="0344163D" w14:textId="77777777" w:rsidR="00D61FD1" w:rsidRPr="00D61FD1" w:rsidRDefault="00D61FD1" w:rsidP="002043A0">
      <w:pPr>
        <w:spacing w:line="360" w:lineRule="auto"/>
        <w:jc w:val="both"/>
        <w:rPr>
          <w:rFonts w:ascii="Times New Roman" w:hAnsi="Times New Roman" w:cs="Times New Roman"/>
          <w:u w:val="single"/>
        </w:rPr>
      </w:pPr>
      <w:r w:rsidRPr="00D61FD1">
        <w:rPr>
          <w:rFonts w:ascii="Times New Roman" w:hAnsi="Times New Roman" w:cs="Times New Roman"/>
          <w:u w:val="single"/>
        </w:rPr>
        <w:t>Research purpose</w:t>
      </w:r>
    </w:p>
    <w:p w14:paraId="7E92A817" w14:textId="333494FA" w:rsidR="00FE3DAF" w:rsidRDefault="00FE3DAF" w:rsidP="002043A0">
      <w:pPr>
        <w:spacing w:line="360" w:lineRule="auto"/>
        <w:jc w:val="both"/>
        <w:rPr>
          <w:rFonts w:ascii="Times New Roman" w:hAnsi="Times New Roman" w:cs="Times New Roman"/>
        </w:rPr>
      </w:pPr>
      <w:r w:rsidRPr="00FE3DAF">
        <w:rPr>
          <w:rFonts w:ascii="Times New Roman" w:hAnsi="Times New Roman" w:cs="Times New Roman"/>
        </w:rPr>
        <w:t>The purpose of this research is to understand patient engagement and satisfaction with digital health solutions</w:t>
      </w:r>
      <w:r>
        <w:rPr>
          <w:rFonts w:ascii="Times New Roman" w:hAnsi="Times New Roman" w:cs="Times New Roman"/>
        </w:rPr>
        <w:t xml:space="preserve"> incorporated in a geriatric day care telerehabilitation model.  </w:t>
      </w:r>
      <w:r w:rsidRPr="00FE3DAF">
        <w:rPr>
          <w:rFonts w:ascii="Times New Roman" w:hAnsi="Times New Roman" w:cs="Times New Roman"/>
        </w:rPr>
        <w:t>By examining factors influencing acceptance and use, the study aims to</w:t>
      </w:r>
      <w:r>
        <w:rPr>
          <w:rFonts w:ascii="Times New Roman" w:hAnsi="Times New Roman" w:cs="Times New Roman"/>
        </w:rPr>
        <w:t xml:space="preserve"> understand the determining parameters which affect user behavioral intention and user behavior which in return </w:t>
      </w:r>
      <w:r w:rsidRPr="00FE3DAF">
        <w:rPr>
          <w:rFonts w:ascii="Times New Roman" w:hAnsi="Times New Roman" w:cs="Times New Roman"/>
        </w:rPr>
        <w:t>provide insights into improving the effectiveness of telerehabilitation services and overall patient satisfaction within healthcare delivery. Specifically, the objective is to investigate patient engagement and satisfaction with a game-based telerehabilitation program implemented at Pok Oi Hospital in Hong Kong, utilizing the Unified Theory of Acceptance and Use of Technology. This research will assess how this innovative approach impacts patient experiences and outcomes.</w:t>
      </w:r>
    </w:p>
    <w:p w14:paraId="18668B19" w14:textId="77777777" w:rsidR="00FE3DAF" w:rsidRDefault="00FE3DAF" w:rsidP="002043A0">
      <w:pPr>
        <w:spacing w:line="360" w:lineRule="auto"/>
        <w:jc w:val="both"/>
        <w:rPr>
          <w:rFonts w:ascii="Times New Roman" w:hAnsi="Times New Roman" w:cs="Times New Roman"/>
          <w:u w:val="single"/>
        </w:rPr>
      </w:pPr>
    </w:p>
    <w:p w14:paraId="7F61D7C7" w14:textId="29937119" w:rsidR="002043A0" w:rsidRPr="00FE3DAF" w:rsidRDefault="00FE3DAF" w:rsidP="002043A0">
      <w:pPr>
        <w:spacing w:line="360" w:lineRule="auto"/>
        <w:jc w:val="both"/>
        <w:rPr>
          <w:rFonts w:ascii="Times New Roman" w:hAnsi="Times New Roman" w:cs="Times New Roman"/>
          <w:u w:val="single"/>
        </w:rPr>
      </w:pPr>
      <w:r w:rsidRPr="00FE3DAF">
        <w:rPr>
          <w:rFonts w:ascii="Times New Roman" w:hAnsi="Times New Roman" w:cs="Times New Roman"/>
          <w:u w:val="single"/>
        </w:rPr>
        <w:t>Research Plan</w:t>
      </w:r>
    </w:p>
    <w:p w14:paraId="32E9D442" w14:textId="5E4687C3" w:rsid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t>Pok Oi Hospital, established in 1919, is a key healthcare institution in Hong Kong, focusing on high-quality medical services, especially for the elderly. The hospital's Geriatric Day Care Service supports elderly patients through tailored rehabilitation programs that integrate medical care, therapy, and social support.</w:t>
      </w:r>
    </w:p>
    <w:p w14:paraId="181E75BE" w14:textId="77777777" w:rsidR="0065427D" w:rsidRPr="002043A0" w:rsidRDefault="0065427D" w:rsidP="002043A0">
      <w:pPr>
        <w:spacing w:line="360" w:lineRule="auto"/>
        <w:jc w:val="both"/>
        <w:rPr>
          <w:rFonts w:ascii="Times New Roman" w:hAnsi="Times New Roman" w:cs="Times New Roman"/>
        </w:rPr>
      </w:pPr>
    </w:p>
    <w:p w14:paraId="16428703" w14:textId="52D31A15" w:rsidR="002043A0" w:rsidRDefault="00FE3DAF" w:rsidP="002043A0">
      <w:pPr>
        <w:spacing w:line="360" w:lineRule="auto"/>
        <w:jc w:val="both"/>
        <w:rPr>
          <w:rFonts w:ascii="Times New Roman" w:hAnsi="Times New Roman" w:cs="Times New Roman"/>
        </w:rPr>
      </w:pPr>
      <w:r>
        <w:rPr>
          <w:rFonts w:ascii="Times New Roman" w:hAnsi="Times New Roman" w:cs="Times New Roman"/>
        </w:rPr>
        <w:t>In 2023</w:t>
      </w:r>
      <w:r w:rsidR="002043A0" w:rsidRPr="002043A0">
        <w:rPr>
          <w:rFonts w:ascii="Times New Roman" w:hAnsi="Times New Roman" w:cs="Times New Roman"/>
        </w:rPr>
        <w:t>, Pok Oi Hospital launched a smart geriatric day hospital project, supported by the Hong Kong Jockey Club. This initiative includes a video game-based telerehabilitation program that allows elderly patients to engage in self-directed care at home, promoting independence while reducing hospital visits. The program has increased patient capacity from 520 to 650 annually.</w:t>
      </w:r>
    </w:p>
    <w:p w14:paraId="4E382A0A" w14:textId="77777777" w:rsidR="0065427D" w:rsidRPr="002043A0" w:rsidRDefault="0065427D" w:rsidP="002043A0">
      <w:pPr>
        <w:spacing w:line="360" w:lineRule="auto"/>
        <w:jc w:val="both"/>
        <w:rPr>
          <w:rFonts w:ascii="Times New Roman" w:hAnsi="Times New Roman" w:cs="Times New Roman"/>
        </w:rPr>
      </w:pPr>
    </w:p>
    <w:p w14:paraId="32D64076" w14:textId="094A5E39" w:rsid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lastRenderedPageBreak/>
        <w:t xml:space="preserve">The </w:t>
      </w:r>
      <w:r>
        <w:rPr>
          <w:rFonts w:ascii="Times New Roman" w:hAnsi="Times New Roman" w:cs="Times New Roman"/>
        </w:rPr>
        <w:t xml:space="preserve">12-month </w:t>
      </w:r>
      <w:r w:rsidRPr="002043A0">
        <w:rPr>
          <w:rFonts w:ascii="Times New Roman" w:hAnsi="Times New Roman" w:cs="Times New Roman"/>
        </w:rPr>
        <w:t>study involves semi-structured interviews with 30 patients undergoing an 8-week rehabilitation program, divided into 4 weeks of hospital-based treatment and 4 weeks of home-based telerehabilitation. Participants will be recruited voluntarily and will undergo an assessment of their motor skills by a licensed doctor, physiotherapist, or occupational therapist from the geriatric rehabilitation team.</w:t>
      </w:r>
      <w:r>
        <w:rPr>
          <w:rFonts w:ascii="Times New Roman" w:hAnsi="Times New Roman" w:cs="Times New Roman"/>
        </w:rPr>
        <w:t xml:space="preserve"> They</w:t>
      </w:r>
      <w:r w:rsidRPr="002043A0">
        <w:rPr>
          <w:rFonts w:ascii="Times New Roman" w:hAnsi="Times New Roman" w:cs="Times New Roman"/>
        </w:rPr>
        <w:t xml:space="preserve"> use a system comprising games, exercises, education, and telecommunication, with therapists delivering the setup at home. Patients receive ongoing support, including weekly video consultations and remote monitoring of their progress through motion sensors.</w:t>
      </w:r>
    </w:p>
    <w:p w14:paraId="4A1046D3" w14:textId="77777777" w:rsidR="0065427D" w:rsidRPr="002043A0" w:rsidRDefault="0065427D" w:rsidP="002043A0">
      <w:pPr>
        <w:spacing w:line="360" w:lineRule="auto"/>
        <w:jc w:val="both"/>
        <w:rPr>
          <w:rFonts w:ascii="Times New Roman" w:hAnsi="Times New Roman" w:cs="Times New Roman"/>
        </w:rPr>
      </w:pPr>
    </w:p>
    <w:p w14:paraId="1F3853A1" w14:textId="03AABDB0" w:rsidR="002043A0" w:rsidRDefault="002043A0" w:rsidP="002043A0">
      <w:pPr>
        <w:spacing w:line="360" w:lineRule="auto"/>
        <w:jc w:val="both"/>
        <w:rPr>
          <w:rFonts w:ascii="Times New Roman" w:hAnsi="Times New Roman" w:cs="Times New Roman"/>
        </w:rPr>
      </w:pPr>
      <w:r w:rsidRPr="002043A0">
        <w:rPr>
          <w:rFonts w:ascii="Times New Roman" w:hAnsi="Times New Roman" w:cs="Times New Roman"/>
        </w:rPr>
        <w:t>This combined approach aims to provide continuous care, improve access to rehabilitation services, and facilitate a smooth transition from hospital to home for patients requiring ongoing rehabilitation.</w:t>
      </w:r>
    </w:p>
    <w:p w14:paraId="77EE288E" w14:textId="77777777" w:rsidR="0065427D" w:rsidRDefault="0065427D" w:rsidP="002043A0">
      <w:pPr>
        <w:spacing w:line="360" w:lineRule="auto"/>
        <w:jc w:val="both"/>
        <w:rPr>
          <w:rFonts w:ascii="Times New Roman" w:hAnsi="Times New Roman" w:cs="Times New Roman"/>
        </w:rPr>
      </w:pPr>
    </w:p>
    <w:p w14:paraId="3F8FBEE7" w14:textId="37ED807A" w:rsidR="002043A0" w:rsidRDefault="002043A0" w:rsidP="002043A0">
      <w:pPr>
        <w:spacing w:line="360" w:lineRule="auto"/>
        <w:jc w:val="both"/>
        <w:rPr>
          <w:rFonts w:ascii="Times New Roman" w:hAnsi="Times New Roman" w:cs="Times New Roman"/>
        </w:rPr>
      </w:pPr>
      <w:r>
        <w:rPr>
          <w:rFonts w:ascii="Times New Roman" w:hAnsi="Times New Roman" w:cs="Times New Roman"/>
        </w:rPr>
        <w:t>Qualitative research will be conducted by interviewing 30 patients assessed with musculo-skeletal physiotherapy and occupational therapy needs</w:t>
      </w:r>
      <w:r w:rsidR="00FE3DAF">
        <w:rPr>
          <w:rFonts w:ascii="Times New Roman" w:hAnsi="Times New Roman" w:cs="Times New Roman"/>
        </w:rPr>
        <w:t xml:space="preserve">. </w:t>
      </w:r>
      <w:r w:rsidR="00FE3DAF" w:rsidRPr="00FE3DAF">
        <w:rPr>
          <w:rFonts w:ascii="Times New Roman" w:hAnsi="Times New Roman" w:cs="Times New Roman"/>
        </w:rPr>
        <w:t>A qualitative questionnaire will be developed to explore patients’ experiences with telerehabilitation, perceived benefits and challenges, factors influencing adoption decisions, cultural and social influences, and comparisons with traditional one-on-one rehabilitation methods in a hospital setting.</w:t>
      </w:r>
      <w:r>
        <w:rPr>
          <w:rFonts w:ascii="Times New Roman" w:hAnsi="Times New Roman" w:cs="Times New Roman"/>
        </w:rPr>
        <w:t xml:space="preserve"> on their perception on </w:t>
      </w:r>
      <w:r w:rsidRPr="002043A0">
        <w:rPr>
          <w:rFonts w:ascii="Times New Roman" w:hAnsi="Times New Roman" w:cs="Times New Roman"/>
        </w:rPr>
        <w:t>Performance Expectancy</w:t>
      </w:r>
      <w:r>
        <w:rPr>
          <w:rFonts w:ascii="Times New Roman" w:hAnsi="Times New Roman" w:cs="Times New Roman"/>
        </w:rPr>
        <w:t xml:space="preserve">, </w:t>
      </w:r>
      <w:r w:rsidRPr="002043A0">
        <w:rPr>
          <w:rFonts w:ascii="Times New Roman" w:hAnsi="Times New Roman" w:cs="Times New Roman"/>
        </w:rPr>
        <w:t>Effort Expectancy</w:t>
      </w:r>
      <w:r>
        <w:rPr>
          <w:rFonts w:ascii="Times New Roman" w:hAnsi="Times New Roman" w:cs="Times New Roman"/>
        </w:rPr>
        <w:t xml:space="preserve">, </w:t>
      </w:r>
      <w:r w:rsidRPr="002043A0">
        <w:rPr>
          <w:rFonts w:ascii="Times New Roman" w:hAnsi="Times New Roman" w:cs="Times New Roman"/>
        </w:rPr>
        <w:t>Social Influence</w:t>
      </w:r>
      <w:r>
        <w:rPr>
          <w:rFonts w:ascii="Times New Roman" w:hAnsi="Times New Roman" w:cs="Times New Roman"/>
        </w:rPr>
        <w:t xml:space="preserve">, and </w:t>
      </w:r>
      <w:r w:rsidRPr="002043A0">
        <w:rPr>
          <w:rFonts w:ascii="Times New Roman" w:hAnsi="Times New Roman" w:cs="Times New Roman"/>
        </w:rPr>
        <w:t>Facilitating Conditions</w:t>
      </w:r>
      <w:r w:rsidR="0065427D">
        <w:rPr>
          <w:rFonts w:ascii="Times New Roman" w:hAnsi="Times New Roman" w:cs="Times New Roman"/>
        </w:rPr>
        <w:t>, the attributes recognized in UTAUT</w:t>
      </w:r>
      <w:r>
        <w:rPr>
          <w:rFonts w:ascii="Times New Roman" w:hAnsi="Times New Roman" w:cs="Times New Roman"/>
        </w:rPr>
        <w:t xml:space="preserve">. </w:t>
      </w:r>
      <w:r>
        <w:rPr>
          <w:rFonts w:ascii="Times New Roman" w:hAnsi="Times New Roman" w:cs="Times New Roman"/>
        </w:rPr>
        <w:t xml:space="preserve"> </w:t>
      </w:r>
      <w:r w:rsidR="0065427D">
        <w:rPr>
          <w:rFonts w:ascii="Times New Roman" w:hAnsi="Times New Roman" w:cs="Times New Roman"/>
        </w:rPr>
        <w:t>Moderating d</w:t>
      </w:r>
      <w:r w:rsidR="00FE3DAF">
        <w:rPr>
          <w:rFonts w:ascii="Times New Roman" w:hAnsi="Times New Roman" w:cs="Times New Roman"/>
        </w:rPr>
        <w:t xml:space="preserve">emographic data such as age, gender, education will be obtained in due course.  </w:t>
      </w:r>
    </w:p>
    <w:p w14:paraId="4635E16B" w14:textId="77777777" w:rsidR="002043A0" w:rsidRDefault="002043A0" w:rsidP="002043A0">
      <w:pPr>
        <w:spacing w:line="360" w:lineRule="auto"/>
        <w:jc w:val="both"/>
        <w:rPr>
          <w:rFonts w:ascii="Times New Roman" w:hAnsi="Times New Roman" w:cs="Times New Roman"/>
        </w:rPr>
      </w:pPr>
    </w:p>
    <w:p w14:paraId="2C56E0AA" w14:textId="2AE6DE72" w:rsidR="002043A0" w:rsidRPr="002043A0" w:rsidRDefault="002043A0" w:rsidP="002043A0">
      <w:pPr>
        <w:spacing w:line="360" w:lineRule="auto"/>
        <w:jc w:val="both"/>
        <w:rPr>
          <w:rFonts w:ascii="Times New Roman" w:hAnsi="Times New Roman" w:cs="Times New Roman"/>
          <w:b/>
          <w:bCs/>
        </w:rPr>
      </w:pPr>
      <w:r w:rsidRPr="002043A0">
        <w:rPr>
          <w:rFonts w:ascii="Times New Roman" w:hAnsi="Times New Roman" w:cs="Times New Roman"/>
          <w:b/>
          <w:bCs/>
        </w:rPr>
        <w:t>Evaluatio</w:t>
      </w:r>
      <w:r>
        <w:rPr>
          <w:rFonts w:ascii="Times New Roman" w:hAnsi="Times New Roman" w:cs="Times New Roman"/>
          <w:b/>
          <w:bCs/>
        </w:rPr>
        <w:t>n</w:t>
      </w:r>
      <w:r w:rsidRPr="002043A0">
        <w:rPr>
          <w:rFonts w:ascii="Times New Roman" w:hAnsi="Times New Roman" w:cs="Times New Roman"/>
          <w:b/>
          <w:bCs/>
        </w:rPr>
        <w:t xml:space="preserve"> and Critique </w:t>
      </w:r>
    </w:p>
    <w:p w14:paraId="32A659A6" w14:textId="77777777" w:rsidR="00D61FD1" w:rsidRDefault="00D61FD1" w:rsidP="00D61FD1">
      <w:pPr>
        <w:spacing w:line="360" w:lineRule="auto"/>
        <w:jc w:val="both"/>
        <w:rPr>
          <w:rFonts w:ascii="Times New Roman" w:hAnsi="Times New Roman" w:cs="Times New Roman"/>
        </w:rPr>
      </w:pPr>
    </w:p>
    <w:p w14:paraId="43474E3E" w14:textId="21917BF0"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Theoretical Framework</w:t>
      </w:r>
    </w:p>
    <w:p w14:paraId="7F8C5DB9" w14:textId="6A52335A"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The Unified Theory of Acceptance and Use of Technology (UTAUT)</w:t>
      </w:r>
      <w:r>
        <w:rPr>
          <w:rFonts w:ascii="Times New Roman" w:hAnsi="Times New Roman" w:cs="Times New Roman"/>
        </w:rPr>
        <w:t xml:space="preserve"> </w:t>
      </w:r>
      <w:r>
        <w:rPr>
          <w:rFonts w:ascii="Times New Roman" w:hAnsi="Times New Roman" w:cs="Times New Roman"/>
        </w:rPr>
        <w:fldChar w:fldCharType="begin"/>
      </w:r>
      <w:r w:rsidR="0065427D">
        <w:rPr>
          <w:rFonts w:ascii="Times New Roman" w:hAnsi="Times New Roman" w:cs="Times New Roman"/>
        </w:rPr>
        <w:instrText xml:space="preserve"> ADDIN ZOTERO_ITEM CSL_CITATION {"citationID":"wj0nvtV8","properties":{"formattedCitation":"(Venkatesh {\\i{}et al.}, 2003)","plainCitation":"(Venkatesh et al., 2003)","noteIndex":0},"citationItems":[{"id":107,"uris":["http://zotero.org/users/local/GVEXpyuZ/items/UV7EZ7TJ","http://zotero.org/users/local/GVEXpyuZ/items/XN8LGKIX"],"itemData":{"id":107,"type":"article-journal","abstract":"Information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 xml:space="preserve">(Venkatesh </w:t>
      </w:r>
      <w:r w:rsidRPr="00D61FD1">
        <w:rPr>
          <w:rFonts w:ascii="Times New Roman" w:hAnsi="Times New Roman" w:cs="Times New Roman"/>
          <w:i/>
          <w:iCs/>
          <w:kern w:val="0"/>
        </w:rPr>
        <w:t>et al.</w:t>
      </w:r>
      <w:r w:rsidRPr="00D61FD1">
        <w:rPr>
          <w:rFonts w:ascii="Times New Roman" w:hAnsi="Times New Roman" w:cs="Times New Roman"/>
          <w:kern w:val="0"/>
        </w:rPr>
        <w:t>, 2003)</w:t>
      </w:r>
      <w:r>
        <w:rPr>
          <w:rFonts w:ascii="Times New Roman" w:hAnsi="Times New Roman" w:cs="Times New Roman"/>
        </w:rPr>
        <w:fldChar w:fldCharType="end"/>
      </w:r>
      <w:r>
        <w:rPr>
          <w:rFonts w:ascii="Times New Roman" w:hAnsi="Times New Roman" w:cs="Times New Roman"/>
        </w:rPr>
        <w:t xml:space="preserve"> </w:t>
      </w:r>
      <w:r w:rsidRPr="00D61FD1">
        <w:rPr>
          <w:rFonts w:ascii="Times New Roman" w:hAnsi="Times New Roman" w:cs="Times New Roman"/>
        </w:rPr>
        <w:t xml:space="preserve">is a widely recognized framework for understanding user acceptance of technology, particularly in </w:t>
      </w:r>
      <w:r w:rsidRPr="00D61FD1">
        <w:rPr>
          <w:rFonts w:ascii="Times New Roman" w:hAnsi="Times New Roman" w:cs="Times New Roman"/>
        </w:rPr>
        <w:lastRenderedPageBreak/>
        <w:t>healthcare settings. Below are some strengths and weaknesses of UTAUT when applied in these contexts.</w:t>
      </w:r>
    </w:p>
    <w:p w14:paraId="46F47B84" w14:textId="77777777" w:rsidR="00D61FD1" w:rsidRPr="00D61FD1" w:rsidRDefault="00D61FD1" w:rsidP="00D61FD1">
      <w:pPr>
        <w:spacing w:line="360" w:lineRule="auto"/>
        <w:jc w:val="both"/>
        <w:rPr>
          <w:rFonts w:ascii="Times New Roman" w:hAnsi="Times New Roman" w:cs="Times New Roman"/>
        </w:rPr>
      </w:pPr>
    </w:p>
    <w:p w14:paraId="2C3353CA" w14:textId="77777777"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Strengths of UTAUT in Healthcare Settings</w:t>
      </w:r>
    </w:p>
    <w:p w14:paraId="4822483F" w14:textId="24064B08"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Comprehensive Framework: UTAUT integrates multiple theories and constructs, including Performance Expectancy, Effort Expectancy, Social Influence, and Facilitating Conditions. This comprehensive nature allows for a better understanding of the various factors influencing technology adoption in healthcare</w:t>
      </w:r>
      <w:r>
        <w:rPr>
          <w:rFonts w:ascii="Times New Roman" w:hAnsi="Times New Roman" w:cs="Times New Roman"/>
        </w:rPr>
        <w:t xml:space="preserve"> </w:t>
      </w:r>
      <w:r>
        <w:rPr>
          <w:rFonts w:ascii="Times New Roman" w:hAnsi="Times New Roman" w:cs="Times New Roman"/>
        </w:rPr>
        <w:fldChar w:fldCharType="begin"/>
      </w:r>
      <w:r w:rsidR="0065427D">
        <w:rPr>
          <w:rFonts w:ascii="Times New Roman" w:hAnsi="Times New Roman" w:cs="Times New Roman"/>
        </w:rPr>
        <w:instrText xml:space="preserve"> ADDIN ZOTERO_ITEM CSL_CITATION {"citationID":"qYRwGLE4","properties":{"formattedCitation":"(Venkatesh {\\i{}et al.}, 2003)","plainCitation":"(Venkatesh et al., 2003)","noteIndex":0},"citationItems":[{"id":107,"uris":["http://zotero.org/users/local/GVEXpyuZ/items/UV7EZ7TJ","http://zotero.org/users/local/GVEXpyuZ/items/XN8LGKIX"],"itemData":{"id":107,"type":"article-journal","abstract":"Information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 xml:space="preserve">(Venkatesh </w:t>
      </w:r>
      <w:r w:rsidRPr="00D61FD1">
        <w:rPr>
          <w:rFonts w:ascii="Times New Roman" w:hAnsi="Times New Roman" w:cs="Times New Roman"/>
          <w:i/>
          <w:iCs/>
          <w:kern w:val="0"/>
        </w:rPr>
        <w:t>et al.</w:t>
      </w:r>
      <w:r w:rsidRPr="00D61FD1">
        <w:rPr>
          <w:rFonts w:ascii="Times New Roman" w:hAnsi="Times New Roman" w:cs="Times New Roman"/>
          <w:kern w:val="0"/>
        </w:rPr>
        <w:t>, 2003)</w:t>
      </w:r>
      <w:r>
        <w:rPr>
          <w:rFonts w:ascii="Times New Roman" w:hAnsi="Times New Roman" w:cs="Times New Roman"/>
        </w:rPr>
        <w:fldChar w:fldCharType="end"/>
      </w:r>
      <w:r w:rsidRPr="00D61FD1">
        <w:rPr>
          <w:rFonts w:ascii="Times New Roman" w:hAnsi="Times New Roman" w:cs="Times New Roman"/>
        </w:rPr>
        <w:t>. By addressing multiple dimensions, UTAUT provides a holistic view of user acceptance, which is essential in the complex healthcare environment.</w:t>
      </w:r>
    </w:p>
    <w:p w14:paraId="663A66E3" w14:textId="77777777" w:rsidR="00D61FD1" w:rsidRPr="00D61FD1" w:rsidRDefault="00D61FD1" w:rsidP="00D61FD1">
      <w:pPr>
        <w:spacing w:line="360" w:lineRule="auto"/>
        <w:jc w:val="both"/>
        <w:rPr>
          <w:rFonts w:ascii="Times New Roman" w:hAnsi="Times New Roman" w:cs="Times New Roman"/>
        </w:rPr>
      </w:pPr>
    </w:p>
    <w:p w14:paraId="6989EFAC" w14:textId="16DEDE35"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Predictive Power: Numerous studies have demonstrated UTAUT's strong predictive power regarding technology acceptance and usage behavior. For instance, a meta-analysis</w:t>
      </w:r>
      <w:r>
        <w:rPr>
          <w:rFonts w:ascii="Times New Roman" w:hAnsi="Times New Roman" w:cs="Times New Roman"/>
        </w:rPr>
        <w:t xml:space="preserve"> </w:t>
      </w:r>
      <w:r>
        <w:rPr>
          <w:rFonts w:ascii="Times New Roman" w:hAnsi="Times New Roman" w:cs="Times New Roman"/>
        </w:rPr>
        <w:fldChar w:fldCharType="begin"/>
      </w:r>
      <w:r w:rsidR="0065427D">
        <w:rPr>
          <w:rFonts w:ascii="Times New Roman" w:hAnsi="Times New Roman" w:cs="Times New Roman"/>
        </w:rPr>
        <w:instrText xml:space="preserve"> ADDIN ZOTERO_ITEM CSL_CITATION {"citationID":"zYGq4lfO","properties":{"formattedCitation":"(Khechine, Lakhal and Ndjambou, 2016)","plainCitation":"(Khechine, Lakhal and Ndjambou, 2016)","noteIndex":0},"citationItems":[{"id":210,"uris":["http://zotero.org/users/local/GVEXpyuZ/items/Z3JYCHRN","http://zotero.org/users/local/GVEXpyuZ/items/K7W6RNVL"],"itemData":{"id":210,"type":"article-journal","abstract":"The unified theory of acceptance and use of technology (UTAUT) has been widely used to investigate factors influencing the adoption and use of information systems and technologies (IS/IT). However, studies using UTAUT are not conclusive in terms of statistical significance, direction, and magnitude. Through a meta-analysis of empirical studies on UTAUT from 2003 to 2013, we determine how parsimonious, accurate, and robust UTAUT is at predicting acceptance and use of technology. A meta-analysis of 74 publications reveals that performance expectancy, effort expectancy, and social influence explain IS/IT adoption, while behavioural intention is the most often measured dependent variable operationalized as a proxy for system use, supporting the strength of UTAUT as an explanatory model of IS/IT acceptance and use. Copyright © 2016 ASAC. Published by John Wiley &amp; Sons, Ltd.","container-title":"Canadian Journal of Administrative Sciences / Revue Canadienne des Sciences de l'Administration","DOI":"10.1002/cjas.1381","ISSN":"1936-4490","issue":"2","language":"fr","license":"Copyright © 2016 ASAC. Published by John Wiley &amp; Sons, Ltd.","note":"_eprint: https://onlinelibrary.wiley.com/doi/pdf/10.1002/cjas.1381","page":"138-152","source":"Wiley Online Library","title":"A meta-analysis of the UTAUT model: Eleven years later","title-short":"A meta-analysis of the UTAUT model","volume":"33","author":[{"family":"Khechine","given":"Hager"},{"family":"Lakhal","given":"Sawsen"},{"family":"Ndjambou","given":"Paterne"}],"issued":{"date-parts":[["2016"]]}}}],"schema":"https://github.com/citation-style-language/schema/raw/master/csl-citation.json"} </w:instrText>
      </w:r>
      <w:r>
        <w:rPr>
          <w:rFonts w:ascii="Times New Roman" w:hAnsi="Times New Roman" w:cs="Times New Roman"/>
        </w:rPr>
        <w:fldChar w:fldCharType="separate"/>
      </w:r>
      <w:r w:rsidR="0065427D">
        <w:rPr>
          <w:rFonts w:ascii="Times New Roman" w:hAnsi="Times New Roman" w:cs="Times New Roman"/>
          <w:noProof/>
        </w:rPr>
        <w:t>(Khechine, Lakhal and Ndjambou, 2016)</w:t>
      </w:r>
      <w:r>
        <w:rPr>
          <w:rFonts w:ascii="Times New Roman" w:hAnsi="Times New Roman" w:cs="Times New Roman"/>
        </w:rPr>
        <w:fldChar w:fldCharType="end"/>
      </w:r>
      <w:r>
        <w:rPr>
          <w:rFonts w:ascii="Times New Roman" w:hAnsi="Times New Roman" w:cs="Times New Roman"/>
        </w:rPr>
        <w:t xml:space="preserve"> </w:t>
      </w:r>
      <w:r w:rsidRPr="00D61FD1">
        <w:rPr>
          <w:rFonts w:ascii="Times New Roman" w:hAnsi="Times New Roman" w:cs="Times New Roman"/>
        </w:rPr>
        <w:t>found that UTAUT effectively predicts users' intentions to adopt health information technologies. This predictive capability is crucial for healthcare providers aiming to implement new technologies successfully.</w:t>
      </w:r>
    </w:p>
    <w:p w14:paraId="6BBC9830" w14:textId="77777777" w:rsidR="00D61FD1" w:rsidRPr="00D61FD1" w:rsidRDefault="00D61FD1" w:rsidP="00D61FD1">
      <w:pPr>
        <w:spacing w:line="360" w:lineRule="auto"/>
        <w:jc w:val="both"/>
        <w:rPr>
          <w:rFonts w:ascii="Times New Roman" w:hAnsi="Times New Roman" w:cs="Times New Roman"/>
        </w:rPr>
      </w:pPr>
    </w:p>
    <w:p w14:paraId="3D274932" w14:textId="4B9415D5"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Adaptability: UTAUT can be adapted to various healthcare technologies, including telemedicine, electronic health records, and mobile health applications. This adaptability enables researchers and practitioners to apply the model across different contexts and populations, making it a versatile tool for understanding technology acceptance</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{"citationID":"9f0uOejY","properties":{"formattedCitation":"(Ammenwerth Elske, 2019)","plainCitation":"(Ammenwerth Elske, 2019)","noteIndex":0},"citationItems":[{"id":213,"uris":["http://zotero.org/users/local/GVEXpyuZ/items/ZJEG2BY9"],"itemData":{"id":213,"type":"chapter","container-title":"Studies in Health Technology and Informatics","note":"DOI: 10.3233/SHTI190111","publisher":"IOS Press","source":"DOI.org (Crossref)","title":"Technology Acceptance Models in Health Informatics: TAM and UTAUT","title-short":"Technology Acceptance Models in Health Informatics","URL":"https://www.medra.org/servlet/aliasResolver?alias=iospressISBN&amp;isbn=978-1-61499-990-4&amp;spage=64&amp;doi=10.3233/SHTI190111","author":[{"literal":"Ammenwerth Elske"}],"accessed":{"date-parts":[["2025",4,13]]},"issued":{"date-parts":[["2019"]]}}}],"schema":"https://github.com/citation-style-language/schema/raw/master/csl-citation.json"}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(Ammenwerth Elske, 2019)</w:t>
      </w:r>
      <w:r>
        <w:rPr>
          <w:rFonts w:ascii="Times New Roman" w:hAnsi="Times New Roman" w:cs="Times New Roman"/>
        </w:rPr>
        <w:fldChar w:fldCharType="end"/>
      </w:r>
      <w:r w:rsidRPr="00D61FD1">
        <w:rPr>
          <w:rFonts w:ascii="Times New Roman" w:hAnsi="Times New Roman" w:cs="Times New Roman"/>
        </w:rPr>
        <w:t>.</w:t>
      </w:r>
    </w:p>
    <w:p w14:paraId="272FE240" w14:textId="77777777" w:rsidR="00D61FD1" w:rsidRPr="00D61FD1" w:rsidRDefault="00D61FD1" w:rsidP="00D61FD1">
      <w:pPr>
        <w:spacing w:line="360" w:lineRule="auto"/>
        <w:jc w:val="both"/>
        <w:rPr>
          <w:rFonts w:ascii="Times New Roman" w:hAnsi="Times New Roman" w:cs="Times New Roman"/>
        </w:rPr>
      </w:pPr>
    </w:p>
    <w:p w14:paraId="730777FB" w14:textId="3D5A3D45"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Focus on User-Centric Factors: UTAUT emphasizes user perceptions and experiences, which are critical in healthcare. Understanding factors such as perceived usefulness and ease of use helps healthcare organizations tailor their technology implementations to meet user needs, ultimately improving patient care </w:t>
      </w:r>
      <w:r>
        <w:rPr>
          <w:rFonts w:ascii="Times New Roman" w:hAnsi="Times New Roman" w:cs="Times New Roman"/>
        </w:rPr>
        <w:fldChar w:fldCharType="begin"/>
      </w:r>
      <w:r>
        <w:rPr>
          <w:rFonts w:ascii="Times New Roman" w:hAnsi="Times New Roman" w:cs="Times New Roman"/>
        </w:rPr>
        <w:instrText xml:space="preserve"> ADDIN ZOTERO_ITEM CSL_CITATION {"citationID":"VXgpnm0l","properties":{"formattedCitation":"(Zhang {\\i{}et al.}, 2023)","plainCitation":"(Zhang et al., 2023)","noteIndex":0},"citationItems":[{"id":214,"uris":["http://zotero.org/users/local/GVEXpyuZ/items/NEY8FHP4"],"itemData":{"id":214,"type":"article-journal","abstract":"Abstract\n            \n              Background\n              Online health communities (OHCs) provide platforms for patients to seek advice from physicians and receive professional suggestions online. It can improve the efficiency of patients’ diagnosis of simple diseases and alleviate hospital congestion. However, few empirical studies have comprehensively explored the factors influencing patients’ intention to use OHCs through objective data. This study aims to fill this gap by identifying key factors that influence patients’ acceptance of OHCs and proposing effective ways to promote the applications of OHCs in China.\n            \n            \n              Methods\n              Based on the Unified Theory of Acceptance and Usage of Technology (UTAUT), extended with additional constructs identified with patients’ information demands in OHCs, this study developed a research model and proposed nine hypotheses. An online survey involving 783 valid responses was conducted in China to collect data to validate the proposed model. Confirmatory factor analysis and partial least squares (PLS) path model were conducted for instrument validation and hypothesis testing.\n            \n            \n              Results\n              Price value, eHealth literacy, and performance expectancy are the most prominent constructs in the study context. Interestingly, relation quality was also found to have a significant positive relationship with behavioral intention.\n            \n            \n              Conclusions\n              Based on these findings, OHC operators need to create a user-friendly platform, improve information quality, set reasonable prices, and establish consummate security systems. Physicians and related organizations can raise awareness and assist patients in developing the skills to appropriately comprehend and utilize information in OHCs. This study contributes to both technology adoption theory and practice.","container-title":"BMC Health Services Research","DOI":"10.1186/s12913-023-09469-6","ISSN":"1472-6963","issue":"1","journalAbbreviation":"BMC Health Serv Res","language":"en","page":"524","source":"DOI.org (Crossref)","title":"What drives the adoption of online health communities? An empirical study from patient-centric perspective","title-short":"What drives the adoption of online health communities?","volume":"23","author":[{"family":"Zhang","given":"Qianyao"},{"family":"Zhang","given":"Runtong"},{"family":"Lu","given":"Xinyi"},{"family":"Zhang","given":"Xijing"}],"issued":{"date-parts":[["2023",5,23]]}}}],"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 xml:space="preserve">(Zhang </w:t>
      </w:r>
      <w:r w:rsidRPr="00D61FD1">
        <w:rPr>
          <w:rFonts w:ascii="Times New Roman" w:hAnsi="Times New Roman" w:cs="Times New Roman"/>
          <w:i/>
          <w:iCs/>
          <w:kern w:val="0"/>
        </w:rPr>
        <w:t>et al.</w:t>
      </w:r>
      <w:r w:rsidRPr="00D61FD1">
        <w:rPr>
          <w:rFonts w:ascii="Times New Roman" w:hAnsi="Times New Roman" w:cs="Times New Roman"/>
          <w:kern w:val="0"/>
        </w:rPr>
        <w:t>, 2023)</w:t>
      </w:r>
      <w:r>
        <w:rPr>
          <w:rFonts w:ascii="Times New Roman" w:hAnsi="Times New Roman" w:cs="Times New Roman"/>
        </w:rPr>
        <w:fldChar w:fldCharType="end"/>
      </w:r>
    </w:p>
    <w:p w14:paraId="0092C402" w14:textId="77777777" w:rsidR="00D61FD1" w:rsidRPr="00D61FD1" w:rsidRDefault="00D61FD1" w:rsidP="00D61FD1">
      <w:pPr>
        <w:spacing w:line="360" w:lineRule="auto"/>
        <w:jc w:val="both"/>
        <w:rPr>
          <w:rFonts w:ascii="Times New Roman" w:hAnsi="Times New Roman" w:cs="Times New Roman"/>
        </w:rPr>
      </w:pPr>
    </w:p>
    <w:p w14:paraId="197642E4" w14:textId="77777777"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lastRenderedPageBreak/>
        <w:t>Weaknesses of UTAUT in Healthcare Settings</w:t>
      </w:r>
    </w:p>
    <w:p w14:paraId="68F0E737" w14:textId="69927DF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Limited Consideration of External Factors: While UTAUT accounts for several internal factors influencing technology acceptance, it may overlook external factors such as organizational culture, regulatory policies, and economic constraints. These external influences can significantly impact technology adoption in healthcare settings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{"citationID":"nAtS4gQk","properties":{"formattedCitation":"(Rogers, 1983)","plainCitation":"(Rogers, 1983)","noteIndex":0},"citationItems":[{"id":217,"uris":["http://zotero.org/users/local/GVEXpyuZ/items/ZB8DURGI"],"itemData":{"id":217,"type":"book","call-number":"HM101 .R57 1983","edition":"3rd ed","event-place":"New York : London","ISBN":"978-0-02-926650-2","language":"en","number-of-pages":"453","publisher":"Free Press ; Collier Macmillan","publisher-place":"New York : London","source":"Library of Congress ISBN","title":"Diffusion of innovations","author":[{"family":"Rogers","given":"Everett M."}],"issued":{"date-parts":[["1983"]]}}}],"schema":"https://github.com/citation-style-language/schema/raw/master/csl-citation.json"}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(Rogers, 1983)</w:t>
      </w:r>
      <w:r>
        <w:rPr>
          <w:rFonts w:ascii="Times New Roman" w:hAnsi="Times New Roman" w:cs="Times New Roman"/>
        </w:rPr>
        <w:fldChar w:fldCharType="end"/>
      </w:r>
      <w:r w:rsidRPr="00D61FD1">
        <w:rPr>
          <w:rFonts w:ascii="Times New Roman" w:hAnsi="Times New Roman" w:cs="Times New Roman"/>
        </w:rPr>
        <w:t>. A more integrated approach that considers both internal and external factors could enhance the model's applicability.</w:t>
      </w:r>
      <w:r>
        <w:rPr>
          <w:rFonts w:ascii="Times New Roman" w:hAnsi="Times New Roman" w:cs="Times New Roman"/>
        </w:rPr>
        <w:t xml:space="preserve"> </w:t>
      </w:r>
      <w:r w:rsidRPr="00D61FD1">
        <w:rPr>
          <w:rFonts w:ascii="Times New Roman" w:hAnsi="Times New Roman" w:cs="Times New Roman"/>
        </w:rPr>
        <w:t>The impact of moderators like age, gender, and experience can vary across studies, leading to inconsistent results.</w:t>
      </w:r>
      <w:r>
        <w:rPr>
          <w:rFonts w:ascii="Times New Roman" w:hAnsi="Times New Roman" w:cs="Times New Roman"/>
        </w:rPr>
        <w:t xml:space="preserve"> </w:t>
      </w:r>
      <w:r w:rsidRPr="00D61FD1">
        <w:rPr>
          <w:rFonts w:ascii="Times New Roman" w:hAnsi="Times New Roman" w:cs="Times New Roman"/>
        </w:rPr>
        <w:t>The extension to UTAUT2 incorporates additional constructs such as hedonic motivation, price value, and habit, making it more suitable for consumer technology adoption studies.</w:t>
      </w:r>
      <w:r>
        <w:rPr>
          <w:rFonts w:ascii="Times New Roman" w:hAnsi="Times New Roman" w:cs="Times New Roman"/>
        </w:rPr>
        <w:t xml:space="preserve"> </w:t>
      </w:r>
    </w:p>
    <w:p w14:paraId="7CE30BC5" w14:textId="77777777" w:rsidR="00D61FD1" w:rsidRPr="00D61FD1" w:rsidRDefault="00D61FD1" w:rsidP="00D61FD1">
      <w:pPr>
        <w:spacing w:line="360" w:lineRule="auto"/>
        <w:jc w:val="both"/>
        <w:rPr>
          <w:rFonts w:ascii="Times New Roman" w:hAnsi="Times New Roman" w:cs="Times New Roman"/>
        </w:rPr>
      </w:pPr>
    </w:p>
    <w:p w14:paraId="2D47848C" w14:textId="6B7AD8DA"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Static Nature: UTAUT is often criticized for its static nature, as it primarily focuses on the initial adoption of technology rather than the ongoing use and long-term engagement of users. In healthcare, where continuous engagement with technology is essential for effective patient care, this limitation may hinder a comprehensive understanding of user behavior over time</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{"citationID":"I7kf6CqI","properties":{"formattedCitation":"(Wu {\\i{}et al.}, 2022)","plainCitation":"(Wu et al., 2022)","noteIndex":0},"citationItems":[{"id":247,"uris":["http://zotero.org/users/local/GVEXpyuZ/items/5IRNLWCK"],"itemData":{"id":247,"type":"article-journal","abstract":"(1) Background: As people pay more attention to health, mobile health applications (mHealth apps) are becoming popular. These apps offer health services that run on mobile devices to help improve users’ health behaviors. However, few studies explore what motivates users to continue to use these apps. This study proposes antecedents influencing users’ electronic satisfaction (e-satisfaction) and their continued behaviors of using mHealth apps. Based on the extended Unified Theory of Acceptance and Use of Technology (UTAUT2), this study constructs a research model including perceived reliability and online review to predict the continued usage behavior on mHealth apps in China; (2) Methods: We conduct an online survey to collect data from participants who have used mHealth apps. This study receives 327 valid responses and tests the research model using the partial least squares structural equation model approach; (3) Results: Our results find that antecedents positively affect continued usage intention through the mediation role of e-satisfaction with mHealth apps. Interestingly, this study reveals that habit positively affects the continued usage behavior and moderates the effect of e-satisfaction and continued intention of using mHealth apps; (4) Conclusions: This study presents theoretical implications on the extended UTAUT2 and provides practical implications understanding of managing mHealth apps in China.","container-title":"Healthcare","DOI":"10.3390/healthcare10020208","ISSN":"2227-9032","issue":"2","language":"en","license":"http://creativecommons.org/licenses/by/3.0/","note":"number: 2\npublisher: Multidisciplinary Digital Publishing Institute","page":"208","source":"www.mdpi.com","title":"Factors Influencing Continued Usage Behavior on Mobile Health Applications","volume":"10","author":[{"family":"Wu","given":"Pei"},{"family":"Zhang","given":"Runtong"},{"family":"Zhu","given":"Xiaomin"},{"family":"Liu","given":"Manlu"}],"issued":{"date-parts":[["2022",2]]}}}],"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 xml:space="preserve">(Wu </w:t>
      </w:r>
      <w:r w:rsidRPr="00D61FD1">
        <w:rPr>
          <w:rFonts w:ascii="Times New Roman" w:hAnsi="Times New Roman" w:cs="Times New Roman"/>
          <w:i/>
          <w:iCs/>
          <w:kern w:val="0"/>
        </w:rPr>
        <w:t>et al.</w:t>
      </w:r>
      <w:r w:rsidRPr="00D61FD1">
        <w:rPr>
          <w:rFonts w:ascii="Times New Roman" w:hAnsi="Times New Roman" w:cs="Times New Roman"/>
          <w:kern w:val="0"/>
        </w:rPr>
        <w:t>, 2022)</w:t>
      </w:r>
      <w:r>
        <w:rPr>
          <w:rFonts w:ascii="Times New Roman" w:hAnsi="Times New Roman" w:cs="Times New Roman"/>
        </w:rPr>
        <w:fldChar w:fldCharType="end"/>
      </w:r>
      <w:r w:rsidRPr="00D61FD1">
        <w:rPr>
          <w:rFonts w:ascii="Times New Roman" w:hAnsi="Times New Roman" w:cs="Times New Roman"/>
        </w:rPr>
        <w:t>.</w:t>
      </w:r>
    </w:p>
    <w:p w14:paraId="2BB4ABA1" w14:textId="77777777" w:rsidR="00D61FD1" w:rsidRPr="00D61FD1" w:rsidRDefault="00D61FD1" w:rsidP="00D61FD1">
      <w:pPr>
        <w:spacing w:line="360" w:lineRule="auto"/>
        <w:jc w:val="both"/>
        <w:rPr>
          <w:rFonts w:ascii="Times New Roman" w:hAnsi="Times New Roman" w:cs="Times New Roman"/>
        </w:rPr>
      </w:pPr>
    </w:p>
    <w:p w14:paraId="4D28FEE1" w14:textId="22032DD9" w:rsid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Cultural Differences: The applicability of UTAUT may vary across different cultural contexts. Factors influencing technology acceptance can differ significantly based on cultural norms and values, which UTAUT does not fully address. This limitation can affect the generalizability of findings across diverse populations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{"citationID":"HLPojvtx","properties":{"formattedCitation":"(Huang, Choi and Chengalur-Smith, 2010)","plainCitation":"(Huang, Choi and Chengalur-Smith, 2010)","noteIndex":0},"citationItems":[{"id":249,"uris":["http://zotero.org/users/local/GVEXpyuZ/items/DX4WZDTL"],"itemData":{"id":249,"type":"article-journal","container-title":"AMCIS 2010 Proceedings","source":"COinS","title":"Cultural Dimensions as Moderators of the UTAUT Model: a Research Proposal in a Healthcare Context","title-short":"Cultural Dimensions as Moderators of the UTAUT Model","URL":"https://aisel.aisnet.org/amcis2010/188","author":[{"family":"Huang","given":"Kuang-Yuan"},{"family":"Choi","given":"Namjoo"},{"family":"Chengalur-Smith","given":"Indushobha"}],"issued":{"date-parts":[["2010",8,1]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(Huang, Choi and Chengalur-Smith, 2010)</w:t>
      </w:r>
      <w:r>
        <w:rPr>
          <w:rFonts w:ascii="Times New Roman" w:hAnsi="Times New Roman" w:cs="Times New Roman"/>
        </w:rPr>
        <w:fldChar w:fldCharType="end"/>
      </w:r>
      <w:r w:rsidRPr="00D61FD1">
        <w:rPr>
          <w:rFonts w:ascii="Times New Roman" w:hAnsi="Times New Roman" w:cs="Times New Roman"/>
        </w:rPr>
        <w:t>.</w:t>
      </w:r>
    </w:p>
    <w:p w14:paraId="38C6CAD7" w14:textId="77777777" w:rsidR="00D61FD1" w:rsidRPr="00D61FD1" w:rsidRDefault="00D61FD1" w:rsidP="00D61FD1">
      <w:pPr>
        <w:spacing w:line="360" w:lineRule="auto"/>
        <w:jc w:val="both"/>
        <w:rPr>
          <w:rFonts w:ascii="Times New Roman" w:hAnsi="Times New Roman" w:cs="Times New Roman"/>
        </w:rPr>
      </w:pPr>
    </w:p>
    <w:p w14:paraId="3D60706C" w14:textId="51EFA909"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Overemphasis on Individual Factors: UTAUT tends to focus heavily on individual user characteristics, potentially neglecting the role of group dynamics and social networks in technology adoption. In healthcare settings, where team-based care is common, understanding how social networks influence technology acceptance could provide valuable insight</w:t>
      </w:r>
      <w:r>
        <w:rPr>
          <w:rFonts w:ascii="Times New Roman" w:hAnsi="Times New Roman" w:cs="Times New Roman"/>
        </w:rPr>
        <w:t xml:space="preserve">s </w:t>
      </w:r>
      <w:r>
        <w:rPr>
          <w:rFonts w:ascii="Times New Roman" w:hAnsi="Times New Roman" w:cs="Times New Roman"/>
        </w:rPr>
        <w:fldChar w:fldCharType="begin"/>
      </w:r>
      <w:r w:rsidR="0065427D">
        <w:rPr>
          <w:rFonts w:ascii="Times New Roman" w:hAnsi="Times New Roman" w:cs="Times New Roman"/>
        </w:rPr>
        <w:instrText xml:space="preserve"> ADDIN ZOTERO_ITEM CSL_CITATION {"citationID":"iFRgj6aX","properties":{"formattedCitation":"(Khechine, Lakhal and Ndjambou, 2016)","plainCitation":"(Khechine, Lakhal and Ndjambou, 2016)","noteIndex":0},"citationItems":[{"id":210,"uris":["http://zotero.org/users/local/GVEXpyuZ/items/Z3JYCHRN","http://zotero.org/users/local/GVEXpyuZ/items/K7W6RNVL"],"itemData":{"id":210,"type":"article-journal","abstract":"The unified theory of acceptance and use of technology (UTAUT) has been widely used to investigate factors influencing the adoption and use of information systems and technologies (IS/IT). However, studies using UTAUT are not conclusive in terms of statistical significance, direction, and magnitude. Through a meta-analysis of empirical studies on UTAUT from 2003 to 2013, we determine how parsimonious, accurate, and robust UTAUT is at predicting acceptance and use of technology. A meta-analysis of 74 publications reveals that performance expectancy, effort expectancy, and social influence explain IS/IT adoption, while behavioural intention is the most often measured dependent variable operationalized as a proxy for system use, supporting the strength of UTAUT as an explanatory model of IS/IT acceptance and use. Copyright © 2016 ASAC. Published by John Wiley &amp; Sons, Ltd.","container-title":"Canadian Journal of Administrative Sciences / Revue Canadienne des Sciences de l'Administration","DOI":"10.1002/cjas.1381","ISSN":"1936-4490","issue":"2","language":"fr","license":"Copyright © 2016 ASAC. Published by John Wiley &amp; Sons, Ltd.","note":"_eprint: https://onlinelibrary.wiley.com/doi/pdf/10.1002/cjas.1381","page":"138-152","source":"Wiley Online Library","title":"A meta-analysis of the UTAUT model: Eleven years later","title-short":"A meta-analysis of the UTAUT model","volume":"33","author":[{"family":"Khechine","given":"Hager"},{"family":"Lakhal","given":"Sawsen"},{"family":"Ndjambou","given":"Paterne"}],"issued":{"date-parts":[["2016"]]}}}],"schema":"https://github.com/citation-style-language/schema/raw/master/csl-citation.json"} </w:instrText>
      </w:r>
      <w:r>
        <w:rPr>
          <w:rFonts w:ascii="Times New Roman" w:hAnsi="Times New Roman" w:cs="Times New Roman"/>
        </w:rPr>
        <w:fldChar w:fldCharType="separate"/>
      </w:r>
      <w:r w:rsidR="0065427D">
        <w:rPr>
          <w:rFonts w:ascii="Times New Roman" w:hAnsi="Times New Roman" w:cs="Times New Roman"/>
          <w:noProof/>
        </w:rPr>
        <w:t>(Khechine, Lakhal and Ndjambou, 2016)</w:t>
      </w:r>
      <w:r>
        <w:rPr>
          <w:rFonts w:ascii="Times New Roman" w:hAnsi="Times New Roman" w:cs="Times New Roman"/>
        </w:rPr>
        <w:fldChar w:fldCharType="end"/>
      </w:r>
      <w:r>
        <w:rPr>
          <w:rFonts w:ascii="Times New Roman" w:hAnsi="Times New Roman" w:cs="Times New Roman"/>
        </w:rPr>
        <w:t xml:space="preserve">. </w:t>
      </w:r>
    </w:p>
    <w:p w14:paraId="24049B0F" w14:textId="77777777" w:rsidR="00D61FD1" w:rsidRDefault="00D61FD1" w:rsidP="00D61FD1">
      <w:pPr>
        <w:spacing w:line="360" w:lineRule="auto"/>
        <w:jc w:val="both"/>
        <w:rPr>
          <w:rFonts w:ascii="Times New Roman" w:hAnsi="Times New Roman" w:cs="Times New Roman"/>
        </w:rPr>
      </w:pPr>
    </w:p>
    <w:p w14:paraId="563585E4" w14:textId="431A5B71" w:rsidR="00D61FD1" w:rsidRPr="00D61FD1" w:rsidRDefault="00D61FD1" w:rsidP="00D61FD1">
      <w:pPr>
        <w:spacing w:line="360" w:lineRule="auto"/>
        <w:jc w:val="both"/>
        <w:rPr>
          <w:rFonts w:ascii="Times New Roman" w:hAnsi="Times New Roman" w:cs="Times New Roman"/>
        </w:rPr>
      </w:pPr>
      <w:r>
        <w:rPr>
          <w:rFonts w:ascii="Times New Roman" w:hAnsi="Times New Roman" w:cs="Times New Roman"/>
        </w:rPr>
        <w:lastRenderedPageBreak/>
        <w:t xml:space="preserve">It is observed that </w:t>
      </w:r>
      <w:r w:rsidRPr="00D61FD1">
        <w:rPr>
          <w:rFonts w:ascii="Times New Roman" w:hAnsi="Times New Roman" w:cs="Times New Roman"/>
        </w:rPr>
        <w:t>UTAUT offers a robust framework for understanding technology acceptance in healthcare settings, with strengths in its comprehensive nature, predictive power, and adaptability. However, its limitations, such as a lack of consideration for external factors, a static perspective, cultural variability, and an overemphasis on individual factors, suggest that it should be used in conjunction with other models and frameworks to gain a more nuanced understanding of technology adoption in healthcare.</w:t>
      </w:r>
      <w:r>
        <w:rPr>
          <w:rFonts w:ascii="Times New Roman" w:hAnsi="Times New Roman" w:cs="Times New Roman"/>
        </w:rPr>
        <w:t xml:space="preserve">  </w:t>
      </w:r>
      <w:r w:rsidRPr="00D61FD1">
        <w:rPr>
          <w:rFonts w:ascii="Times New Roman" w:hAnsi="Times New Roman" w:cs="Times New Roman"/>
        </w:rPr>
        <w:t>UTAUT2 extends the original model by incorporating three additional constructs: hedonic motivation, price value, and habit. This extension is designed to better explain technology adoption in consumer settings, providing a broader framework for understanding user behavior beyond organizational contexts.</w:t>
      </w:r>
    </w:p>
    <w:p w14:paraId="3117D5CC" w14:textId="5E5E57FD" w:rsidR="00D61FD1" w:rsidRPr="00D61FD1" w:rsidRDefault="00D61FD1" w:rsidP="00D61FD1">
      <w:pPr>
        <w:spacing w:line="360" w:lineRule="auto"/>
        <w:jc w:val="both"/>
        <w:rPr>
          <w:rFonts w:ascii="Times New Roman" w:hAnsi="Times New Roman" w:cs="Times New Roman"/>
        </w:rPr>
      </w:pPr>
    </w:p>
    <w:p w14:paraId="4CC21C33" w14:textId="00F1BA25" w:rsidR="00D61FD1" w:rsidRDefault="00D61FD1" w:rsidP="00D61FD1">
      <w:pPr>
        <w:spacing w:line="360" w:lineRule="auto"/>
        <w:jc w:val="both"/>
        <w:rPr>
          <w:rFonts w:ascii="Times New Roman" w:hAnsi="Times New Roman" w:cs="Times New Roman"/>
        </w:rPr>
      </w:pPr>
      <w:r>
        <w:rPr>
          <w:rFonts w:ascii="Times New Roman" w:hAnsi="Times New Roman" w:cs="Times New Roman"/>
        </w:rPr>
        <w:t>On the other hand, there are also other a</w:t>
      </w:r>
      <w:r w:rsidRPr="00D61FD1">
        <w:rPr>
          <w:rFonts w:ascii="Times New Roman" w:hAnsi="Times New Roman" w:cs="Times New Roman"/>
        </w:rPr>
        <w:t xml:space="preserve">lternative </w:t>
      </w:r>
      <w:r>
        <w:rPr>
          <w:rFonts w:ascii="Times New Roman" w:hAnsi="Times New Roman" w:cs="Times New Roman"/>
        </w:rPr>
        <w:t>t</w:t>
      </w:r>
      <w:r w:rsidRPr="00D61FD1">
        <w:rPr>
          <w:rFonts w:ascii="Times New Roman" w:hAnsi="Times New Roman" w:cs="Times New Roman"/>
        </w:rPr>
        <w:t xml:space="preserve">heory </w:t>
      </w:r>
      <w:r>
        <w:rPr>
          <w:rFonts w:ascii="Times New Roman" w:hAnsi="Times New Roman" w:cs="Times New Roman"/>
        </w:rPr>
        <w:t>f</w:t>
      </w:r>
      <w:r w:rsidRPr="00D61FD1">
        <w:rPr>
          <w:rFonts w:ascii="Times New Roman" w:hAnsi="Times New Roman" w:cs="Times New Roman"/>
        </w:rPr>
        <w:t xml:space="preserve">rameworks for </w:t>
      </w:r>
      <w:r>
        <w:rPr>
          <w:rFonts w:ascii="Times New Roman" w:hAnsi="Times New Roman" w:cs="Times New Roman"/>
        </w:rPr>
        <w:t>t</w:t>
      </w:r>
      <w:r w:rsidRPr="00D61FD1">
        <w:rPr>
          <w:rFonts w:ascii="Times New Roman" w:hAnsi="Times New Roman" w:cs="Times New Roman"/>
        </w:rPr>
        <w:t xml:space="preserve">echnology </w:t>
      </w:r>
      <w:r>
        <w:rPr>
          <w:rFonts w:ascii="Times New Roman" w:hAnsi="Times New Roman" w:cs="Times New Roman"/>
        </w:rPr>
        <w:t>a</w:t>
      </w:r>
      <w:r w:rsidRPr="00D61FD1">
        <w:rPr>
          <w:rFonts w:ascii="Times New Roman" w:hAnsi="Times New Roman" w:cs="Times New Roman"/>
        </w:rPr>
        <w:t>doption</w:t>
      </w:r>
      <w:r>
        <w:rPr>
          <w:rFonts w:ascii="Times New Roman" w:hAnsi="Times New Roman" w:cs="Times New Roman"/>
        </w:rPr>
        <w:t xml:space="preserve"> which could be considered. </w:t>
      </w:r>
    </w:p>
    <w:p w14:paraId="39B76DE5" w14:textId="77777777" w:rsidR="00D61FD1" w:rsidRDefault="00D61FD1" w:rsidP="00D61FD1">
      <w:pPr>
        <w:spacing w:line="360" w:lineRule="auto"/>
        <w:jc w:val="both"/>
        <w:rPr>
          <w:rFonts w:ascii="Times New Roman" w:hAnsi="Times New Roman" w:cs="Times New Roman"/>
        </w:rPr>
      </w:pPr>
    </w:p>
    <w:p w14:paraId="6BB98F04" w14:textId="48B06EE9" w:rsidR="0065427D" w:rsidRPr="0065427D" w:rsidRDefault="0065427D"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Alternative Theoretical Frameworks</w:t>
      </w:r>
    </w:p>
    <w:p w14:paraId="4DC0A9C4"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1. Technology Acceptance Model (TAM)</w:t>
      </w:r>
    </w:p>
    <w:p w14:paraId="09AE32C4" w14:textId="78FC652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Technology Acceptance Model (TAM): The Technology Acceptance Model (TAM), introduced by Davis in 1989, posits that perceived usefulness (PU) and perceived ease of use (PEOU) are the primary determinants influencing users' acceptance and utilization of technology. TAM suggests that if users believe a technology enhances their performance and is easy to use, they are more likely to adopt it. This model has been widely utilized in various domains, including healthcare, to assess how patients and healthcare providers accept and engage with health information technologies </w:t>
      </w:r>
      <w:r>
        <w:rPr>
          <w:rFonts w:ascii="Times New Roman" w:hAnsi="Times New Roman" w:cs="Times New Roman"/>
        </w:rPr>
        <w:fldChar w:fldCharType="begin"/>
      </w:r>
      <w:r>
        <w:rPr>
          <w:rFonts w:ascii="Times New Roman" w:hAnsi="Times New Roman" w:cs="Times New Roman"/>
        </w:rPr>
        <w:instrText xml:space="preserve"> ADDIN ZOTERO_ITEM CSL_CITATION {"citationID":"EFOHGWxg","properties":{"formattedCitation":"(Davis, 1989)","plainCitation":"(Davis, 1989)","noteIndex":0},"citationItems":[{"id":231,"uris":["http://zotero.org/users/local/GVEXpyuZ/items/CMSYRB4E"],"itemData":{"id":231,"type":"article-journal","abstract":"Valid measurement scales for predicting user acceptance of computers are in short supply. Most subjective measures used in practice are unvalidated, and their relationship to system usage is unknown. The present research develops and validates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of.98 for usefulness and.94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 a parallel, direct determinant of system usage. Implications are drawn for future research on user acceptance.","container-title":"MIS Quarterly","DOI":"10.2307/249008","ISSN":"0276-7783","issue":"3","note":"publisher: Management Information Systems Research Center, University of Minnesota","page":"319-340","source":"JSTOR","title":"Perceived Usefulness, Perceived Ease of Use, and User Acceptance of Information Technology","volume":"13","author":[{"family":"Davis","given":"Fred D."}],"issued":{"date-parts":[["1989"]]}}}],"schema":"https://github.com/citation-style-language/schema/raw/master/csl-citation.json"}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(Davis, 1989)</w:t>
      </w:r>
      <w:r>
        <w:rPr>
          <w:rFonts w:ascii="Times New Roman" w:hAnsi="Times New Roman" w:cs="Times New Roman"/>
        </w:rPr>
        <w:fldChar w:fldCharType="end"/>
      </w:r>
      <w:r w:rsidRPr="00D61FD1">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{"citationID":"tvVtaUFl","properties":{"formattedCitation":"(Venkatesh and Bala, 2008)","plainCitation":"(Venkatesh and Bala, 2008)","noteIndex":0},"citationItems":[{"id":228,"uris":["http://zotero.org/users/local/GVEXpyuZ/items/I6N2D2SZ"],"itemData":{"id":228,"type":"article-journal","abstract":"Prior research has provided valuable insights into how and why employees make a decision about the adoption and use of information technologies (ITs) in the workplace. From an organizational point of view, however, the more important issue is how managers make informed decisions about interventions that can lead to greater acceptance and effective utilization of IT. There is limited research in the IT implementation literature that deals with the role of interventions to aid such managerial decision making. Particularly, there is a need to understand how various interventions can influence the known determinants of IT adoption and use. To address this gap in the literature, we draw from the vast body of research on the technology acceptance model (TAM), particularly the work on the determinants of perceived usefulness and perceived ease of use, and: (i) develop a comprehensive nomological network (integrated model) of the determinants of individual level (IT) adoption and use; (ii) empirically test the proposed integrated model; and (iii) present a research agenda focused on potential pre- and postimplementation interventions that can enhance employees' adoption and use of IT. Our findings and research agenda have important implications for managerial decision making on IT implementation in organizations.","container-title":"Decision Sciences","DOI":"10.1111/j.1540-5915.2008.00192.x","ISSN":"1540-5915","issue":"2","language":"en","license":"© 2008, The Author Journal compilation © 2008, Decision Sciences Institute","note":"_eprint: https://onlinelibrary.wiley.com/doi/pdf/10.1111/j.1540-5915.2008.00192.x","page":"273-315","source":"Wiley Online Library","title":"Technology Acceptance Model 3 and a Research Agenda on Interventions","volume":"39","author":[{"family":"Venkatesh","given":"Viswanath"},{"family":"Bala","given":"Hillol"}],"issued":{"date-parts":[["2008"]]}}}],"schema":"https://github.com/citation-style-language/schema/raw/master/csl-citation.json"}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(Venkatesh and Bala, 2008)</w:t>
      </w:r>
      <w:r>
        <w:rPr>
          <w:rFonts w:ascii="Times New Roman" w:hAnsi="Times New Roman" w:cs="Times New Roman"/>
        </w:rPr>
        <w:fldChar w:fldCharType="end"/>
      </w:r>
      <w:r w:rsidRPr="00D61FD1">
        <w:rPr>
          <w:rFonts w:ascii="Times New Roman" w:hAnsi="Times New Roman" w:cs="Times New Roman"/>
        </w:rPr>
        <w:t>.</w:t>
      </w:r>
    </w:p>
    <w:p w14:paraId="7ADE4092" w14:textId="77777777" w:rsidR="00D61FD1" w:rsidRPr="00D61FD1" w:rsidRDefault="00D61FD1" w:rsidP="00D61FD1">
      <w:pPr>
        <w:spacing w:line="360" w:lineRule="auto"/>
        <w:jc w:val="both"/>
        <w:rPr>
          <w:rFonts w:ascii="Times New Roman" w:hAnsi="Times New Roman" w:cs="Times New Roman"/>
        </w:rPr>
      </w:pPr>
    </w:p>
    <w:p w14:paraId="3B602A29" w14:textId="26A8DFBD"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Comparison of TAM and UTAUT: While TAM emphasizes the roles of PU and PEOU, the Unified Theory of Acceptance and Use of Technology (UTAUT) incorporates additional constructs, including social influence and facilitating conditions, providing a more nuanced understanding of technology adoption. In healthcare settings, UTAUT's broader framework captures the complexity of user behavior and intentions more effectively than TAM, which may oversimplify the factors </w:t>
      </w:r>
      <w:r w:rsidRPr="00D61FD1">
        <w:rPr>
          <w:rFonts w:ascii="Times New Roman" w:hAnsi="Times New Roman" w:cs="Times New Roman"/>
        </w:rPr>
        <w:lastRenderedPageBreak/>
        <w:t xml:space="preserve">influencing adoption </w:t>
      </w:r>
      <w:r>
        <w:rPr>
          <w:rFonts w:ascii="Times New Roman" w:hAnsi="Times New Roman" w:cs="Times New Roman"/>
        </w:rPr>
        <w:fldChar w:fldCharType="begin"/>
      </w:r>
      <w:r>
        <w:rPr>
          <w:rFonts w:ascii="Times New Roman" w:hAnsi="Times New Roman" w:cs="Times New Roman"/>
        </w:rPr>
        <w:instrText xml:space="preserve"> ADDIN ZOTERO_ITEM CSL_CITATION {"citationID":"Kwkl7s2g","properties":{"formattedCitation":"(Ammenwerth Elske, 2019)","plainCitation":"(Ammenwerth Elske, 2019)","noteIndex":0},"citationItems":[{"id":213,"uris":["http://zotero.org/users/local/GVEXpyuZ/items/ZJEG2BY9"],"itemData":{"id":213,"type":"chapter","container-title":"Studies in Health Technology and Informatics","note":"DOI: 10.3233/SHTI190111","publisher":"IOS Press","source":"DOI.org (Crossref)","title":"Technology Acceptance Models in Health Informatics: TAM and UTAUT","title-short":"Technology Acceptance Models in Health Informatics","URL":"https://www.medra.org/servlet/aliasResolver?alias=iospressISBN&amp;isbn=978-1-61499-990-4&amp;spage=64&amp;doi=10.3233/SHTI190111","author":[{"literal":"Ammenwerth Elske"}],"accessed":{"date-parts":[["2025",4,13]]},"issued":{"date-parts":[["2019"]]}}}],"schema":"https://github.com/citation-style-language/schema/raw/master/csl-citation.json"}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(Ammenwerth Elske, 2019)</w:t>
      </w:r>
      <w:r>
        <w:rPr>
          <w:rFonts w:ascii="Times New Roman" w:hAnsi="Times New Roman" w:cs="Times New Roman"/>
        </w:rPr>
        <w:fldChar w:fldCharType="end"/>
      </w:r>
      <w:r>
        <w:rPr>
          <w:rFonts w:ascii="Times New Roman" w:hAnsi="Times New Roman" w:cs="Times New Roman"/>
        </w:rPr>
        <w:t xml:space="preserve">. </w:t>
      </w:r>
      <w:r w:rsidRPr="00D61FD1">
        <w:rPr>
          <w:rFonts w:ascii="Times New Roman" w:hAnsi="Times New Roman" w:cs="Times New Roman"/>
        </w:rPr>
        <w:t>Thus, UTAUT is often preferred for its comprehensive approach in addressing diverse influences on technology acceptance in healthcare.</w:t>
      </w:r>
    </w:p>
    <w:p w14:paraId="733E29CD" w14:textId="77777777" w:rsidR="00D61FD1" w:rsidRPr="00D61FD1" w:rsidRDefault="00D61FD1" w:rsidP="00D61FD1">
      <w:pPr>
        <w:spacing w:line="360" w:lineRule="auto"/>
        <w:jc w:val="both"/>
        <w:rPr>
          <w:rFonts w:ascii="Times New Roman" w:hAnsi="Times New Roman" w:cs="Times New Roman"/>
        </w:rPr>
      </w:pPr>
    </w:p>
    <w:p w14:paraId="34E75C5C" w14:textId="06B7067E"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2. Theory of Planned Behavior (TPB)</w:t>
      </w:r>
    </w:p>
    <w:p w14:paraId="698424B4" w14:textId="3E41401E"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ab/>
        <w:t xml:space="preserve">Theory of Planned Behavior (TPB): The Theory of Planned Behavior (TPB), developed by Ajzen in 1991, posits that an individual's intention to engage in a behavior is influenced by three key factors: attitude toward the behavior, subjective norms, and perceived behavioral control. TPB suggests that if individuals have a positive attitude toward a behavior, believe that others support it, and feel they have the resources and opportunities to perform it, they are more likely to intend to engage in that behavior. This theory has been applied in various contexts, including healthcare, to understand patient and provider behaviors regarding health interventions </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{"citationID":"oK8CjNlh","properties":{"formattedCitation":"(Ajzen, 1991)","plainCitation":"(Ajzen, 1991)","noteIndex":0},"citationItems":[{"id":233,"uris":["http://zotero.org/users/local/GVEXpyuZ/items/W4FMJT6Z"],"itemData":{"id":233,"type":"article-journal","abstract":"Research dealing with various aspects of the theory of planned behavior (Ajzen, 1985, Ajzen, 1987) is reviewed, and some unresolved issues are discussed. In broad terms, the theory is found to be well supported by empirical evidence. Intentions to perform behaviors of different kinds can be predicted with high accuracy from attitudes toward the behavior, subjective norms, and perceived behavioral control; and these intentions, together with perceptions of behavioral control, account for considerable variance in actual behavior. Attitudes, subjective norms, and perceived behavioral control are shown to be related to appropriate sets of salient behavioral, normative, and control beliefs about the behavior, but the exact nature of these relations is still uncertain. Expectancy-value formulations are found to be only partly successful in dealing with these relations. Optimal rescaling of expectancy and value measures is offered as a means of dealing with measurement limitations. Finally, inclusion of past behavior in the prediction equation is shown to provide a means of testing the theory's sufficiency, another issue that remains unresolved. The limited available evidence concerning this question shows that the theory is predicting behavior quite well in comparison to the ceiling imposed by behavioral reliability.","collection-title":"Theories of Cognitive Self-Regulation","container-title":"Organizational Behavior and Human Decision Processes","DOI":"10.1016/0749-5978(91)90020-T","ISSN":"0749-5978","issue":"2","journalAbbreviation":"Organizational Behavior and Human Decision Processes","page":"179-211","source":"ScienceDirect","title":"The theory of planned behavior","volume":"50","author":[{"family":"Ajzen","given":"Icek"}],"issued":{"date-parts":[["1991",12,1]]}}}],"schema":"https://github.com/citation-style-language/schema/raw/master/csl-citation.json"}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(Ajzen, 1991)</w:t>
      </w:r>
      <w:r>
        <w:rPr>
          <w:rFonts w:ascii="Times New Roman" w:hAnsi="Times New Roman" w:cs="Times New Roman"/>
        </w:rPr>
        <w:fldChar w:fldCharType="end"/>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{"citationID":"yHqwi650","properties":{"formattedCitation":"(Godin and Kok, 1996)","plainCitation":"(Godin and Kok, 1996)","noteIndex":0},"citationItems":[{"id":237,"uris":["http://zotero.org/users/local/GVEXpyuZ/items/HCUQ5AC9"],"itemData":{"id":237,"type":"article-journal","abstract":"Purpose.\nTo review applications of Ajzen's theory of planned behavior in the domain of health and to verify the efficiency of the theory to explain and predict health-related behaviors.\nMethods.\nMost material has been drawn from Current Contents (Social and Behavioral Sciences and Clinical Medicine) from 1985 to date, together with all peer-reviewed articles cited in the publications thus identified.\nFindings.\nThe results indicated that the theory performs very well for the explanation of intention; an averaged R2 of .41 was observed. Attitude toward the action and perceived behavioral control were most often the significant variables responsible for this explained variation in intention. The prediction of behavior yielded an averaged R2 of .34. Intention remained the most important predictor, but in half of the studies reviewed perceived behavioral control significantly added to the prediction.\nConclusions.\nThe efficiency of the model seems to be quite good for explaining intention, perceived behavioral control being as important as attitude across health-related behavior categories. The efficiency of the theory, however, varies between health-related behavior categories.","container-title":"American Journal of Health Promotion","DOI":"10.4278/0890-1171-11.2.87","ISSN":"0890-1171","issue":"2","journalAbbreviation":"Am J Health Promot","language":"EN","note":"publisher: SAGE Publications Inc","page":"87-98","source":"SAGE Journals","title":"The Theory of Planned Behavior: A Review of its Applications to Health-Related Behaviors","title-short":"The Theory of Planned Behavior","volume":"11","author":[{"family":"Godin","given":"Gaston"},{"family":"Kok","given":"Gerjo"}],"issued":{"date-parts":[["1996",11,1]]}}}],"schema":"https://github.com/citation-style-language/schema/raw/master/csl-citation.json"}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(Godin and Kok, 1996)</w:t>
      </w:r>
      <w:r>
        <w:rPr>
          <w:rFonts w:ascii="Times New Roman" w:hAnsi="Times New Roman" w:cs="Times New Roman"/>
        </w:rPr>
        <w:fldChar w:fldCharType="end"/>
      </w:r>
      <w:r>
        <w:rPr>
          <w:rFonts w:ascii="Times New Roman" w:hAnsi="Times New Roman" w:cs="Times New Roman"/>
        </w:rPr>
        <w:fldChar w:fldCharType="begin"/>
      </w:r>
      <w:r>
        <w:rPr>
          <w:rFonts w:ascii="Times New Roman" w:hAnsi="Times New Roman" w:cs="Times New Roman"/>
        </w:rPr>
        <w:instrText xml:space="preserve"> ADDIN ZOTERO_ITEM CSL_CITATION {"citationID":"3G427jmV","properties":{"formattedCitation":"(Armitage and Conner, 2001)","plainCitation":"(Armitage and Conner, 2001)","noteIndex":0},"citationItems":[{"id":235,"uris":["http://zotero.org/users/local/GVEXpyuZ/items/GIEUZX2I"],"itemData":{"id":235,"type":"article-journal","abstract":"The Theory of Planned Behaviour (TPB) has received considerable attention in the literature. The present study is a quantitative integration and review of that research. From a database of 185 independent studies published up to the end of 1997, the TPB accounted for 27% and 39% of the variance in behaviour and intention, respectively. The perceived behavioural control (PBC) construct accounted for significant amounts of variance in intention and behaviour, independent of theory of reasoned action variables. When behaviour measures were self-reports, the TPB accounted for 11% more of the variance in behaviour than when behaviour measures were objective or observed (R2s = .31 and .21, respectively). Attitude, subjective norm and PBC account for significantly more of the variance in individuals' desires than intentions or self-predictions, but intentions and self-predictions were better predictors of behaviour. The subjective norm construct is generally found to be a weak predictor of intentions. This is partly attributable to a combination of poor measurement and the need for expansion of the normative component. The discussion focuses on ways in which current TPB research can be taken forward in the light of the present review.","container-title":"British Journal of Social Psychology","DOI":"10.1348/014466601164939","ISSN":"2044-8309","issue":"4","language":"en","license":"2001 The British Psychological Society","note":"_eprint: https://onlinelibrary.wiley.com/doi/pdf/10.1348/014466601164939","page":"471-499","source":"Wiley Online Library","title":"Efficacy of the Theory of Planned Behaviour: A meta-analytic review","title-short":"Efficacy of the Theory of Planned Behaviour","volume":"40","author":[{"family":"Armitage","given":"Christopher J."},{"family":"Conner","given":"Mark"}],"issued":{"date-parts":[["2001"]]}}}],"schema":"https://github.com/citation-style-language/schema/raw/master/csl-citation.json"}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(Armitage and Conner, 2001)</w:t>
      </w:r>
      <w:r>
        <w:rPr>
          <w:rFonts w:ascii="Times New Roman" w:hAnsi="Times New Roman" w:cs="Times New Roman"/>
        </w:rPr>
        <w:fldChar w:fldCharType="end"/>
      </w:r>
      <w:r>
        <w:rPr>
          <w:rFonts w:ascii="Times New Roman" w:hAnsi="Times New Roman" w:cs="Times New Roman"/>
        </w:rPr>
        <w:t xml:space="preserve">. </w:t>
      </w:r>
    </w:p>
    <w:p w14:paraId="0D80F984" w14:textId="77777777" w:rsidR="00D61FD1" w:rsidRPr="00D61FD1" w:rsidRDefault="00D61FD1" w:rsidP="00D61FD1">
      <w:pPr>
        <w:spacing w:line="360" w:lineRule="auto"/>
        <w:jc w:val="both"/>
        <w:rPr>
          <w:rFonts w:ascii="Times New Roman" w:hAnsi="Times New Roman" w:cs="Times New Roman"/>
        </w:rPr>
      </w:pPr>
    </w:p>
    <w:p w14:paraId="27F0F48D" w14:textId="62A0BE70"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Comparison of TPB and UTAUT: While TPB focuses on individual attitudes, social norms, and perceived control, the Unified Theory of Acceptance and Use of Technology (UTAUT) incorporates additional constructs such as performance expectancy and effort expectancy. UTAUT provides a broader framework for understanding technology adoption in healthcare, as it considers not only individual beliefs but also contextual factors influencing user behavior</w:t>
      </w:r>
      <w:r w:rsidR="0065427D">
        <w:rPr>
          <w:rFonts w:ascii="Times New Roman" w:hAnsi="Times New Roman" w:cs="Times New Roman"/>
        </w:rPr>
        <w:t xml:space="preserve">. </w:t>
      </w:r>
      <w:r w:rsidRPr="00D61FD1">
        <w:rPr>
          <w:rFonts w:ascii="Times New Roman" w:hAnsi="Times New Roman" w:cs="Times New Roman"/>
        </w:rPr>
        <w:t>In healthcare settings, UTAUT may offer a more comprehensive view of technology acceptance by integrating social influence and facilitating conditions alongside individual motivations, making it more suitable for capturing the complexities of user intentions</w:t>
      </w:r>
      <w:r>
        <w:rPr>
          <w:rFonts w:ascii="Times New Roman" w:hAnsi="Times New Roman" w:cs="Times New Roman"/>
        </w:rPr>
        <w:t xml:space="preserve">. </w:t>
      </w:r>
    </w:p>
    <w:p w14:paraId="0C37F593" w14:textId="77777777" w:rsidR="00D61FD1" w:rsidRDefault="00D61FD1" w:rsidP="00D61FD1">
      <w:pPr>
        <w:spacing w:line="360" w:lineRule="auto"/>
        <w:jc w:val="both"/>
        <w:rPr>
          <w:rFonts w:ascii="Times New Roman" w:hAnsi="Times New Roman" w:cs="Times New Roman"/>
        </w:rPr>
      </w:pPr>
    </w:p>
    <w:p w14:paraId="1A74991B" w14:textId="4206715E"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3. Innovation Diffusion Theory (IDT)</w:t>
      </w:r>
    </w:p>
    <w:p w14:paraId="41756AD0" w14:textId="5246771B"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Innovation Diffusion Theory (IDT): Innovation Diffusion Theory (IDT), developed by Rogers in 1962, explains how, why, and at what rate new ideas and technology spread within a social system. The theory identifies several key factors influencing the adoption of innovations, including relative advantage, compatibility, complexity, trialability, and observability. IDT posits that innovations that are perceived as advantageous, compatible with existing values, easy to use, and visible to </w:t>
      </w:r>
      <w:r w:rsidRPr="00D61FD1">
        <w:rPr>
          <w:rFonts w:ascii="Times New Roman" w:hAnsi="Times New Roman" w:cs="Times New Roman"/>
        </w:rPr>
        <w:lastRenderedPageBreak/>
        <w:t>others are more likely to be adopted. This theory has been applied in various fields, including healthcare, to understand how new medical technologies and practices are adopted by healthcare professionals and patients</w:t>
      </w:r>
      <w:r>
        <w:rPr>
          <w:rFonts w:ascii="Times New Roman" w:hAnsi="Times New Roman" w:cs="Times New Roman"/>
        </w:rPr>
        <w:t>.</w:t>
      </w:r>
    </w:p>
    <w:p w14:paraId="508F8680" w14:textId="77777777" w:rsidR="00D61FD1" w:rsidRPr="00D61FD1" w:rsidRDefault="00D61FD1" w:rsidP="00D61FD1">
      <w:pPr>
        <w:spacing w:line="360" w:lineRule="auto"/>
        <w:jc w:val="both"/>
        <w:rPr>
          <w:rFonts w:ascii="Times New Roman" w:hAnsi="Times New Roman" w:cs="Times New Roman"/>
        </w:rPr>
      </w:pPr>
    </w:p>
    <w:p w14:paraId="2D27CDA5" w14:textId="3094BAB2"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Comparison of IDT and UTAUT: While IDT focuses on the characteristics of innovations and their influence on adoption, the Unified Theory of Acceptance and Use of Technology (UTAUT) emphasizes user perceptions and social factors. UTAUT includes constructs such as performance expectancy, effort expectancy, social influence, and facilitating conditions, providing a more detailed understanding of user acceptance (Venkatesh et al., 2003). In healthcare settings, UTAUT's focus on user-centric factors allows for a deeper exploration of individual motivations and contextual influences, whereas IDT is more concerned with the innovation's attributes. Consequently, UTAUT may be better suited for assessing technology acceptance in diverse healthcare environments </w:t>
      </w:r>
      <w:r>
        <w:rPr>
          <w:rFonts w:ascii="Times New Roman" w:hAnsi="Times New Roman" w:cs="Times New Roman"/>
        </w:rPr>
        <w:fldChar w:fldCharType="begin"/>
      </w:r>
      <w:r>
        <w:rPr>
          <w:rFonts w:ascii="Times New Roman" w:hAnsi="Times New Roman" w:cs="Times New Roman"/>
        </w:rPr>
        <w:instrText xml:space="preserve"> ADDIN ZOTERO_ITEM CSL_CITATION {"citationID":"twFBHJL0","properties":{"formattedCitation":"(Chau and Hu, 2001)","plainCitation":"(Chau and Hu, 2001)","noteIndex":0},"citationItems":[{"id":218,"uris":["http://zotero.org/users/local/GVEXpyuZ/items/ER4NM3F7"],"itemData":{"id":218,"type":"article-journal","abstract":"The proliferation of innovative and exciting information technology applications that target individual “professionals” has made the examination or re-examination of existing technology acceptance theories and models in a “professional” setting increasingly important. The current research represents a conceptual replication of several previous model comparison studies. The particular models under investigation are the Technology Acceptance Model (TAM), the Theory of Planned Behavior (TPB), and a decomposed TPB model, potentially adequate in the targeted healthcare professional setting. These models are empirically examined and compared, using the responses to a survey on telemedicine technology acceptance collected from more than 400 physicians practicing in public tertiary hospitals in Hong Kong. Results of the study highlight several plausible limitations of TAM and TPB in explaining or predicting technology acceptance by individual professionals. In addition, findings from the study also suggest that instruments that have been developed and repeatedly tested in previous studies involving end users and business managers in ordinary business settings may not be equally valid in a professional setting. Several implications for technology acceptance/adoption research and technology management practices are discussed.","container-title":"Decision Sciences","DOI":"10.1111/j.1540-5915.2001.tb00978.x","ISSN":"1540-5915","issue":"4","language":"en","note":"_eprint: https://onlinelibrary.wiley.com/doi/pdf/10.1111/j.1540-5915.2001.tb00978.x","page":"699-719","source":"Wiley Online Library","title":"Information Technology Acceptance by Individual Professionals: A Model Comparison Approach","title-short":"Information Technology Acceptance by Individual Professionals","volume":"32","author":[{"family":"Chau","given":"Patrick Y. K."},{"family":"Hu","given":"Paul Jen-Hwa"}],"issued":{"date-parts":[["2001"]]}}}],"schema":"https://github.com/citation-style-language/schema/raw/master/csl-citation.json"}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(Chau and Hu, 2001)</w:t>
      </w:r>
      <w:r>
        <w:rPr>
          <w:rFonts w:ascii="Times New Roman" w:hAnsi="Times New Roman" w:cs="Times New Roman"/>
        </w:rPr>
        <w:fldChar w:fldCharType="end"/>
      </w:r>
      <w:r w:rsidRPr="00D61FD1">
        <w:rPr>
          <w:rFonts w:ascii="Times New Roman" w:hAnsi="Times New Roman" w:cs="Times New Roman"/>
        </w:rPr>
        <w:t>.</w:t>
      </w:r>
    </w:p>
    <w:p w14:paraId="16513453" w14:textId="77777777" w:rsidR="00D61FD1" w:rsidRDefault="00D61FD1" w:rsidP="00D61FD1">
      <w:pPr>
        <w:spacing w:line="360" w:lineRule="auto"/>
        <w:jc w:val="both"/>
        <w:rPr>
          <w:rFonts w:ascii="Times New Roman" w:hAnsi="Times New Roman" w:cs="Times New Roman"/>
        </w:rPr>
      </w:pPr>
    </w:p>
    <w:p w14:paraId="0DA54A45" w14:textId="54CB4CE1"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4. Social Cognitive Theory (SCT)</w:t>
      </w:r>
    </w:p>
    <w:p w14:paraId="2E92078D" w14:textId="07AAFEA4"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Social Cognitive Theory (SCT): Social Cognitive Theory (SCT), developed by Albert Bandura in the 1980s, emphasizes the role of observational learning, imitation, and modeling in behavior change. The theory posits that individuals learn not only through their experiences but also by observing others and the outcomes of their actions. Key constructs of SCT include self-efficacy, outcome expectations, and social influence. SCT has been widely applied in various fields, including healthcare, to understand how social interactions and individual beliefs affect health behaviors and the adoption of health-related technologies </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{"citationID":"SKHNxIdW","properties":{"formattedCitation":"(Bandura, 1986)","plainCitation":"(Bandura, 1986)","noteIndex":0},"citationItems":[{"id":238,"uris":["http://zotero.org/users/local/GVEXpyuZ/items/W9IWXEQ2"],"itemData":{"id":238,"type":"book","call-number":"HM251 .B433 1986","collection-title":"Prentice-Hall series in social learning theory","event-place":"Englewood Cliffs, N.J","ISBN":"978-0-13-815614-5","number-of-pages":"617","publisher":"Prentice-Hall","publisher-place":"Englewood Cliffs, N.J","source":"Library of Congress ISBN","title":"Social foundations of thought and action: a social cognitive theory","title-short":"Social foundations of thought and action","author":[{"family":"Bandura","given":"Albert"}],"issued":{"date-parts":[["1986"]]}}}],"schema":"https://github.com/citation-style-language/schema/raw/master/csl-citation.json"}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(Bandura, 1986)</w:t>
      </w:r>
      <w:r>
        <w:rPr>
          <w:rFonts w:ascii="Times New Roman" w:hAnsi="Times New Roman" w:cs="Times New Roman"/>
        </w:rPr>
        <w:fldChar w:fldCharType="end"/>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{"citationID":"FIRYTFMJ","properties":{"formattedCitation":"(Bandura, 2000)","plainCitation":"(Bandura, 2000)","noteIndex":0},"citationItems":[{"id":240,"uris":["http://zotero.org/users/local/GVEXpyuZ/items/YRE36SLX"],"itemData":{"id":240,"type":"chapter","abstract":"The recent years have witnessed major changes in the conception of human health and illness from a disease model, to a health model. It is just as meaningful to speak of levels of vitality as of degrees of impairment. The health model, therefore, focuses on health promotion as well as disease prevention. Lifestyle habits exert a major impact on the quality of human health. Current health practices focus mainly on the supply side by reducing, rationing, and curtailing access to health care services to contain health costs. The social cognitive approach works on the demand side by helping people to stay healthy through good self-management of health habits. By exercising control over several health habits people can live longer, healthier, and slow the process of biological ageing (Bandura, 1997; Bortz, 1982; Fries, et al., 1993; Fries, 1997). As health economists amply document, medical care cannot substitute for healthful habits and environmental conditions (Fuchs, 1974; Lindsay, 1980). Self-management of habits that enhance health and reduction of those that impair it is good medicine. Indeed, if the huge benefits of a few key lifestyle habits were put into a pill, it would be declared a spectacular breakthrough in the field of medicine.","container-title":"Understanding and Changing Health Behaviour","ISBN":"978-1-315-08005-5","note":"number-of-pages: 41","publisher":"Psychology Press","title":"Health Promotion from the Perspective of Social Cognitive Theory","author":[{"family":"Bandura","given":"Albert"}],"issued":{"date-parts":[["2000"]]}}}],"schema":"https://github.com/citation-style-language/schema/raw/master/csl-citation.json"}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(Bandura, 2000)</w:t>
      </w:r>
      <w:r>
        <w:rPr>
          <w:rFonts w:ascii="Times New Roman" w:hAnsi="Times New Roman" w:cs="Times New Roman"/>
        </w:rPr>
        <w:fldChar w:fldCharType="end"/>
      </w:r>
      <w:r w:rsidRPr="00D61FD1">
        <w:rPr>
          <w:rFonts w:ascii="Times New Roman" w:hAnsi="Times New Roman" w:cs="Times New Roman"/>
        </w:rPr>
        <w:t>.</w:t>
      </w:r>
    </w:p>
    <w:p w14:paraId="33388085" w14:textId="77777777" w:rsidR="00D61FD1" w:rsidRPr="00D61FD1" w:rsidRDefault="00D61FD1" w:rsidP="00D61FD1">
      <w:pPr>
        <w:spacing w:line="360" w:lineRule="auto"/>
        <w:jc w:val="both"/>
        <w:rPr>
          <w:rFonts w:ascii="Times New Roman" w:hAnsi="Times New Roman" w:cs="Times New Roman"/>
        </w:rPr>
      </w:pPr>
    </w:p>
    <w:p w14:paraId="19A72F0F" w14:textId="18D584B4"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Comparison of SCT and UTAUT: While Social Cognitive Theory focuses on the interplay between personal factors, behavior, and environmental influences, the Unified Theory of Acceptance and Use of Technology (UTAUT) emphasizes constructs such as performance expectancy, effort expectancy, social influence, and facilitating conditions in the context of technology adoption (Venkatesh et al., 2003). SCT’s emphasis on self-efficacy and observational learning complements </w:t>
      </w:r>
      <w:r w:rsidRPr="00D61FD1">
        <w:rPr>
          <w:rFonts w:ascii="Times New Roman" w:hAnsi="Times New Roman" w:cs="Times New Roman"/>
        </w:rPr>
        <w:lastRenderedPageBreak/>
        <w:t xml:space="preserve">UTAUT's focus on social influences, making both theories valuable in understanding technology acceptance in healthcare. However, UTAUT provides a more structured framework specifically tailored to technology adoption, while SCT offers broader insights into behavioral change processes </w:t>
      </w:r>
      <w:r>
        <w:rPr>
          <w:rFonts w:ascii="Times New Roman" w:hAnsi="Times New Roman" w:cs="Times New Roman"/>
        </w:rPr>
        <w:fldChar w:fldCharType="begin"/>
      </w:r>
      <w:r>
        <w:rPr>
          <w:rFonts w:ascii="Times New Roman" w:hAnsi="Times New Roman" w:cs="Times New Roman"/>
        </w:rPr>
        <w:instrText xml:space="preserve"> ADDIN ZOTERO_ITEM CSL_CITATION {"citationID":"s8yS2smX","properties":{"formattedCitation":"(Godin {\\i{}et al.}, 2008)","plainCitation":"(Godin et al., 2008)","noteIndex":0},"citationItems":[{"id":241,"uris":["http://zotero.org/users/local/GVEXpyuZ/items/2LQJPL69"],"itemData":{"id":241,"type":"article-journal","abstract":"There is an important gap between the implications of clinical research evidence and the routine clinical practice of healthcare professionals. Because individual decisions are often central to adoption of a clinical-related behaviour, more information about the cognitive mechanisms underlying behaviours is needed to improve behaviour change interventions targeting healthcare professionals. The aim of this study was to systematically review the published scientific literature about factors influencing health professionals' behaviours based on social cognitive theories. These theories refer to theories where individual cognitions/thoughts are viewed as processes intervening between observable stimuli and responses in real world situations.","container-title":"Implementation Science","DOI":"10.1186/1748-5908-3-36","ISSN":"1748-5908","issue":"1","journalAbbreviation":"Implementation Sci","language":"en","page":"36","source":"Springer Link","title":"Healthcare professionals' intentions and behaviours: A systematic review of studies based on social cognitive theories","title-short":"Healthcare professionals' intentions and behaviours","volume":"3","author":[{"family":"Godin","given":"Gaston"},{"family":"Bélanger-Gravel","given":"Ariane"},{"family":"Eccles","given":"Martin"},{"family":"Grimshaw","given":"Jeremy"}],"issued":{"date-parts":[["2008",7,16]]}}}],"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 xml:space="preserve">(Godin </w:t>
      </w:r>
      <w:r w:rsidRPr="00D61FD1">
        <w:rPr>
          <w:rFonts w:ascii="Times New Roman" w:hAnsi="Times New Roman" w:cs="Times New Roman"/>
          <w:i/>
          <w:iCs/>
          <w:kern w:val="0"/>
        </w:rPr>
        <w:t>et al.</w:t>
      </w:r>
      <w:r w:rsidRPr="00D61FD1">
        <w:rPr>
          <w:rFonts w:ascii="Times New Roman" w:hAnsi="Times New Roman" w:cs="Times New Roman"/>
          <w:kern w:val="0"/>
        </w:rPr>
        <w:t>, 2008)</w:t>
      </w:r>
      <w:r>
        <w:rPr>
          <w:rFonts w:ascii="Times New Roman" w:hAnsi="Times New Roman" w:cs="Times New Roman"/>
        </w:rPr>
        <w:fldChar w:fldCharType="end"/>
      </w:r>
      <w:r w:rsidRPr="00D61FD1">
        <w:rPr>
          <w:rFonts w:ascii="Times New Roman" w:hAnsi="Times New Roman" w:cs="Times New Roman"/>
        </w:rPr>
        <w:t>.</w:t>
      </w:r>
    </w:p>
    <w:p w14:paraId="405F8FD9" w14:textId="77777777" w:rsidR="00D61FD1" w:rsidRDefault="00D61FD1" w:rsidP="00D61FD1">
      <w:pPr>
        <w:spacing w:line="360" w:lineRule="auto"/>
        <w:jc w:val="both"/>
        <w:rPr>
          <w:rFonts w:ascii="Times New Roman" w:hAnsi="Times New Roman" w:cs="Times New Roman"/>
        </w:rPr>
      </w:pPr>
    </w:p>
    <w:p w14:paraId="1A7FE75B" w14:textId="4F4C622F"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5. Hedonic-Motivation System Adoption Model (HMSAM)</w:t>
      </w:r>
    </w:p>
    <w:p w14:paraId="70BDFEE6" w14:textId="6A56EA65"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Hedonic-Motivation System Adoption Model (HMSAM): The Hedonic-Motivation System Adoption Model (HMSAM), proposed by Brown and Venkatesh in 2005, extends traditional technology acceptance models by incorporating hedonic motivation as a key factor influencing user adoption of technology. HMSAM posits that users are motivated not only by utilitarian factors, such as usefulness and ease of use, but also by hedonic factors that enhance enjoyment and satisfaction. This model is particularly relevant in contexts where user engagement and pleasure play significant roles, such as in gaming and entertainment applications, and has been applied in various domains, including health-related technologies (Brown &amp; Venkatesh, 2005).</w:t>
      </w:r>
    </w:p>
    <w:p w14:paraId="43E8B12B" w14:textId="77777777" w:rsidR="00D61FD1" w:rsidRPr="00D61FD1" w:rsidRDefault="00D61FD1" w:rsidP="00D61FD1">
      <w:pPr>
        <w:spacing w:line="360" w:lineRule="auto"/>
        <w:jc w:val="both"/>
        <w:rPr>
          <w:rFonts w:ascii="Times New Roman" w:hAnsi="Times New Roman" w:cs="Times New Roman"/>
        </w:rPr>
      </w:pPr>
    </w:p>
    <w:p w14:paraId="7B35266E" w14:textId="18B973B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Comparison of HMSAM and UTAUT: While the Hedonic-Motivation System Adoption Model emphasizes the role of hedonic motivations alongside utilitarian factors, the Unified Theory of Acceptance and Use of Technology (UTAUT) primarily focuses on performance expectancy, effort expectancy, social influence, and facilitating conditions (Venkatesh et al., 2003). UTAUT provides a broader framework that captures both utilitarian and social factors influencing technology adoption, making it more comprehensive for various contexts, including healthcare. However, HMSAM's focus on hedonic motivations can enrich understanding in healthcare settings where user enjoyment and satisfaction are critical for engagement with technologies, such as fitness apps or telehealth services </w:t>
      </w:r>
      <w:r>
        <w:rPr>
          <w:rFonts w:ascii="Times New Roman" w:hAnsi="Times New Roman" w:cs="Times New Roman"/>
        </w:rPr>
        <w:fldChar w:fldCharType="begin"/>
      </w:r>
      <w:r>
        <w:rPr>
          <w:rFonts w:ascii="Times New Roman" w:hAnsi="Times New Roman" w:cs="Times New Roman"/>
        </w:rPr>
        <w:instrText xml:space="preserve"> ADDIN ZOTERO_ITEM CSL_CITATION {"citationID":"OmM26YoE","properties":{"formattedCitation":"(Lowry {\\i{}et al.}, 2012)","plainCitation":"(Lowry et al., 2012)","noteIndex":0},"citationItems":[{"id":258,"uris":["http://zotero.org/users/local/GVEXpyuZ/items/HTG5KT4Z"],"itemData":{"id":258,"type":"article","abstract":"Hedonic-motivation systems (HMS) — systems used primarily to fulfill users’ intrinsic motivations — are the elephant in the room for IS research. Growth in HMS sales has outperformed utilitarian-motivation systems (UMS) sales for more than a decade, generating billions in revenue annually; yet IS research focuses mostly on UMS. In this study, we explain the role of intrinsic motivations in systems use and propose the Hedonic-Motivation System Adoption Model (HMSAM) to increase understanding of the adoption of HMS. Instead of a minor, general TAM extension, HMSAM is a HMS-specific system acceptance model grounded in an alternative theoretical perspective grounded in flow-based cognitive absorption (CA). The HMSAM extends van der Heijden’s (2004) model of hedonic system adoption by including CA as a key mediator of perceived ease of use (PEOU) and behavioral intentions to use (BIU) hedonic-motivation systems. Results from experiments involving 665 participants confirm that in a hedonic context, CA is a more powerful and appropriate predictor of BIU than PEOU or joy, and that the effect of PEOU on BIU is fully mediated by CA sub-constructs. This study lays a foundation, provides guidance, and opens up avenues for future HMS, UMS, and mixed-motivation system research.","event-place":"Rochester, NY","genre":"SSRN Scholarly Paper","language":"en","number":"2177442","publisher":"Social Science Research Network","publisher-place":"Rochester, NY","source":"papers.ssrn.com","title":"Taking ‘Fun and Games’ Seriously: Proposing the Hedonic-Motivation System Adoption Model (HMSAM)","title-short":"Taking ‘Fun and Games’ Seriously","URL":"https://papers.ssrn.com/abstract=2177442","author":[{"family":"Lowry","given":"Paul Benjamin"},{"family":"Gaskin","given":"James"},{"family":"Twyman","given":"Nathan"},{"family":"Hammer","given":"Bryan"},{"family":"Roberts","given":"Tom"}],"accessed":{"date-parts":[["2025",4,13]]},"issued":{"date-parts":[["2012",11,11]]}}}],"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 xml:space="preserve">(Lowry </w:t>
      </w:r>
      <w:r w:rsidRPr="00D61FD1">
        <w:rPr>
          <w:rFonts w:ascii="Times New Roman" w:hAnsi="Times New Roman" w:cs="Times New Roman"/>
          <w:i/>
          <w:iCs/>
          <w:kern w:val="0"/>
        </w:rPr>
        <w:t>et al.</w:t>
      </w:r>
      <w:r w:rsidRPr="00D61FD1">
        <w:rPr>
          <w:rFonts w:ascii="Times New Roman" w:hAnsi="Times New Roman" w:cs="Times New Roman"/>
          <w:kern w:val="0"/>
        </w:rPr>
        <w:t>, 2012)</w:t>
      </w:r>
      <w:r>
        <w:rPr>
          <w:rFonts w:ascii="Times New Roman" w:hAnsi="Times New Roman" w:cs="Times New Roman"/>
        </w:rPr>
        <w:fldChar w:fldCharType="end"/>
      </w:r>
      <w:r>
        <w:rPr>
          <w:rFonts w:ascii="Times New Roman" w:hAnsi="Times New Roman" w:cs="Times New Roman"/>
        </w:rPr>
        <w:t>.</w:t>
      </w:r>
    </w:p>
    <w:p w14:paraId="365D98E9" w14:textId="77777777" w:rsidR="00D61FD1" w:rsidRDefault="00D61FD1" w:rsidP="00D61FD1">
      <w:pPr>
        <w:spacing w:line="360" w:lineRule="auto"/>
        <w:jc w:val="both"/>
        <w:rPr>
          <w:rFonts w:ascii="Times New Roman" w:hAnsi="Times New Roman" w:cs="Times New Roman"/>
        </w:rPr>
      </w:pPr>
    </w:p>
    <w:p w14:paraId="4F968AD9" w14:textId="61A948E0"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These alternative frameworks offer different perspectives on technology adoption, allowing researchers to choose the most appropriate model based on their specific context and research questions.</w:t>
      </w:r>
    </w:p>
    <w:p w14:paraId="120EDACF" w14:textId="77777777" w:rsidR="00D61FD1" w:rsidRDefault="00D61FD1" w:rsidP="00D61FD1">
      <w:pPr>
        <w:spacing w:line="360" w:lineRule="auto"/>
        <w:jc w:val="both"/>
        <w:rPr>
          <w:rFonts w:ascii="Times New Roman" w:hAnsi="Times New Roman" w:cs="Times New Roman"/>
        </w:rPr>
      </w:pPr>
    </w:p>
    <w:p w14:paraId="255BECEA" w14:textId="39705126" w:rsidR="00D61FD1" w:rsidRPr="0065427D" w:rsidRDefault="00D61FD1" w:rsidP="00D61FD1">
      <w:pPr>
        <w:spacing w:line="360" w:lineRule="auto"/>
        <w:jc w:val="both"/>
        <w:rPr>
          <w:rFonts w:ascii="Times New Roman" w:hAnsi="Times New Roman" w:cs="Times New Roman"/>
          <w:b/>
          <w:bCs/>
        </w:rPr>
      </w:pPr>
      <w:r w:rsidRPr="0065427D">
        <w:rPr>
          <w:rFonts w:ascii="Times New Roman" w:hAnsi="Times New Roman" w:cs="Times New Roman"/>
          <w:b/>
          <w:bCs/>
        </w:rPr>
        <w:t>Research Plan and Methodology</w:t>
      </w:r>
    </w:p>
    <w:p w14:paraId="1EC0D51C" w14:textId="77777777" w:rsidR="00D61FD1" w:rsidRPr="00D61FD1" w:rsidRDefault="00D61FD1" w:rsidP="00D61FD1">
      <w:pPr>
        <w:spacing w:line="360" w:lineRule="auto"/>
        <w:jc w:val="both"/>
        <w:rPr>
          <w:rFonts w:ascii="Times New Roman" w:hAnsi="Times New Roman" w:cs="Times New Roman"/>
          <w:u w:val="single"/>
        </w:rPr>
      </w:pPr>
      <w:r w:rsidRPr="00D61FD1">
        <w:rPr>
          <w:rFonts w:ascii="Times New Roman" w:hAnsi="Times New Roman" w:cs="Times New Roman"/>
          <w:u w:val="single"/>
        </w:rPr>
        <w:t xml:space="preserve">Strengths </w:t>
      </w:r>
    </w:p>
    <w:p w14:paraId="615C2F8D" w14:textId="6A7F8987" w:rsidR="00D61FD1" w:rsidRDefault="00D61FD1" w:rsidP="00D61FD1">
      <w:pPr>
        <w:spacing w:line="360" w:lineRule="auto"/>
        <w:jc w:val="both"/>
        <w:rPr>
          <w:rFonts w:ascii="Times New Roman" w:hAnsi="Times New Roman" w:cs="Times New Roman"/>
        </w:rPr>
      </w:pPr>
      <w:r>
        <w:rPr>
          <w:rFonts w:ascii="Times New Roman" w:hAnsi="Times New Roman" w:cs="Times New Roman"/>
        </w:rPr>
        <w:t>Relevance and Significance</w:t>
      </w:r>
      <w:r w:rsidR="0065427D">
        <w:rPr>
          <w:rFonts w:ascii="Times New Roman" w:hAnsi="Times New Roman" w:cs="Times New Roman"/>
        </w:rPr>
        <w:t>:</w:t>
      </w:r>
    </w:p>
    <w:p w14:paraId="44B34A81" w14:textId="51E984CF" w:rsidR="00D61FD1" w:rsidRDefault="00D61FD1" w:rsidP="00D61FD1">
      <w:pPr>
        <w:spacing w:line="360" w:lineRule="auto"/>
        <w:jc w:val="both"/>
        <w:rPr>
          <w:rFonts w:ascii="Times New Roman" w:hAnsi="Times New Roman" w:cs="Times New Roman"/>
        </w:rPr>
      </w:pPr>
      <w:r>
        <w:rPr>
          <w:rFonts w:ascii="Times New Roman" w:hAnsi="Times New Roman" w:cs="Times New Roman"/>
        </w:rPr>
        <w:t xml:space="preserve">The </w:t>
      </w:r>
      <w:r w:rsidRPr="00D61FD1">
        <w:rPr>
          <w:rFonts w:ascii="Times New Roman" w:hAnsi="Times New Roman" w:cs="Times New Roman"/>
        </w:rPr>
        <w:t>research plan is significant as it addresses a pressing need in healthcare: effective rehabilitation services for geriatric populations. Telerehabilitation is a promising tool for home-based care, especially given demographic trends and rising healthcare costs. By focusing on the UTAUT model, your study will provide insights into how geriatric patients perceive and accept telerehabilitation technology, which is vital for improving health outcomes and patient engagement.</w:t>
      </w:r>
    </w:p>
    <w:p w14:paraId="2ED3E498" w14:textId="77777777" w:rsidR="00D61FD1" w:rsidRDefault="00D61FD1" w:rsidP="00D61FD1">
      <w:pPr>
        <w:spacing w:line="360" w:lineRule="auto"/>
        <w:jc w:val="both"/>
        <w:rPr>
          <w:rFonts w:ascii="Times New Roman" w:hAnsi="Times New Roman" w:cs="Times New Roman"/>
        </w:rPr>
      </w:pPr>
    </w:p>
    <w:p w14:paraId="43A8BD51" w14:textId="7A13F3DE" w:rsidR="00D61FD1" w:rsidRDefault="00D61FD1" w:rsidP="00D61FD1">
      <w:pPr>
        <w:spacing w:line="360" w:lineRule="auto"/>
        <w:jc w:val="both"/>
        <w:rPr>
          <w:rFonts w:ascii="Times New Roman" w:hAnsi="Times New Roman" w:cs="Times New Roman"/>
        </w:rPr>
      </w:pPr>
      <w:r>
        <w:rPr>
          <w:rFonts w:ascii="Times New Roman" w:hAnsi="Times New Roman" w:cs="Times New Roman"/>
        </w:rPr>
        <w:t>Methodology</w:t>
      </w:r>
      <w:r w:rsidR="0065427D">
        <w:rPr>
          <w:rFonts w:ascii="Times New Roman" w:hAnsi="Times New Roman" w:cs="Times New Roman"/>
        </w:rPr>
        <w:t>:</w:t>
      </w:r>
    </w:p>
    <w:p w14:paraId="0AD6A40F" w14:textId="0D9936DA" w:rsid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The qualitative research approach is </w:t>
      </w:r>
      <w:r>
        <w:rPr>
          <w:rFonts w:ascii="Times New Roman" w:hAnsi="Times New Roman" w:cs="Times New Roman"/>
        </w:rPr>
        <w:t>good</w:t>
      </w:r>
      <w:r w:rsidRPr="00D61FD1">
        <w:rPr>
          <w:rFonts w:ascii="Times New Roman" w:hAnsi="Times New Roman" w:cs="Times New Roman"/>
        </w:rPr>
        <w:t xml:space="preserve"> for exploring geriatric patients' perceptions and experiences with telerehabilitation. Thematic analysis based on the UTAUT model provides a deep understanding of factors influencing technology acceptance, including performance expectancy, effort expectancy, social influence, and facilitating conditions. This methodology will help you gather rich, contextual data to inform the design and implementation of telerehabilitation programs in geriatric settings.</w:t>
      </w:r>
      <w:r>
        <w:rPr>
          <w:rFonts w:ascii="Times New Roman" w:hAnsi="Times New Roman" w:cs="Times New Roman"/>
        </w:rPr>
        <w:t xml:space="preserve">  The second phase of study could employ quantitative measures to ascertain the extent of the influencing factors. </w:t>
      </w:r>
    </w:p>
    <w:p w14:paraId="49749307" w14:textId="77777777" w:rsidR="00D61FD1" w:rsidRDefault="00D61FD1" w:rsidP="00D61FD1">
      <w:pPr>
        <w:spacing w:line="360" w:lineRule="auto"/>
        <w:jc w:val="both"/>
        <w:rPr>
          <w:rFonts w:ascii="Times New Roman" w:hAnsi="Times New Roman" w:cs="Times New Roman"/>
        </w:rPr>
      </w:pPr>
    </w:p>
    <w:p w14:paraId="7FC2C5A2" w14:textId="43143A78" w:rsidR="00D61FD1" w:rsidRDefault="00D61FD1" w:rsidP="00D61FD1">
      <w:pPr>
        <w:spacing w:line="360" w:lineRule="auto"/>
        <w:jc w:val="both"/>
        <w:rPr>
          <w:rFonts w:ascii="Times New Roman" w:hAnsi="Times New Roman" w:cs="Times New Roman"/>
        </w:rPr>
      </w:pPr>
      <w:r>
        <w:rPr>
          <w:rFonts w:ascii="Times New Roman" w:hAnsi="Times New Roman" w:cs="Times New Roman"/>
        </w:rPr>
        <w:t>Feasibility and Practicality</w:t>
      </w:r>
      <w:r w:rsidR="0065427D">
        <w:rPr>
          <w:rFonts w:ascii="Times New Roman" w:hAnsi="Times New Roman" w:cs="Times New Roman"/>
        </w:rPr>
        <w:t>:</w:t>
      </w:r>
    </w:p>
    <w:p w14:paraId="506DCF35" w14:textId="3A030EA8" w:rsidR="00D61FD1" w:rsidRDefault="00D61FD1" w:rsidP="00D61FD1">
      <w:pPr>
        <w:spacing w:line="360" w:lineRule="auto"/>
        <w:jc w:val="both"/>
        <w:rPr>
          <w:rFonts w:ascii="Times New Roman" w:hAnsi="Times New Roman" w:cs="Times New Roman"/>
        </w:rPr>
      </w:pPr>
      <w:r>
        <w:rPr>
          <w:rFonts w:ascii="Times New Roman" w:hAnsi="Times New Roman" w:cs="Times New Roman"/>
        </w:rPr>
        <w:t>It</w:t>
      </w:r>
      <w:r w:rsidRPr="00D61FD1">
        <w:rPr>
          <w:rFonts w:ascii="Times New Roman" w:hAnsi="Times New Roman" w:cs="Times New Roman"/>
        </w:rPr>
        <w:t xml:space="preserve"> is feasible and practical </w:t>
      </w:r>
      <w:r>
        <w:rPr>
          <w:rFonts w:ascii="Times New Roman" w:hAnsi="Times New Roman" w:cs="Times New Roman"/>
        </w:rPr>
        <w:t xml:space="preserve">by </w:t>
      </w:r>
      <w:r w:rsidRPr="00D61FD1">
        <w:rPr>
          <w:rFonts w:ascii="Times New Roman" w:hAnsi="Times New Roman" w:cs="Times New Roman"/>
        </w:rPr>
        <w:t xml:space="preserve">conducting the study within a geriatric day care </w:t>
      </w:r>
      <w:proofErr w:type="spellStart"/>
      <w:r w:rsidRPr="00D61FD1">
        <w:rPr>
          <w:rFonts w:ascii="Times New Roman" w:hAnsi="Times New Roman" w:cs="Times New Roman"/>
        </w:rPr>
        <w:t>centre</w:t>
      </w:r>
      <w:proofErr w:type="spellEnd"/>
      <w:r w:rsidRPr="00D61FD1">
        <w:rPr>
          <w:rFonts w:ascii="Times New Roman" w:hAnsi="Times New Roman" w:cs="Times New Roman"/>
        </w:rPr>
        <w:t xml:space="preserve"> in a hospital </w:t>
      </w:r>
      <w:r>
        <w:rPr>
          <w:rFonts w:ascii="Times New Roman" w:hAnsi="Times New Roman" w:cs="Times New Roman"/>
        </w:rPr>
        <w:t xml:space="preserve">which </w:t>
      </w:r>
      <w:r w:rsidRPr="00D61FD1">
        <w:rPr>
          <w:rFonts w:ascii="Times New Roman" w:hAnsi="Times New Roman" w:cs="Times New Roman"/>
        </w:rPr>
        <w:t xml:space="preserve">provide a controlled environment with access to participants and resources. Second, the qualitative approach allows for flexibility in data collection and analysis, which can accommodate the diverse needs and capabilities of geriatric participants. </w:t>
      </w:r>
    </w:p>
    <w:p w14:paraId="5ACCBDA2" w14:textId="77777777" w:rsidR="00D61FD1" w:rsidRPr="00D61FD1" w:rsidRDefault="00D61FD1" w:rsidP="00D61FD1">
      <w:pPr>
        <w:spacing w:line="360" w:lineRule="auto"/>
        <w:jc w:val="both"/>
        <w:rPr>
          <w:rFonts w:ascii="Times New Roman" w:hAnsi="Times New Roman" w:cs="Times New Roman"/>
        </w:rPr>
      </w:pPr>
    </w:p>
    <w:p w14:paraId="4A826030" w14:textId="10BD2B6F" w:rsidR="00D61FD1" w:rsidRDefault="00D61FD1" w:rsidP="00D61FD1">
      <w:pPr>
        <w:spacing w:line="360" w:lineRule="auto"/>
        <w:jc w:val="both"/>
        <w:rPr>
          <w:rFonts w:ascii="Times New Roman" w:hAnsi="Times New Roman" w:cs="Times New Roman"/>
        </w:rPr>
      </w:pPr>
      <w:r>
        <w:rPr>
          <w:rFonts w:ascii="Times New Roman" w:hAnsi="Times New Roman" w:cs="Times New Roman"/>
        </w:rPr>
        <w:lastRenderedPageBreak/>
        <w:t>It is hence expected that the</w:t>
      </w:r>
      <w:r w:rsidRPr="00D61FD1">
        <w:rPr>
          <w:rFonts w:ascii="Times New Roman" w:hAnsi="Times New Roman" w:cs="Times New Roman"/>
        </w:rPr>
        <w:t xml:space="preserve"> research plan is well-positioned to contribute valuable insights into the adoption and effectiveness of telerehabilitation in geriatric care, enhancing both the theoretical understanding of technology acceptance and the practical delivery of healthcare services.</w:t>
      </w:r>
    </w:p>
    <w:p w14:paraId="4E1BFEFF" w14:textId="33A682C9" w:rsidR="00D61FD1" w:rsidRDefault="00D61FD1" w:rsidP="00D61FD1">
      <w:pPr>
        <w:spacing w:line="360" w:lineRule="auto"/>
        <w:jc w:val="both"/>
        <w:rPr>
          <w:rFonts w:ascii="Times New Roman" w:hAnsi="Times New Roman" w:cs="Times New Roman"/>
        </w:rPr>
      </w:pPr>
    </w:p>
    <w:p w14:paraId="3C606770" w14:textId="14BA1699" w:rsidR="00D61FD1" w:rsidRPr="00D61FD1" w:rsidRDefault="00D61FD1" w:rsidP="00D61FD1">
      <w:pPr>
        <w:spacing w:line="360" w:lineRule="auto"/>
        <w:jc w:val="both"/>
        <w:rPr>
          <w:rFonts w:ascii="Times New Roman" w:hAnsi="Times New Roman" w:cs="Times New Roman"/>
          <w:u w:val="single"/>
        </w:rPr>
      </w:pPr>
      <w:r w:rsidRPr="00D61FD1">
        <w:rPr>
          <w:rFonts w:ascii="Times New Roman" w:hAnsi="Times New Roman" w:cs="Times New Roman"/>
          <w:u w:val="single"/>
        </w:rPr>
        <w:t>Weaknesses</w:t>
      </w:r>
    </w:p>
    <w:p w14:paraId="4902D653" w14:textId="77777777" w:rsidR="00D61FD1" w:rsidRDefault="00D61FD1" w:rsidP="00D61FD1">
      <w:pPr>
        <w:spacing w:line="360" w:lineRule="auto"/>
        <w:jc w:val="both"/>
        <w:rPr>
          <w:rFonts w:ascii="Times New Roman" w:hAnsi="Times New Roman" w:cs="Times New Roman"/>
        </w:rPr>
      </w:pPr>
    </w:p>
    <w:p w14:paraId="5B5EC7EB" w14:textId="77777777" w:rsidR="00D61FD1" w:rsidRPr="00D61FD1" w:rsidRDefault="00D61FD1" w:rsidP="00D61FD1">
      <w:pPr>
        <w:spacing w:line="360" w:lineRule="auto"/>
        <w:jc w:val="both"/>
        <w:rPr>
          <w:rFonts w:ascii="Times New Roman" w:hAnsi="Times New Roman" w:cs="Times New Roman"/>
        </w:rPr>
      </w:pPr>
      <w:bookmarkStart w:id="0" w:name="_Hlk195465025"/>
      <w:r w:rsidRPr="00D61FD1">
        <w:rPr>
          <w:rFonts w:ascii="Times New Roman" w:hAnsi="Times New Roman" w:cs="Times New Roman"/>
        </w:rPr>
        <w:t xml:space="preserve">Technology Evolution and Obsolescence Technology </w:t>
      </w:r>
      <w:bookmarkEnd w:id="0"/>
      <w:r w:rsidRPr="00D61FD1">
        <w:rPr>
          <w:rFonts w:ascii="Times New Roman" w:hAnsi="Times New Roman" w:cs="Times New Roman"/>
        </w:rPr>
        <w:t>is an area that evolves rapidly, leading to frequent updates and innovations that can render previous tools or methods outdated. This swift pace of change can create challenges in ensuring that healthcare providers are using the most current and effective technologies for patient care (Bates et al., 2018). As new technologies emerge, older systems may lack compatibility or fail to meet the evolving needs of patients, which can hinder the effectiveness of tele-rehabilitation services. This constant evolution necessitates ongoing training and adaptation by healthcare providers to keep pace with technological advancements (Klein et al., 2020).</w:t>
      </w:r>
    </w:p>
    <w:p w14:paraId="5E285C49" w14:textId="77777777" w:rsidR="00D61FD1" w:rsidRPr="00D61FD1" w:rsidRDefault="00D61FD1" w:rsidP="00D61FD1">
      <w:pPr>
        <w:spacing w:line="360" w:lineRule="auto"/>
        <w:jc w:val="both"/>
        <w:rPr>
          <w:rFonts w:ascii="Times New Roman" w:hAnsi="Times New Roman" w:cs="Times New Roman"/>
        </w:rPr>
      </w:pPr>
    </w:p>
    <w:p w14:paraId="4D693529" w14:textId="25DB4326"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Digital Divide and Sampling Bias</w:t>
      </w:r>
      <w:r>
        <w:rPr>
          <w:rFonts w:ascii="Times New Roman" w:hAnsi="Times New Roman" w:cs="Times New Roman"/>
        </w:rPr>
        <w:t>:</w:t>
      </w:r>
    </w:p>
    <w:p w14:paraId="58293B29" w14:textId="69F65E55"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The digital divide refers to the gap between individuals who have easy access to digital technology and those who do not, often influenced by socioeconomic status, education, and geographical location </w:t>
      </w:r>
      <w:r>
        <w:rPr>
          <w:rFonts w:ascii="Times New Roman" w:hAnsi="Times New Roman" w:cs="Times New Roman"/>
        </w:rPr>
        <w:fldChar w:fldCharType="begin"/>
      </w:r>
      <w:r w:rsidR="0065427D">
        <w:rPr>
          <w:rFonts w:ascii="Times New Roman" w:hAnsi="Times New Roman" w:cs="Times New Roman"/>
        </w:rPr>
        <w:instrText xml:space="preserve"> ADDIN ZOTERO_ITEM CSL_CITATION {"citationID":"9gArZF1U","properties":{"formattedCitation":"(Dijk, 2020)","plainCitation":"(Dijk, 2020)","noteIndex":0},"citationItems":[{"id":205,"uris":["http://zotero.org/users/local/GVEXpyuZ/items/X3M5X7TP","http://zotero.org/users/local/GVEXpyuZ/items/JT5IG59Q"],"itemData":{"id":205,"type":"book","abstract":"Contrary to optimistic visions of a free internet for all, the problem of the ‘digital divide’ – the disparity between those with access to internet technology and those without – has persisted for close to twenty-five years.In this textbook, Jan van Dijk considers the state of digital inequality and what we can do to tackle it. Through an accessible framework based on empirical research, he explores the motivations and challenges of seeking access and the development of requisite digital skills. He addresses key questions such as: Does digital inequality reduce or reinforce existing, traditional inequalities? Does it create new, previously unknown social inequalities? While digital inequality affects all aspects of society and the problem is here to stay, Van Dijk outlines policies we can put in place to mitigate it.The Digital Divide is required reading for students and scholars of media, communication, sociology, and related disciplines, as well as for policymakers.","ISBN":"978-1-5095-3446-3","language":"en","note":"Google-Books-ID: 6DvKDwAAQBAJ","number-of-pages":"166","publisher":"John Wiley &amp; Sons","source":"Google Books","title":"The Digital Divide","author":[{"family":"Dijk","given":"Jan","dropping-particle":"van"}],"issued":{"date-parts":[["2020",1,14]]}}}],"schema":"https://github.com/citation-style-language/schema/raw/master/csl-citation.json"}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(Dijk, 2020)</w:t>
      </w:r>
      <w:r>
        <w:rPr>
          <w:rFonts w:ascii="Times New Roman" w:hAnsi="Times New Roman" w:cs="Times New Roman"/>
        </w:rPr>
        <w:fldChar w:fldCharType="end"/>
      </w:r>
      <w:r w:rsidRPr="00D61FD1">
        <w:rPr>
          <w:rFonts w:ascii="Times New Roman" w:hAnsi="Times New Roman" w:cs="Times New Roman"/>
        </w:rPr>
        <w:t>. In the context of tele-rehabilitation, a sample group with varying levels of digital literacy and access to technology may introduce sampling bias. This bias can affect the generalizability of findings, as those without adequate access or skills may not fully participate in or benefit from digital health solutions, skewing the results toward those who are more technologically savvy</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{"citationID":"L4bt76Qj","properties":{"formattedCitation":"(Mackert {\\i{}et al.}, 2016)","plainCitation":"(Mackert et al., 2016)","noteIndex":0},"citationItems":[{"id":262,"uris":["http://zotero.org/users/local/GVEXpyuZ/items/VQJM8ZJ9"],"itemData":{"id":262,"type":"article-journal","abstract":"Background: Approximately one-half of American adults exhibit low health literacy and thus struggle to find and use health information. Low health literacy is associated with negative outcomes including overall poorer health. Health information technology (HIT) makes health information available directly to patients through electronic tools including patient portals, wearable technology, and mobile apps. The direct availability of this information to patients, however, may be complicated by misunderstanding of HIT privacy and information sharing. Objective: The purpose of this study was to determine whether health literacy is associated with patients’ use of four types of HIT tools: fitness and nutrition apps, activity trackers, and patient portals. Additionally, we sought to explore whether health literacy is associated with patients’ perceived ease of use and usefulness of these HIT tools, as well as patients’ perceptions of privacy offered by HIT tools and trust in government, media, technology companies, and health care. This study is the first wide-scale investigation of these interrelated concepts. Methods: Participants were 4974 American adults (n=2102, 42.26% male, n=3146, 63.25% white, average age 43.5, SD 16.7 years). Participants completed the Newest Vital Sign measure of health literacy and indicated their actual use of HIT tools, as well as the perceived ease of use and usefulness of these applications. Participants also answered questions regarding information privacy and institutional trust, as well as demographic items. Results: Cross-tabulation analysis indicated that adequate versus less than adequate health literacy was significantly associated with use of fitness apps (P=.02), nutrition apps (P&lt;.001), activity trackers (P&lt;.001), and patient portals (P&lt;.001). Additionally, greater health literacy was significantly associated with greater perceived ease of use and perceived usefulness across all HIT tools after controlling for demographics. Regarding privacy perceptions of HIT and institutional trust, patients with greater health literacy often demonstrated decreased privacy perceptions for HIT tools including fitness apps (P&lt;.001) and nutrition apps (P&lt;.001). Health literacy was negatively associated with trust in government (P&lt;.001), media (P&lt;.001), and technology companies (P&lt;.001). Interestingly, health literacy score was positively associated with trust in health care (P=.03). Conclusions: Patients with low health literacy were less likely to use HIT tools or perceive them as easy or useful, but they perceived information on HIT as private. Given the fast-paced evolution of technology, there is a pressing need to further the understanding of how health literacy is related to HIT app adoption and usage. This will ensure that all users receive the full health benefits from these technological advances, in a manner that protects health information privacy, and that users engage with organizations and providers they trust.","container-title":"Journal of Medical Internet Research","DOI":"10.2196/jmir.6349","issue":"10","language":"EN","note":"Company: Journal of Medical Internet Research\nDistributor: Journal of Medical Internet Research\nInstitution: Journal of Medical Internet Research\nLabel: Journal of Medical Internet Research\npublisher: JMIR Publications Inc., Toronto, Canada","page":"e6349","source":"www.jmir.org","title":"Health Literacy and Health Information Technology Adoption: The Potential for a New Digital Divide","title-short":"Health Literacy and Health Information Technology Adoption","volume":"18","author":[{"family":"Mackert","given":"Michael"},{"family":"Mabry-Flynn","given":"Amanda"},{"family":"Champlin","given":"Sara"},{"family":"Donovan","given":"Erin E."},{"family":"Pounders","given":"Kathrynn"}],"issued":{"date-parts":[["2016",10,4]]}}}],"schema":"https://github.com/citation-style-language/schema/raw/master/csl-citation.json"} </w:instrText>
      </w:r>
      <w:r>
        <w:rPr>
          <w:rFonts w:ascii="Times New Roman" w:hAnsi="Times New Roman" w:cs="Times New Roman"/>
        </w:rPr>
        <w:fldChar w:fldCharType="separate"/>
      </w:r>
      <w:r w:rsidRPr="00D61FD1">
        <w:rPr>
          <w:rFonts w:ascii="Times New Roman" w:hAnsi="Times New Roman" w:cs="Times New Roman"/>
          <w:kern w:val="0"/>
        </w:rPr>
        <w:t>(</w:t>
      </w:r>
      <w:proofErr w:type="spellStart"/>
      <w:r w:rsidRPr="00D61FD1">
        <w:rPr>
          <w:rFonts w:ascii="Times New Roman" w:hAnsi="Times New Roman" w:cs="Times New Roman"/>
          <w:kern w:val="0"/>
        </w:rPr>
        <w:t>Mackert</w:t>
      </w:r>
      <w:proofErr w:type="spellEnd"/>
      <w:r w:rsidRPr="00D61FD1">
        <w:rPr>
          <w:rFonts w:ascii="Times New Roman" w:hAnsi="Times New Roman" w:cs="Times New Roman"/>
          <w:kern w:val="0"/>
        </w:rPr>
        <w:t xml:space="preserve"> </w:t>
      </w:r>
      <w:r w:rsidRPr="00D61FD1">
        <w:rPr>
          <w:rFonts w:ascii="Times New Roman" w:hAnsi="Times New Roman" w:cs="Times New Roman"/>
          <w:i/>
          <w:iCs/>
          <w:kern w:val="0"/>
        </w:rPr>
        <w:t>et al.</w:t>
      </w:r>
      <w:r w:rsidRPr="00D61FD1">
        <w:rPr>
          <w:rFonts w:ascii="Times New Roman" w:hAnsi="Times New Roman" w:cs="Times New Roman"/>
          <w:kern w:val="0"/>
        </w:rPr>
        <w:t>, 2016)</w:t>
      </w:r>
      <w:r>
        <w:rPr>
          <w:rFonts w:ascii="Times New Roman" w:hAnsi="Times New Roman" w:cs="Times New Roman"/>
        </w:rPr>
        <w:fldChar w:fldCharType="end"/>
      </w:r>
      <w:r w:rsidRPr="00D61FD1">
        <w:rPr>
          <w:rFonts w:ascii="Times New Roman" w:hAnsi="Times New Roman" w:cs="Times New Roman"/>
        </w:rPr>
        <w:t>. Addressing this divide is crucial for ensuring equitable access to tele-rehabilitation services.</w:t>
      </w:r>
      <w:r>
        <w:rPr>
          <w:rFonts w:ascii="Times New Roman" w:hAnsi="Times New Roman" w:cs="Times New Roman"/>
        </w:rPr>
        <w:t xml:space="preserve"> The sampling bias due to digital divide could be minimized by the u</w:t>
      </w:r>
      <w:r w:rsidRPr="00D61FD1">
        <w:rPr>
          <w:rFonts w:ascii="Times New Roman" w:hAnsi="Times New Roman" w:cs="Times New Roman"/>
        </w:rPr>
        <w:t>se stratified sampling to ensure representation across various demographics</w:t>
      </w:r>
      <w:r>
        <w:rPr>
          <w:rFonts w:ascii="Times New Roman" w:hAnsi="Times New Roman" w:cs="Times New Roman"/>
        </w:rPr>
        <w:t xml:space="preserve"> and </w:t>
      </w:r>
      <w:proofErr w:type="gramStart"/>
      <w:r w:rsidRPr="00D61FD1">
        <w:rPr>
          <w:rFonts w:ascii="Times New Roman" w:hAnsi="Times New Roman" w:cs="Times New Roman"/>
        </w:rPr>
        <w:t>mixed-methods</w:t>
      </w:r>
      <w:proofErr w:type="gramEnd"/>
      <w:r w:rsidRPr="00D61FD1">
        <w:rPr>
          <w:rFonts w:ascii="Times New Roman" w:hAnsi="Times New Roman" w:cs="Times New Roman"/>
        </w:rPr>
        <w:t xml:space="preserve"> approaches for deeper insights and conduct pilot testing to identify barriers.</w:t>
      </w:r>
    </w:p>
    <w:p w14:paraId="40CF88DC" w14:textId="77777777" w:rsidR="00D61FD1" w:rsidRPr="00D61FD1" w:rsidRDefault="00D61FD1" w:rsidP="00D61FD1">
      <w:pPr>
        <w:spacing w:line="360" w:lineRule="auto"/>
        <w:jc w:val="both"/>
        <w:rPr>
          <w:rFonts w:ascii="Times New Roman" w:hAnsi="Times New Roman" w:cs="Times New Roman"/>
        </w:rPr>
      </w:pPr>
    </w:p>
    <w:p w14:paraId="74C22826" w14:textId="256E6CD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Limitations of Traditional Physiotherapy Procedures</w:t>
      </w:r>
      <w:r>
        <w:rPr>
          <w:rFonts w:ascii="Times New Roman" w:hAnsi="Times New Roman" w:cs="Times New Roman"/>
        </w:rPr>
        <w:t>:</w:t>
      </w:r>
    </w:p>
    <w:p w14:paraId="578B3DE7" w14:textId="70DF56DC" w:rsidR="00D61FD1" w:rsidRPr="00D61FD1" w:rsidRDefault="0065427D" w:rsidP="00D61FD1">
      <w:pPr>
        <w:spacing w:line="360" w:lineRule="auto"/>
        <w:jc w:val="both"/>
        <w:rPr>
          <w:rFonts w:ascii="Times New Roman" w:hAnsi="Times New Roman" w:cs="Times New Roman"/>
        </w:rPr>
      </w:pPr>
      <w:r>
        <w:rPr>
          <w:rFonts w:ascii="Times New Roman" w:hAnsi="Times New Roman" w:cs="Times New Roman"/>
        </w:rPr>
        <w:lastRenderedPageBreak/>
        <w:t>Since telerehabilitation is still a new field, there is a general lack of standardized protocol</w:t>
      </w:r>
      <w:r>
        <w:rPr>
          <w:rFonts w:ascii="Times New Roman" w:hAnsi="Times New Roman" w:cs="Times New Roman"/>
        </w:rPr>
        <w:t>s</w:t>
      </w:r>
      <w:r>
        <w:rPr>
          <w:rFonts w:ascii="Times New Roman" w:hAnsi="Times New Roman" w:cs="Times New Roman"/>
        </w:rPr>
        <w:t xml:space="preserve"> incorporating the intervention </w:t>
      </w:r>
      <w:r>
        <w:rPr>
          <w:rFonts w:ascii="Times New Roman" w:hAnsi="Times New Roman" w:cs="Times New Roman"/>
        </w:rPr>
        <w:fldChar w:fldCharType="begin"/>
      </w:r>
      <w:r>
        <w:rPr>
          <w:rFonts w:ascii="Times New Roman" w:hAnsi="Times New Roman" w:cs="Times New Roman"/>
        </w:rPr>
        <w:instrText xml:space="preserve"> ADDIN ZOTERO_ITEM CSL_CITATION {"citationID":"LLPZbgyR","properties":{"formattedCitation":"(Peretti {\\i{}et al.}, 2017)","plainCitation":"(Peretti et al., 2017)","noteIndex":0},"citationItems":[{"id":277,"uris":["http://zotero.org/users/local/GVEXpyuZ/items/2EU9GM8P"],"itemData":{"id":277,"type":"article-journal","abstract":"Background: Telemedicine applications have been increasing due to the development of new computer science technologies and of more advanced telemedical devices. Various types of telerehabilitation treatments and their relative intensities and duration have been reported. Objective: The objective of this review is to provide a detailed overview of the rehabilitation techniques for remote sites (telerehabilitation) and their fields of application, with analysis of the benefits and the drawbacks related to use. We discuss future applications of telerehabilitation techniques with an emphasis on the development of high-tech devices, and on which new tools and applications can be used in the future. Methods: We retrieved relevant information and data on telerehabilitation from books, articles and online materials using the Medical Subject Headings (MeSH) “telerehabilitation,” “telemedicine,” and “rehabilitation,” as well as “disabling pathologies.” Results: Telerehabilitation can be considered as a branch of telemedicine. Although this field is considerably new, its use has rapidly grown in developed countries. In general, telerehabilitation reduces the costs of both health care providers and patients compared with traditional inpatient or person-to-person rehabilitation. Furthermore, patients who live in remote places, where traditional rehabilitation services may not be easily accessible, can benefit from this technology. However, certain disadvantages of telerehabilitation, including skepticism on the part of patients due to remote interaction with their physicians or rehabilitators, should not be underestimated. Conclusions: This review evaluated different application fields of telerehabilitation, highlighting its benefits and drawbacks. This study may be a starting point for improving approaches and devices for telerehabilitation. In this context, patients’ feedback may be important to adapt rehabilitation techniques and approaches to their needs, which would subsequently help to improve the quality of rehabilitation in the future. The need for proper training and education of people involved in this new and emerging form of intervention for more effective treatment can’t be overstated.","container-title":"JMIR Rehabilitation and Assistive Technologies","DOI":"10.2196/rehab.7511","issue":"2","language":"EN","license":"Unless stated otherwise, all articles are open-access distributed under the terms of the Creative Commons Attribution License (http://creativecommons.org/licenses/by/2.0/), which permits unrestricted use, distribution, and reproduction in any medium, provided the original work (\"first published in the Journal of Medical Internet Research...\") is properly cited with original URL and bibliographic citation information. The complete bibliographic information, a link to the original publication on http://www.jmir.org/, as well as this copyright and license information must be included.","note":"Company: JMIR Rehabilitation and Assistive Technologies\nDistributor: JMIR Rehabilitation and Assistive Technologies\nInstitution: JMIR Rehabilitation and Assistive Technologies\nLabel: JMIR Rehabilitation and Assistive Technologies\npublisher: JMIR Publications Inc., Toronto, Canada","page":"e7511","source":"rehab.jmir.org","title":"Telerehabilitation: Review of the State-of-the-Art and Areas of Application","title-short":"Telerehabilitation","volume":"4","author":[{"family":"Peretti","given":"Alessandro"},{"family":"Amenta","given":"Francesco"},{"family":"Tayebati","given":"Seyed Khosrow"},{"family":"Nittari","given":"Giulio"},{"family":"Mahdi","given":"Syed Sarosh"}],"issued":{"date-parts":[["2017",7,21]]}}}],"schema":"https://github.com/citation-style-language/schema/raw/master/csl-citation.json"} </w:instrText>
      </w:r>
      <w:r>
        <w:rPr>
          <w:rFonts w:ascii="Times New Roman" w:hAnsi="Times New Roman" w:cs="Times New Roman"/>
        </w:rPr>
        <w:fldChar w:fldCharType="separate"/>
      </w:r>
      <w:r w:rsidRPr="0065427D">
        <w:rPr>
          <w:rFonts w:ascii="Times New Roman" w:hAnsi="Times New Roman" w:cs="Times New Roman"/>
          <w:kern w:val="0"/>
        </w:rPr>
        <w:t xml:space="preserve">(Peretti </w:t>
      </w:r>
      <w:r w:rsidRPr="0065427D">
        <w:rPr>
          <w:rFonts w:ascii="Times New Roman" w:hAnsi="Times New Roman" w:cs="Times New Roman"/>
          <w:i/>
          <w:iCs/>
          <w:kern w:val="0"/>
        </w:rPr>
        <w:t>et al.</w:t>
      </w:r>
      <w:r w:rsidRPr="0065427D">
        <w:rPr>
          <w:rFonts w:ascii="Times New Roman" w:hAnsi="Times New Roman" w:cs="Times New Roman"/>
          <w:kern w:val="0"/>
        </w:rPr>
        <w:t>, 2017)</w:t>
      </w:r>
      <w:r>
        <w:rPr>
          <w:rFonts w:ascii="Times New Roman" w:hAnsi="Times New Roman" w:cs="Times New Roman"/>
        </w:rPr>
        <w:fldChar w:fldCharType="end"/>
      </w:r>
      <w:r>
        <w:rPr>
          <w:rFonts w:ascii="Times New Roman" w:hAnsi="Times New Roman" w:cs="Times New Roman"/>
        </w:rPr>
        <w:t xml:space="preserve">. </w:t>
      </w:r>
      <w:r w:rsidR="00D61FD1" w:rsidRPr="00D61FD1">
        <w:rPr>
          <w:rFonts w:ascii="Times New Roman" w:hAnsi="Times New Roman" w:cs="Times New Roman"/>
        </w:rPr>
        <w:t>Certain physical physiotherapy procedures may only be effectively captured and monitored in a traditional one-on-one setting, where therapists can provide real-time feedback and adjust techniques as needed. This limitation poses challenges in accurately assessing the quality-of-care improvements in a tele-rehabilitation context, where the lack of direct supervision may hinder the effectiveness of certain therapeutic interventions</w:t>
      </w:r>
      <w:r w:rsidR="00D61FD1">
        <w:rPr>
          <w:rFonts w:ascii="Times New Roman" w:hAnsi="Times New Roman" w:cs="Times New Roman"/>
        </w:rPr>
        <w:t xml:space="preserve"> in the cases of weaker patients</w:t>
      </w:r>
      <w:r w:rsidR="00D61FD1" w:rsidRPr="00D61FD1">
        <w:rPr>
          <w:rFonts w:ascii="Times New Roman" w:hAnsi="Times New Roman" w:cs="Times New Roman"/>
        </w:rPr>
        <w:t>.</w:t>
      </w:r>
      <w:r>
        <w:rPr>
          <w:rFonts w:ascii="Times New Roman" w:hAnsi="Times New Roman" w:cs="Times New Roman"/>
        </w:rPr>
        <w:t xml:space="preserve"> </w:t>
      </w:r>
      <w:r w:rsidR="00D61FD1" w:rsidRPr="00D61FD1">
        <w:rPr>
          <w:rFonts w:ascii="Times New Roman" w:hAnsi="Times New Roman" w:cs="Times New Roman"/>
        </w:rPr>
        <w:t xml:space="preserve">Without the ability to observe physical movements closely, therapists may miss critical nuances that impact patient outcomes </w:t>
      </w:r>
      <w:r w:rsidR="00D61FD1">
        <w:rPr>
          <w:rFonts w:ascii="Times New Roman" w:hAnsi="Times New Roman" w:cs="Times New Roman"/>
        </w:rPr>
        <w:fldChar w:fldCharType="begin"/>
      </w:r>
      <w:r w:rsidR="00D61FD1">
        <w:rPr>
          <w:rFonts w:ascii="Times New Roman" w:hAnsi="Times New Roman" w:cs="Times New Roman"/>
        </w:rPr>
        <w:instrText xml:space="preserve"> ADDIN ZOTERO_ITEM CSL_CITATION {"citationID":"z0OScBMs","properties":{"formattedCitation":"(Stanica {\\i{}et al.}, 2021)","plainCitation":"(Stanica et al., 2021)","noteIndex":0},"citationItems":[{"id":267,"uris":["http://zotero.org/users/local/GVEXpyuZ/items/2M2K4YFZ"],"itemData":{"id":267,"type":"article-journal","abstract":"This paper focuses on researching the potential of telerehabilitation for improving the quality of life of patients. As telemedicine is gaining more and more ground in various medical fields, its application in neurorehabilitation can reduce costs, improve the training process, facilitate the communication between patients and therapists, as well as ensure the supervision of the rehabilitation progress through technology means. After analyzing the existing studies related to telemedicine in neurorehabilitation, we draw the line to show the advantages and drawbacks of the process. We then present our current work, the INREX-VR project for neurorehabilitation, which has the goal of helping people recover easier from neurological disorders with the help of virtual reality, motion detection, biosensors and telerehabilitation.","container-title":"REVUE ROUMAINE DES SCIENCES TECHNIQUES — SÉRIE ÉLECTROTECHNIQUE ET ÉNERGÉTIQUE","ISSN":"0035-4066","issue":"3","language":"en","license":"Copyright (c) 2021 Romanian Journal of Technical Sciences, Electrical and Energy Series","note":"number: 3","page":"195-199","source":"journal.iem.pub.ro","title":"ADVANTAGES OF TELEMEDICINE IN NEUROREHABILITATION AND QUALITY OF LIFE IMPROVEMENT","volume":"66","author":[{"family":"Stanica","given":"Iulia-Cristina"},{"family":"Moldoveanu","given":"Florica"},{"family":"Dascalu","given":"Maria-Iuliana"},{"family":"Nemoianu","given":"Iosif Vasile"},{"family":"Portelli","given":"Giovanni-Paul"}],"issued":{"date-parts":[["2021",12,9]]}}}],"schema":"https://github.com/citation-style-language/schema/raw/master/csl-citation.json"} </w:instrText>
      </w:r>
      <w:r w:rsidR="00D61FD1">
        <w:rPr>
          <w:rFonts w:ascii="Times New Roman" w:hAnsi="Times New Roman" w:cs="Times New Roman"/>
        </w:rPr>
        <w:fldChar w:fldCharType="separate"/>
      </w:r>
      <w:r w:rsidR="00D61FD1" w:rsidRPr="00D61FD1">
        <w:rPr>
          <w:rFonts w:ascii="Times New Roman" w:hAnsi="Times New Roman" w:cs="Times New Roman"/>
          <w:kern w:val="0"/>
        </w:rPr>
        <w:t>(</w:t>
      </w:r>
      <w:proofErr w:type="spellStart"/>
      <w:r w:rsidR="00D61FD1" w:rsidRPr="00D61FD1">
        <w:rPr>
          <w:rFonts w:ascii="Times New Roman" w:hAnsi="Times New Roman" w:cs="Times New Roman"/>
          <w:kern w:val="0"/>
        </w:rPr>
        <w:t>Stanica</w:t>
      </w:r>
      <w:proofErr w:type="spellEnd"/>
      <w:r w:rsidR="00D61FD1" w:rsidRPr="00D61FD1">
        <w:rPr>
          <w:rFonts w:ascii="Times New Roman" w:hAnsi="Times New Roman" w:cs="Times New Roman"/>
          <w:kern w:val="0"/>
        </w:rPr>
        <w:t xml:space="preserve"> </w:t>
      </w:r>
      <w:r w:rsidR="00D61FD1" w:rsidRPr="00D61FD1">
        <w:rPr>
          <w:rFonts w:ascii="Times New Roman" w:hAnsi="Times New Roman" w:cs="Times New Roman"/>
          <w:i/>
          <w:iCs/>
          <w:kern w:val="0"/>
        </w:rPr>
        <w:t>et al.</w:t>
      </w:r>
      <w:r w:rsidR="00D61FD1" w:rsidRPr="00D61FD1">
        <w:rPr>
          <w:rFonts w:ascii="Times New Roman" w:hAnsi="Times New Roman" w:cs="Times New Roman"/>
          <w:kern w:val="0"/>
        </w:rPr>
        <w:t>, 2021)</w:t>
      </w:r>
      <w:r w:rsidR="00D61FD1">
        <w:rPr>
          <w:rFonts w:ascii="Times New Roman" w:hAnsi="Times New Roman" w:cs="Times New Roman"/>
        </w:rPr>
        <w:fldChar w:fldCharType="end"/>
      </w:r>
      <w:r w:rsidR="00D61FD1">
        <w:rPr>
          <w:rFonts w:ascii="Times New Roman" w:hAnsi="Times New Roman" w:cs="Times New Roman"/>
        </w:rPr>
        <w:t xml:space="preserve">.  Patients may also fear the absence of supervision from therapists psychologically.  </w:t>
      </w:r>
      <w:r w:rsidR="00D61FD1">
        <w:rPr>
          <w:rFonts w:ascii="Times New Roman" w:hAnsi="Times New Roman" w:cs="Times New Roman"/>
        </w:rPr>
        <w:fldChar w:fldCharType="begin"/>
      </w:r>
      <w:r w:rsidR="00D61FD1">
        <w:rPr>
          <w:rFonts w:ascii="Times New Roman" w:hAnsi="Times New Roman" w:cs="Times New Roman"/>
        </w:rPr>
        <w:instrText xml:space="preserve"> ADDIN ZOTERO_ITEM CSL_CITATION {"citationID":"C3EzjlIi","properties":{"formattedCitation":"(Cranen {\\i{}et al.}, 2012)","plainCitation":"(Cranen et al., 2012)","noteIndex":0},"citationItems":[{"id":265,"uris":["http://zotero.org/users/local/GVEXpyuZ/items/9SV3M6KA"],"itemData":{"id":265,"type":"article-journal","abstract":"Objectives To explore patients’ perceptions regarding prospective telerehabilitation services and the factors that facilitate or impede patients’ intentions to use these services. Design Using semi-structured interviews, patients reflected on the pros and cons of various scenarios of prospective telerehabilitation services. Patients’ arguments were first arranged according to the Unified Theory of Acceptance and Use of Technology (UTAUT). Next, using inductive analysis, the data for each UTAUT component were analysed and arranged into subthemes. Setting and participants Twenty-five chronic pain patients were selected from a rehabilitation centre in the Netherlands. Results Overall, participants considered telerehabilitation helpful as a complementary or follow-up treatment, rather than an autonomous treatment. Arguments mainly related to the UTAUT constructs of ‘performance expectancy’ and ‘facilitating conditions’. Patients valued the benefits such as reduced transportation barriers, flexible exercise hours and the possibility to better integrate skills into daily life. However, many patients feared a loss of treatment motivation and expressed concerns about both reduced fellow sufferer contact and reduced face-to-face therapist contact. Few arguments related to ‘social norms’ and ‘effort expectancy’. Conclusions The effect of telerehabilitation on healthcare strongly depends on patients’ willingness to use. Our study showed that chronic pain patients valued the benefits of telerehabilitation but hesitate to use it as an autonomous treatment. Therefore, future initiatives should maintain traditional care to some degree and focus on patients’ attitudes as well. Either by giving information to increase patients’ confidence in telerehabilitation or by addressing reported drawbacks into the future design of these services. Further quantitative studies are needed to explore patients’ intentions to use telerehabilitation.","container-title":"Health Expectations","DOI":"10.1111/j.1369-7625.2011.00668.x","ISSN":"1369-7625","issue":"4","language":"en","note":"_eprint: https://onlinelibrary.wiley.com/doi/pdf/10.1111/j.1369-7625.2011.00668.x","page":"339-350","source":"Wiley Online Library","title":"An exploration of chronic pain patients’ perceptions of home telerehabilitation services","volume":"15","author":[{"family":"Cranen","given":"Karlijn"},{"family":"Drossaert","given":"Constance H. C."},{"family":"Brinkman","given":"Evelien S."},{"family":"Braakman-Jansen","given":"Annemarie L. M."},{"family":"IJzerman","given":"Maarten J."},{"family":"Vollenbroek-Hutten","given":"Miriam M. R."}],"issued":{"date-parts":[["2012"]]}}}],"schema":"https://github.com/citation-style-language/schema/raw/master/csl-citation.json"} </w:instrText>
      </w:r>
      <w:r w:rsidR="00D61FD1">
        <w:rPr>
          <w:rFonts w:ascii="Times New Roman" w:hAnsi="Times New Roman" w:cs="Times New Roman"/>
        </w:rPr>
        <w:fldChar w:fldCharType="separate"/>
      </w:r>
      <w:r w:rsidR="00D61FD1" w:rsidRPr="00D61FD1">
        <w:rPr>
          <w:rFonts w:ascii="Times New Roman" w:hAnsi="Times New Roman" w:cs="Times New Roman"/>
          <w:kern w:val="0"/>
        </w:rPr>
        <w:t>(</w:t>
      </w:r>
      <w:proofErr w:type="spellStart"/>
      <w:r w:rsidR="00D61FD1" w:rsidRPr="00D61FD1">
        <w:rPr>
          <w:rFonts w:ascii="Times New Roman" w:hAnsi="Times New Roman" w:cs="Times New Roman"/>
          <w:kern w:val="0"/>
        </w:rPr>
        <w:t>Cranen</w:t>
      </w:r>
      <w:proofErr w:type="spellEnd"/>
      <w:r w:rsidR="00D61FD1" w:rsidRPr="00D61FD1">
        <w:rPr>
          <w:rFonts w:ascii="Times New Roman" w:hAnsi="Times New Roman" w:cs="Times New Roman"/>
          <w:kern w:val="0"/>
        </w:rPr>
        <w:t xml:space="preserve"> </w:t>
      </w:r>
      <w:r w:rsidR="00D61FD1" w:rsidRPr="00D61FD1">
        <w:rPr>
          <w:rFonts w:ascii="Times New Roman" w:hAnsi="Times New Roman" w:cs="Times New Roman"/>
          <w:i/>
          <w:iCs/>
          <w:kern w:val="0"/>
        </w:rPr>
        <w:t>et al.</w:t>
      </w:r>
      <w:r w:rsidR="00D61FD1" w:rsidRPr="00D61FD1">
        <w:rPr>
          <w:rFonts w:ascii="Times New Roman" w:hAnsi="Times New Roman" w:cs="Times New Roman"/>
          <w:kern w:val="0"/>
        </w:rPr>
        <w:t>, 2012)</w:t>
      </w:r>
      <w:r w:rsidR="00D61FD1">
        <w:rPr>
          <w:rFonts w:ascii="Times New Roman" w:hAnsi="Times New Roman" w:cs="Times New Roman"/>
        </w:rPr>
        <w:fldChar w:fldCharType="end"/>
      </w:r>
    </w:p>
    <w:p w14:paraId="6A8D87B8" w14:textId="77777777" w:rsidR="00D61FD1" w:rsidRPr="00D61FD1" w:rsidRDefault="00D61FD1" w:rsidP="00D61FD1">
      <w:pPr>
        <w:spacing w:line="360" w:lineRule="auto"/>
        <w:jc w:val="both"/>
        <w:rPr>
          <w:rFonts w:ascii="Times New Roman" w:hAnsi="Times New Roman" w:cs="Times New Roman"/>
        </w:rPr>
      </w:pPr>
    </w:p>
    <w:p w14:paraId="529C8F5C" w14:textId="62DC12A2"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Qualitative Method Limitations</w:t>
      </w:r>
      <w:r>
        <w:rPr>
          <w:rFonts w:ascii="Times New Roman" w:hAnsi="Times New Roman" w:cs="Times New Roman"/>
        </w:rPr>
        <w:t>:</w:t>
      </w:r>
    </w:p>
    <w:p w14:paraId="5B349D61" w14:textId="58A7AED9"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While qualitative methods provide valuable insights into patient satisfaction and engagement, they may only capture a broad understanding of these concepts (Creswell &amp; Poth, 2018). Qualitative research often relies on subjective interpretations and may not adequately quantify the extent of satisfaction or engagement, limiting the ability to draw definitive conclusions. </w:t>
      </w:r>
      <w:r>
        <w:rPr>
          <w:rFonts w:ascii="Times New Roman" w:hAnsi="Times New Roman" w:cs="Times New Roman"/>
        </w:rPr>
        <w:t xml:space="preserve"> A triangulation approach could be introduced to further enhance the validity. </w:t>
      </w:r>
      <w:r>
        <w:rPr>
          <w:rFonts w:ascii="Times New Roman" w:hAnsi="Times New Roman" w:cs="Times New Roman"/>
        </w:rPr>
        <w:fldChar w:fldCharType="begin"/>
      </w:r>
      <w:r>
        <w:rPr>
          <w:rFonts w:ascii="Times New Roman" w:hAnsi="Times New Roman" w:cs="Times New Roman"/>
        </w:rPr>
        <w:instrText xml:space="preserve"> ADDIN ZOTERO_ITEM CSL_CITATION {"citationID":"zzA59ui8","properties":{"formattedCitation":"(Schretzlmaier, Hecker and Ammenwerth, 2022)","plainCitation":"(Schretzlmaier, Hecker and Ammenwerth, 2022)","noteIndex":0},"citationItems":[{"id":182,"uris":["http://zotero.org/users/local/GVEXpyuZ/items/DP3GBVFV"],"itemData":{"id":182,"type":"article-journal","abstract":"Background\nIn recent years, the use of mobile health (mHealth) apps to manage chronic diseases has increased significantly. Although mHealth apps have many benefits, their acceptance is still low in certain areas and groups. Most mHealth acceptance studies are based on technology acceptance models. In particular, the Unified Theory of Acceptance and Use of Technology 2 (UTAUT2) model was developed to predict technology acceptance in a consumer context. However, to date, only a few studies have used the UTAUT2 model to predict mHealth acceptance and confirm its suitability for the health sector. Thus, it is unclear whether the UTAUT2 model is suitable for predicting mHealth acceptance and whether essential variables for a health-related context are missing.\n\nObjective\nThis study aims to validate the suitability of UTAUT2 for predicting mHealth acceptance.\n\nMethods\nIn this study, diabetes was used as an example as mHealth apps are a significant element of diabetes self-management. In addition, diabetes is one of the most common chronic diseases affecting young and older people worldwide. An explorative literature review and guided interviews with 11 mHealth or technology acceptance experts and 8 mHealth users in Austria and Germany were triangulated to identify all relevant constructs for predicting mHealth acceptance. The interview participants were recruited by purposive sampling until theoretical saturation was reached. Data were analyzed using structured content analysis based on inductive and deductive approaches.\n\nResults\nThis study was able to confirm the relevance of all exogenous UTAUT2 constructs. However, it revealed two additional constructs that may also need to be considered to better predict mHealth acceptance: trust and perceived disease threat.\n\nConclusions\nThis study showed that the UTAUT2 model is suitable for predicting mHealth acceptance. However, the model should be extended to include 2 additional constructs for use in the mHealth context.","container-title":"JMIR Human Factors","DOI":"10.2196/34918","ISSN":"2292-9495","issue":"1","journalAbbreviation":"JMIR Hum Factors","note":"PMID: 35262493\nPMCID: PMC8943545","page":"e34918","source":"PubMed Central","title":"Suitability of the Unified Theory of Acceptance and Use of Technology 2 Model for Predicting mHealth Acceptance Using Diabetes as an Example: Qualitative Methods Triangulation Study","title-short":"Suitability of the Unified Theory of Acceptance and Use of Technology 2 Model for Predicting mHealth Acceptance Using Diabetes as an Example","volume":"9","author":[{"family":"Schretzlmaier","given":"Patrik"},{"family":"Hecker","given":"Achim"},{"family":"Ammenwerth","given":"Elske"}],"issued":{"date-parts":[["2022",3,9]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(Schretzlmaier, Hecker and Ammenwerth, 2022)</w:t>
      </w:r>
      <w:r>
        <w:rPr>
          <w:rFonts w:ascii="Times New Roman" w:hAnsi="Times New Roman" w:cs="Times New Roman"/>
        </w:rPr>
        <w:fldChar w:fldCharType="end"/>
      </w:r>
      <w:r>
        <w:rPr>
          <w:rFonts w:ascii="Times New Roman" w:hAnsi="Times New Roman" w:cs="Times New Roman"/>
        </w:rPr>
        <w:t xml:space="preserve">. </w:t>
      </w:r>
      <w:r w:rsidRPr="00D61FD1">
        <w:rPr>
          <w:rFonts w:ascii="Times New Roman" w:hAnsi="Times New Roman" w:cs="Times New Roman"/>
        </w:rPr>
        <w:t>Furthermore, qualitative findings may be influenced by the researcher's biases or the participants' willingness to share their experiences, which can affect the reliability and validity of the results</w:t>
      </w:r>
      <w:r>
        <w:rPr>
          <w:rFonts w:ascii="Times New Roman" w:hAnsi="Times New Roman" w:cs="Times New Roman"/>
        </w:rPr>
        <w:t xml:space="preserve">. </w:t>
      </w:r>
      <w:r w:rsidRPr="00D61FD1">
        <w:rPr>
          <w:rFonts w:ascii="Times New Roman" w:hAnsi="Times New Roman" w:cs="Times New Roman"/>
        </w:rPr>
        <w:t>To enhance the robustness of findings, it may be beneficial to complement qualitative methods with quantitative approaches that can provide more comprehensive data on patient experiences.</w:t>
      </w:r>
    </w:p>
    <w:p w14:paraId="0C866DBB" w14:textId="77777777" w:rsidR="00D61FD1" w:rsidRDefault="00D61FD1" w:rsidP="00D61FD1">
      <w:pPr>
        <w:spacing w:line="360" w:lineRule="auto"/>
        <w:jc w:val="both"/>
        <w:rPr>
          <w:rFonts w:ascii="Times New Roman" w:hAnsi="Times New Roman" w:cs="Times New Roman"/>
        </w:rPr>
      </w:pPr>
    </w:p>
    <w:p w14:paraId="36181398" w14:textId="2DDA6B62" w:rsidR="00D61FD1" w:rsidRPr="0065427D" w:rsidRDefault="00D61FD1" w:rsidP="00D61FD1">
      <w:pPr>
        <w:spacing w:line="360" w:lineRule="auto"/>
        <w:jc w:val="both"/>
        <w:rPr>
          <w:rFonts w:ascii="Times New Roman" w:hAnsi="Times New Roman" w:cs="Times New Roman"/>
          <w:b/>
          <w:bCs/>
        </w:rPr>
      </w:pPr>
      <w:r w:rsidRPr="0065427D">
        <w:rPr>
          <w:rFonts w:ascii="Times New Roman" w:hAnsi="Times New Roman" w:cs="Times New Roman"/>
          <w:b/>
          <w:bCs/>
        </w:rPr>
        <w:t>Contribution to Knowledge, Practice and Management</w:t>
      </w:r>
    </w:p>
    <w:p w14:paraId="1FEBF47E" w14:textId="77777777" w:rsidR="00D61FD1" w:rsidRPr="00D61FD1" w:rsidRDefault="00D61FD1" w:rsidP="00D61FD1">
      <w:pPr>
        <w:spacing w:line="360" w:lineRule="auto"/>
        <w:jc w:val="both"/>
        <w:rPr>
          <w:rFonts w:ascii="Times New Roman" w:hAnsi="Times New Roman" w:cs="Times New Roman"/>
        </w:rPr>
      </w:pPr>
    </w:p>
    <w:p w14:paraId="4743AD9D" w14:textId="462FCCBE"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 xml:space="preserve">The findings from </w:t>
      </w:r>
      <w:r>
        <w:rPr>
          <w:rFonts w:ascii="Times New Roman" w:hAnsi="Times New Roman" w:cs="Times New Roman"/>
        </w:rPr>
        <w:t>the</w:t>
      </w:r>
      <w:r w:rsidRPr="00D61FD1">
        <w:rPr>
          <w:rFonts w:ascii="Times New Roman" w:hAnsi="Times New Roman" w:cs="Times New Roman"/>
        </w:rPr>
        <w:t xml:space="preserve"> research on enhancing the effectiveness of telerehabilitation </w:t>
      </w:r>
      <w:r>
        <w:rPr>
          <w:rFonts w:ascii="Times New Roman" w:hAnsi="Times New Roman" w:cs="Times New Roman"/>
        </w:rPr>
        <w:t>would</w:t>
      </w:r>
      <w:r w:rsidRPr="00D61FD1">
        <w:rPr>
          <w:rFonts w:ascii="Times New Roman" w:hAnsi="Times New Roman" w:cs="Times New Roman"/>
        </w:rPr>
        <w:t xml:space="preserve"> contribute to knowledge, practice, and management in the field of healthcare technology, particularly for aging populations. </w:t>
      </w:r>
    </w:p>
    <w:p w14:paraId="05B341EF" w14:textId="77777777" w:rsidR="0065427D" w:rsidRDefault="0065427D" w:rsidP="00D61FD1">
      <w:pPr>
        <w:spacing w:line="360" w:lineRule="auto"/>
        <w:jc w:val="both"/>
        <w:rPr>
          <w:rFonts w:ascii="Times New Roman" w:hAnsi="Times New Roman" w:cs="Times New Roman"/>
        </w:rPr>
      </w:pPr>
    </w:p>
    <w:p w14:paraId="594AD186" w14:textId="48F5208D"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Enhancing Knowledge</w:t>
      </w:r>
    </w:p>
    <w:p w14:paraId="2654E14A"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Understanding User Needs: The research will provide valuable insights into the specific factors that influence elderly users' adoption of telerehabilitation technologies. This knowledge can inform future studies and help other researchers understand the nuances of technology acceptance in healthcare.</w:t>
      </w:r>
    </w:p>
    <w:p w14:paraId="2153A508" w14:textId="77777777" w:rsidR="00D61FD1" w:rsidRPr="00D61FD1" w:rsidRDefault="00D61FD1" w:rsidP="00D61FD1">
      <w:pPr>
        <w:spacing w:line="360" w:lineRule="auto"/>
        <w:jc w:val="both"/>
        <w:rPr>
          <w:rFonts w:ascii="Times New Roman" w:hAnsi="Times New Roman" w:cs="Times New Roman"/>
        </w:rPr>
      </w:pPr>
    </w:p>
    <w:p w14:paraId="20EEF2E2"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Identifying Barriers and Facilitators: By identifying common barriers (e.g., technology anxiety, usability issues) and facilitators (e.g., perceived usefulness, social support) to adoption, the findings can serve as a foundation for further research into overcoming these challenges.</w:t>
      </w:r>
    </w:p>
    <w:p w14:paraId="09E88CD0" w14:textId="77777777" w:rsidR="00D61FD1" w:rsidRPr="00D61FD1" w:rsidRDefault="00D61FD1" w:rsidP="00D61FD1">
      <w:pPr>
        <w:spacing w:line="360" w:lineRule="auto"/>
        <w:jc w:val="both"/>
        <w:rPr>
          <w:rFonts w:ascii="Times New Roman" w:hAnsi="Times New Roman" w:cs="Times New Roman"/>
        </w:rPr>
      </w:pPr>
    </w:p>
    <w:p w14:paraId="396ED0B1"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Cultural Contextualization: Understanding how cultural, social, and environmental factors in Hong Kong impact technology adoption can contribute to the global body of knowledge on telerehabilitation and technology use among elderly populations.</w:t>
      </w:r>
    </w:p>
    <w:p w14:paraId="6B48FAED" w14:textId="77777777" w:rsidR="00D61FD1" w:rsidRPr="00D61FD1" w:rsidRDefault="00D61FD1" w:rsidP="00D61FD1">
      <w:pPr>
        <w:spacing w:line="360" w:lineRule="auto"/>
        <w:jc w:val="both"/>
        <w:rPr>
          <w:rFonts w:ascii="Times New Roman" w:hAnsi="Times New Roman" w:cs="Times New Roman"/>
        </w:rPr>
      </w:pPr>
    </w:p>
    <w:p w14:paraId="69CF5420" w14:textId="7EEE99EF"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Improving Practice</w:t>
      </w:r>
    </w:p>
    <w:p w14:paraId="51DB3D65"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Guiding Product Development: The findings can inform the design and development of telerehabilitation software that is better suited to the needs of elderly users. By focusing on user-centered design principles, practitioners can create more effective and engaging solutions.</w:t>
      </w:r>
    </w:p>
    <w:p w14:paraId="62CF2980" w14:textId="77777777" w:rsidR="00D61FD1" w:rsidRPr="00D61FD1" w:rsidRDefault="00D61FD1" w:rsidP="00D61FD1">
      <w:pPr>
        <w:spacing w:line="360" w:lineRule="auto"/>
        <w:jc w:val="both"/>
        <w:rPr>
          <w:rFonts w:ascii="Times New Roman" w:hAnsi="Times New Roman" w:cs="Times New Roman"/>
        </w:rPr>
      </w:pPr>
    </w:p>
    <w:p w14:paraId="4077FD39"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Tailored Interventions: Healthcare providers can utilize the research findings to develop targeted interventions that address specific user concerns, thereby improving the overall effectiveness of telerehabilitation programs.</w:t>
      </w:r>
    </w:p>
    <w:p w14:paraId="563A58DC" w14:textId="77777777" w:rsidR="00D61FD1" w:rsidRPr="00D61FD1" w:rsidRDefault="00D61FD1" w:rsidP="00D61FD1">
      <w:pPr>
        <w:spacing w:line="360" w:lineRule="auto"/>
        <w:jc w:val="both"/>
        <w:rPr>
          <w:rFonts w:ascii="Times New Roman" w:hAnsi="Times New Roman" w:cs="Times New Roman"/>
        </w:rPr>
      </w:pPr>
    </w:p>
    <w:p w14:paraId="176FD201"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lastRenderedPageBreak/>
        <w:t>Training and Support Programs: Insights into user intentions can guide the creation of training programs for both patients and healthcare providers, focusing on enhancing digital literacy and reducing technology anxiety.</w:t>
      </w:r>
    </w:p>
    <w:p w14:paraId="37D84149" w14:textId="77777777" w:rsidR="00D61FD1" w:rsidRPr="00D61FD1" w:rsidRDefault="00D61FD1" w:rsidP="00D61FD1">
      <w:pPr>
        <w:spacing w:line="360" w:lineRule="auto"/>
        <w:jc w:val="both"/>
        <w:rPr>
          <w:rFonts w:ascii="Times New Roman" w:hAnsi="Times New Roman" w:cs="Times New Roman"/>
        </w:rPr>
      </w:pPr>
    </w:p>
    <w:p w14:paraId="7E4D6DF3" w14:textId="2294686D"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Enhancing Management Strategies</w:t>
      </w:r>
    </w:p>
    <w:p w14:paraId="7B7FFAB6"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Informed Decision-Making: The research will provide data-driven insights that can aid healthcare managers and business owners in making informed decisions regarding resource allocation, product features, and marketing strategies.</w:t>
      </w:r>
    </w:p>
    <w:p w14:paraId="77C2067C" w14:textId="77777777" w:rsidR="00D61FD1" w:rsidRPr="00D61FD1" w:rsidRDefault="00D61FD1" w:rsidP="00D61FD1">
      <w:pPr>
        <w:spacing w:line="360" w:lineRule="auto"/>
        <w:jc w:val="both"/>
        <w:rPr>
          <w:rFonts w:ascii="Times New Roman" w:hAnsi="Times New Roman" w:cs="Times New Roman"/>
        </w:rPr>
      </w:pPr>
    </w:p>
    <w:p w14:paraId="697FB250"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Policy Development: Findings can inform policymakers about the critical factors affecting technology adoption, enabling them to create supportive policies that promote equitable access to telerehabilitation services for the aging population.</w:t>
      </w:r>
    </w:p>
    <w:p w14:paraId="62E89D39" w14:textId="77777777" w:rsidR="00D61FD1" w:rsidRPr="00D61FD1" w:rsidRDefault="00D61FD1" w:rsidP="00D61FD1">
      <w:pPr>
        <w:spacing w:line="360" w:lineRule="auto"/>
        <w:jc w:val="both"/>
        <w:rPr>
          <w:rFonts w:ascii="Times New Roman" w:hAnsi="Times New Roman" w:cs="Times New Roman"/>
        </w:rPr>
      </w:pPr>
    </w:p>
    <w:p w14:paraId="10E47EB5"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Risk Mitigation Strategies: Understanding potential inhibitors to adoption can help managers develop risk management strategies that proactively address these issues, ultimately leading to more successful implementation of telerehabilitation services.</w:t>
      </w:r>
    </w:p>
    <w:p w14:paraId="28DDA7EB" w14:textId="77777777" w:rsidR="00D61FD1" w:rsidRPr="00D61FD1" w:rsidRDefault="00D61FD1" w:rsidP="00D61FD1">
      <w:pPr>
        <w:spacing w:line="360" w:lineRule="auto"/>
        <w:jc w:val="both"/>
        <w:rPr>
          <w:rFonts w:ascii="Times New Roman" w:hAnsi="Times New Roman" w:cs="Times New Roman"/>
        </w:rPr>
      </w:pPr>
    </w:p>
    <w:p w14:paraId="5A7FA4C2" w14:textId="3276E827"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Fostering Collaboration and Stakeholder Engagement</w:t>
      </w:r>
    </w:p>
    <w:p w14:paraId="6DE07DC4"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Building Partnerships: The research findings can foster collaboration between technology providers, healthcare professionals, and community organizations, leading to integrated approaches in delivering telerehabilitation services.</w:t>
      </w:r>
    </w:p>
    <w:p w14:paraId="5845B97E" w14:textId="77777777" w:rsidR="00D61FD1" w:rsidRPr="00D61FD1" w:rsidRDefault="00D61FD1" w:rsidP="00D61FD1">
      <w:pPr>
        <w:spacing w:line="360" w:lineRule="auto"/>
        <w:jc w:val="both"/>
        <w:rPr>
          <w:rFonts w:ascii="Times New Roman" w:hAnsi="Times New Roman" w:cs="Times New Roman"/>
        </w:rPr>
      </w:pPr>
    </w:p>
    <w:p w14:paraId="05EA0931"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Engaging Stakeholders: By understanding user needs and concerns, stakeholders—including patients, caregivers, and healthcare providers—can be more effectively engaged in the design and implementation of telerehabilitation programs.</w:t>
      </w:r>
    </w:p>
    <w:p w14:paraId="7E6F5E49" w14:textId="77777777" w:rsidR="00D61FD1" w:rsidRPr="00D61FD1" w:rsidRDefault="00D61FD1" w:rsidP="00D61FD1">
      <w:pPr>
        <w:spacing w:line="360" w:lineRule="auto"/>
        <w:jc w:val="both"/>
        <w:rPr>
          <w:rFonts w:ascii="Times New Roman" w:hAnsi="Times New Roman" w:cs="Times New Roman"/>
        </w:rPr>
      </w:pPr>
    </w:p>
    <w:p w14:paraId="11810D49" w14:textId="16B4EFBF"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lastRenderedPageBreak/>
        <w:t>Promoting Continuous Improvement</w:t>
      </w:r>
    </w:p>
    <w:p w14:paraId="1EE75940"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Feedback Mechanisms: The research can establish a framework for ongoing feedback from users, enabling continuous improvement of telerehabilitation services. This iterative process ensures that products remain relevant and effective over time.</w:t>
      </w:r>
    </w:p>
    <w:p w14:paraId="2C57BAC7" w14:textId="77777777" w:rsidR="00D61FD1" w:rsidRPr="00D61FD1" w:rsidRDefault="00D61FD1" w:rsidP="00D61FD1">
      <w:pPr>
        <w:spacing w:line="360" w:lineRule="auto"/>
        <w:jc w:val="both"/>
        <w:rPr>
          <w:rFonts w:ascii="Times New Roman" w:hAnsi="Times New Roman" w:cs="Times New Roman"/>
        </w:rPr>
      </w:pPr>
    </w:p>
    <w:p w14:paraId="3CA5258E"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Benchmarking Best Practices: Findings can help identify best practices in telerehabilitation that can be shared across organizations and regions, promoting a culture of learning and improvement in the field.</w:t>
      </w:r>
    </w:p>
    <w:p w14:paraId="269E9A72" w14:textId="77777777" w:rsidR="00D61FD1" w:rsidRPr="00D61FD1" w:rsidRDefault="00D61FD1" w:rsidP="00D61FD1">
      <w:pPr>
        <w:spacing w:line="360" w:lineRule="auto"/>
        <w:jc w:val="both"/>
        <w:rPr>
          <w:rFonts w:ascii="Times New Roman" w:hAnsi="Times New Roman" w:cs="Times New Roman"/>
        </w:rPr>
      </w:pPr>
    </w:p>
    <w:p w14:paraId="2D97C36F" w14:textId="365E221E" w:rsidR="00D61FD1" w:rsidRPr="0065427D" w:rsidRDefault="00D61FD1" w:rsidP="00D61FD1">
      <w:pPr>
        <w:spacing w:line="360" w:lineRule="auto"/>
        <w:jc w:val="both"/>
        <w:rPr>
          <w:rFonts w:ascii="Times New Roman" w:hAnsi="Times New Roman" w:cs="Times New Roman"/>
          <w:u w:val="single"/>
        </w:rPr>
      </w:pPr>
      <w:r w:rsidRPr="0065427D">
        <w:rPr>
          <w:rFonts w:ascii="Times New Roman" w:hAnsi="Times New Roman" w:cs="Times New Roman"/>
          <w:u w:val="single"/>
        </w:rPr>
        <w:t>Impacting Health Outcomes</w:t>
      </w:r>
    </w:p>
    <w:p w14:paraId="32313FC2"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Improving Access and Equity: By promoting a better understanding of technology adoption, the research can lead to interventions that improve access to telerehabilitation services for underserved populations, ultimately enhancing health outcomes for the aging population.</w:t>
      </w:r>
    </w:p>
    <w:p w14:paraId="2667C56D" w14:textId="77777777" w:rsidR="00D61FD1" w:rsidRPr="00D61FD1" w:rsidRDefault="00D61FD1" w:rsidP="00D61FD1">
      <w:pPr>
        <w:spacing w:line="360" w:lineRule="auto"/>
        <w:jc w:val="both"/>
        <w:rPr>
          <w:rFonts w:ascii="Times New Roman" w:hAnsi="Times New Roman" w:cs="Times New Roman"/>
        </w:rPr>
      </w:pPr>
    </w:p>
    <w:p w14:paraId="760DB92A" w14:textId="77777777" w:rsidR="00D61FD1" w:rsidRP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Enhancing Patient Engagement: Improved understanding of user motivations and barriers can lead to strategies that enhance patient engagement in their own rehabilitation, resulting in better adherence to treatment plans and improved health outcomes.</w:t>
      </w:r>
    </w:p>
    <w:p w14:paraId="078586E8" w14:textId="77777777" w:rsidR="00D61FD1" w:rsidRPr="00D61FD1" w:rsidRDefault="00D61FD1" w:rsidP="00D61FD1">
      <w:pPr>
        <w:spacing w:line="360" w:lineRule="auto"/>
        <w:jc w:val="both"/>
        <w:rPr>
          <w:rFonts w:ascii="Times New Roman" w:hAnsi="Times New Roman" w:cs="Times New Roman"/>
        </w:rPr>
      </w:pPr>
    </w:p>
    <w:p w14:paraId="17341929" w14:textId="2895357E" w:rsidR="00D61FD1" w:rsidRDefault="00D61FD1" w:rsidP="00D61FD1">
      <w:pPr>
        <w:spacing w:line="360" w:lineRule="auto"/>
        <w:jc w:val="both"/>
        <w:rPr>
          <w:rFonts w:ascii="Times New Roman" w:hAnsi="Times New Roman" w:cs="Times New Roman"/>
        </w:rPr>
      </w:pPr>
      <w:r w:rsidRPr="00D61FD1">
        <w:rPr>
          <w:rFonts w:ascii="Times New Roman" w:hAnsi="Times New Roman" w:cs="Times New Roman"/>
        </w:rPr>
        <w:t>In summary, the findings from your research can significantly enhance knowledge, improve practical applications, and inform management strategies in the field of telerehabilitation. This holistic approach can ultimately lead to better health outcomes for the aging population in Hong Kong and beyond.</w:t>
      </w:r>
    </w:p>
    <w:p w14:paraId="01522086" w14:textId="77777777" w:rsidR="00AF5FAC" w:rsidRDefault="00AF5FAC" w:rsidP="0059639E">
      <w:pPr>
        <w:spacing w:line="360" w:lineRule="auto"/>
        <w:jc w:val="both"/>
        <w:rPr>
          <w:rFonts w:ascii="Times New Roman" w:hAnsi="Times New Roman" w:cs="Times New Roman"/>
        </w:rPr>
      </w:pPr>
    </w:p>
    <w:p w14:paraId="468E066B" w14:textId="04AA8342" w:rsidR="0065427D" w:rsidRPr="00AF5FAC" w:rsidRDefault="0065427D" w:rsidP="0059639E">
      <w:pPr>
        <w:spacing w:line="360" w:lineRule="auto"/>
        <w:jc w:val="both"/>
        <w:rPr>
          <w:rFonts w:ascii="Times New Roman" w:hAnsi="Times New Roman" w:cs="Times New Roman"/>
          <w:b/>
          <w:bCs/>
        </w:rPr>
      </w:pPr>
      <w:r w:rsidRPr="00AF5FAC">
        <w:rPr>
          <w:rFonts w:ascii="Times New Roman" w:hAnsi="Times New Roman" w:cs="Times New Roman"/>
          <w:b/>
          <w:bCs/>
        </w:rPr>
        <w:t>Bibliography</w:t>
      </w:r>
    </w:p>
    <w:p w14:paraId="5AF8FA36" w14:textId="77777777" w:rsidR="0065427D" w:rsidRPr="0065427D" w:rsidRDefault="0065427D" w:rsidP="0065427D">
      <w:pPr>
        <w:pStyle w:val="Bibliography"/>
        <w:rPr>
          <w:rFonts w:ascii="Times New Roman" w:hAnsi="Times New Roman" w:cs="Times New Roman"/>
        </w:rPr>
      </w:pPr>
      <w:r>
        <w:fldChar w:fldCharType="begin"/>
      </w:r>
      <w:r>
        <w:instrText xml:space="preserve"> ADDIN ZOTERO_BIBL {"uncited":[],"omitted":[],"custom":[]} CSL_BIBLIOGRAPHY </w:instrText>
      </w:r>
      <w:r>
        <w:fldChar w:fldCharType="separate"/>
      </w:r>
      <w:r w:rsidRPr="0065427D">
        <w:rPr>
          <w:rFonts w:ascii="Times New Roman" w:hAnsi="Times New Roman" w:cs="Times New Roman"/>
        </w:rPr>
        <w:t xml:space="preserve">Ajzen, I. (1991) ‘The theory of planned behavior’, </w:t>
      </w:r>
      <w:r w:rsidRPr="0065427D">
        <w:rPr>
          <w:rFonts w:ascii="Times New Roman" w:hAnsi="Times New Roman" w:cs="Times New Roman"/>
          <w:i/>
          <w:iCs/>
        </w:rPr>
        <w:t>Organizational Behavior and Human Decision Processes</w:t>
      </w:r>
      <w:r w:rsidRPr="0065427D">
        <w:rPr>
          <w:rFonts w:ascii="Times New Roman" w:hAnsi="Times New Roman" w:cs="Times New Roman"/>
        </w:rPr>
        <w:t>, 50(2), pp. 179–211. Available at: https://doi.org/10.1016/0749-5978(91)90020-T.</w:t>
      </w:r>
    </w:p>
    <w:p w14:paraId="1CA3BDEA" w14:textId="77777777" w:rsidR="0065427D" w:rsidRPr="0065427D" w:rsidRDefault="0065427D" w:rsidP="0065427D">
      <w:pPr>
        <w:pStyle w:val="Bibliography"/>
        <w:rPr>
          <w:rFonts w:ascii="Times New Roman" w:hAnsi="Times New Roman" w:cs="Times New Roman"/>
        </w:rPr>
      </w:pPr>
      <w:proofErr w:type="spellStart"/>
      <w:r w:rsidRPr="0065427D">
        <w:rPr>
          <w:rFonts w:ascii="Times New Roman" w:hAnsi="Times New Roman" w:cs="Times New Roman"/>
        </w:rPr>
        <w:lastRenderedPageBreak/>
        <w:t>Ammenwerth</w:t>
      </w:r>
      <w:proofErr w:type="spellEnd"/>
      <w:r w:rsidRPr="0065427D">
        <w:rPr>
          <w:rFonts w:ascii="Times New Roman" w:hAnsi="Times New Roman" w:cs="Times New Roman"/>
        </w:rPr>
        <w:t xml:space="preserve"> </w:t>
      </w:r>
      <w:proofErr w:type="spellStart"/>
      <w:r w:rsidRPr="0065427D">
        <w:rPr>
          <w:rFonts w:ascii="Times New Roman" w:hAnsi="Times New Roman" w:cs="Times New Roman"/>
        </w:rPr>
        <w:t>Elske</w:t>
      </w:r>
      <w:proofErr w:type="spellEnd"/>
      <w:r w:rsidRPr="0065427D">
        <w:rPr>
          <w:rFonts w:ascii="Times New Roman" w:hAnsi="Times New Roman" w:cs="Times New Roman"/>
        </w:rPr>
        <w:t xml:space="preserve"> (2019) ‘Technology Acceptance Models in Health Informatics: TAM and UTAUT’, in </w:t>
      </w:r>
      <w:r w:rsidRPr="0065427D">
        <w:rPr>
          <w:rFonts w:ascii="Times New Roman" w:hAnsi="Times New Roman" w:cs="Times New Roman"/>
          <w:i/>
          <w:iCs/>
        </w:rPr>
        <w:t>Studies in Health Technology and Informatics</w:t>
      </w:r>
      <w:r w:rsidRPr="0065427D">
        <w:rPr>
          <w:rFonts w:ascii="Times New Roman" w:hAnsi="Times New Roman" w:cs="Times New Roman"/>
        </w:rPr>
        <w:t>. IOS Press. Available at: https://doi.org/10.3233/SHTI190111.</w:t>
      </w:r>
    </w:p>
    <w:p w14:paraId="50B97ABF"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Armitage, C.J. and Conner, M. (2001) ‘Efficacy of the Theory of Planned </w:t>
      </w:r>
      <w:proofErr w:type="spellStart"/>
      <w:r w:rsidRPr="0065427D">
        <w:rPr>
          <w:rFonts w:ascii="Times New Roman" w:hAnsi="Times New Roman" w:cs="Times New Roman"/>
        </w:rPr>
        <w:t>Behaviour</w:t>
      </w:r>
      <w:proofErr w:type="spellEnd"/>
      <w:r w:rsidRPr="0065427D">
        <w:rPr>
          <w:rFonts w:ascii="Times New Roman" w:hAnsi="Times New Roman" w:cs="Times New Roman"/>
        </w:rPr>
        <w:t xml:space="preserve">: A meta-analytic review’, </w:t>
      </w:r>
      <w:r w:rsidRPr="0065427D">
        <w:rPr>
          <w:rFonts w:ascii="Times New Roman" w:hAnsi="Times New Roman" w:cs="Times New Roman"/>
          <w:i/>
          <w:iCs/>
        </w:rPr>
        <w:t>British Journal of Social Psychology</w:t>
      </w:r>
      <w:r w:rsidRPr="0065427D">
        <w:rPr>
          <w:rFonts w:ascii="Times New Roman" w:hAnsi="Times New Roman" w:cs="Times New Roman"/>
        </w:rPr>
        <w:t>, 40(4), pp. 471–499. Available at: https://doi.org/10.1348/014466601164939.</w:t>
      </w:r>
    </w:p>
    <w:p w14:paraId="76A6C8D3"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Bandura, A. (1986) </w:t>
      </w:r>
      <w:r w:rsidRPr="0065427D">
        <w:rPr>
          <w:rFonts w:ascii="Times New Roman" w:hAnsi="Times New Roman" w:cs="Times New Roman"/>
          <w:i/>
          <w:iCs/>
        </w:rPr>
        <w:t>Social foundations of thought and action: a social cognitive theory</w:t>
      </w:r>
      <w:r w:rsidRPr="0065427D">
        <w:rPr>
          <w:rFonts w:ascii="Times New Roman" w:hAnsi="Times New Roman" w:cs="Times New Roman"/>
        </w:rPr>
        <w:t>. Englewood Cliffs, N.J: Prentice-Hall (Prentice-Hall series in social learning theory).</w:t>
      </w:r>
    </w:p>
    <w:p w14:paraId="777345E1"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Bandura, A. (2000) ‘Health Promotion from the Perspective of Social Cognitive Theory’, in </w:t>
      </w:r>
      <w:r w:rsidRPr="0065427D">
        <w:rPr>
          <w:rFonts w:ascii="Times New Roman" w:hAnsi="Times New Roman" w:cs="Times New Roman"/>
          <w:i/>
          <w:iCs/>
        </w:rPr>
        <w:t xml:space="preserve">Understanding and Changing Health </w:t>
      </w:r>
      <w:proofErr w:type="spellStart"/>
      <w:r w:rsidRPr="0065427D">
        <w:rPr>
          <w:rFonts w:ascii="Times New Roman" w:hAnsi="Times New Roman" w:cs="Times New Roman"/>
          <w:i/>
          <w:iCs/>
        </w:rPr>
        <w:t>Behaviour</w:t>
      </w:r>
      <w:proofErr w:type="spellEnd"/>
      <w:r w:rsidRPr="0065427D">
        <w:rPr>
          <w:rFonts w:ascii="Times New Roman" w:hAnsi="Times New Roman" w:cs="Times New Roman"/>
        </w:rPr>
        <w:t>. Psychology Press.</w:t>
      </w:r>
    </w:p>
    <w:p w14:paraId="1C4CB2EA"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Census and Statistics Department (2023) ‘Hong Kong Population Projections for 2022 to 2046’.</w:t>
      </w:r>
    </w:p>
    <w:p w14:paraId="45787D52"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Chau, P.Y.K. and Hu, P.J.-H. (2001) ‘Information Technology Acceptance by Individual Professionals: A Model Comparison Approach’, </w:t>
      </w:r>
      <w:r w:rsidRPr="0065427D">
        <w:rPr>
          <w:rFonts w:ascii="Times New Roman" w:hAnsi="Times New Roman" w:cs="Times New Roman"/>
          <w:i/>
          <w:iCs/>
        </w:rPr>
        <w:t>Decision Sciences</w:t>
      </w:r>
      <w:r w:rsidRPr="0065427D">
        <w:rPr>
          <w:rFonts w:ascii="Times New Roman" w:hAnsi="Times New Roman" w:cs="Times New Roman"/>
        </w:rPr>
        <w:t>, 32(4), pp. 699–719. Available at: https://doi.org/10.1111/j.1540-5915.2001.tb00978.x.</w:t>
      </w:r>
    </w:p>
    <w:p w14:paraId="3A6C831D" w14:textId="77777777" w:rsidR="0065427D" w:rsidRPr="0065427D" w:rsidRDefault="0065427D" w:rsidP="0065427D">
      <w:pPr>
        <w:pStyle w:val="Bibliography"/>
        <w:rPr>
          <w:rFonts w:ascii="Times New Roman" w:hAnsi="Times New Roman" w:cs="Times New Roman"/>
        </w:rPr>
      </w:pPr>
      <w:proofErr w:type="spellStart"/>
      <w:r w:rsidRPr="0065427D">
        <w:rPr>
          <w:rFonts w:ascii="Times New Roman" w:hAnsi="Times New Roman" w:cs="Times New Roman"/>
        </w:rPr>
        <w:t>Cranen</w:t>
      </w:r>
      <w:proofErr w:type="spellEnd"/>
      <w:r w:rsidRPr="0065427D">
        <w:rPr>
          <w:rFonts w:ascii="Times New Roman" w:hAnsi="Times New Roman" w:cs="Times New Roman"/>
        </w:rPr>
        <w:t xml:space="preserve">, K. </w:t>
      </w:r>
      <w:r w:rsidRPr="0065427D">
        <w:rPr>
          <w:rFonts w:ascii="Times New Roman" w:hAnsi="Times New Roman" w:cs="Times New Roman"/>
          <w:i/>
          <w:iCs/>
        </w:rPr>
        <w:t>et al.</w:t>
      </w:r>
      <w:r w:rsidRPr="0065427D">
        <w:rPr>
          <w:rFonts w:ascii="Times New Roman" w:hAnsi="Times New Roman" w:cs="Times New Roman"/>
        </w:rPr>
        <w:t xml:space="preserve"> (2012) ‘An exploration of chronic pain patients’ perceptions of home telerehabilitation services’, </w:t>
      </w:r>
      <w:r w:rsidRPr="0065427D">
        <w:rPr>
          <w:rFonts w:ascii="Times New Roman" w:hAnsi="Times New Roman" w:cs="Times New Roman"/>
          <w:i/>
          <w:iCs/>
        </w:rPr>
        <w:t>Health Expectations</w:t>
      </w:r>
      <w:r w:rsidRPr="0065427D">
        <w:rPr>
          <w:rFonts w:ascii="Times New Roman" w:hAnsi="Times New Roman" w:cs="Times New Roman"/>
        </w:rPr>
        <w:t>, 15(4), pp. 339–350. Available at: https://doi.org/10.1111/j.1369-7625.2011.00668.x.</w:t>
      </w:r>
    </w:p>
    <w:p w14:paraId="6FEEBE95"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Davis, F.D. (1989) ‘Perceived Usefulness, Perceived Ease of Use, and User Acceptance of Information Technology’, </w:t>
      </w:r>
      <w:r w:rsidRPr="0065427D">
        <w:rPr>
          <w:rFonts w:ascii="Times New Roman" w:hAnsi="Times New Roman" w:cs="Times New Roman"/>
          <w:i/>
          <w:iCs/>
        </w:rPr>
        <w:t>MIS Quarterly</w:t>
      </w:r>
      <w:r w:rsidRPr="0065427D">
        <w:rPr>
          <w:rFonts w:ascii="Times New Roman" w:hAnsi="Times New Roman" w:cs="Times New Roman"/>
        </w:rPr>
        <w:t>, 13(3), pp. 319–340. Available at: https://doi.org/10.2307/249008.</w:t>
      </w:r>
    </w:p>
    <w:p w14:paraId="35124C2C"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Dijk, J. van (2020) </w:t>
      </w:r>
      <w:r w:rsidRPr="0065427D">
        <w:rPr>
          <w:rFonts w:ascii="Times New Roman" w:hAnsi="Times New Roman" w:cs="Times New Roman"/>
          <w:i/>
          <w:iCs/>
        </w:rPr>
        <w:t>The Digital Divide</w:t>
      </w:r>
      <w:r w:rsidRPr="0065427D">
        <w:rPr>
          <w:rFonts w:ascii="Times New Roman" w:hAnsi="Times New Roman" w:cs="Times New Roman"/>
        </w:rPr>
        <w:t>. John Wiley &amp; Sons.</w:t>
      </w:r>
    </w:p>
    <w:p w14:paraId="1A00F8FF"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Godin, G. </w:t>
      </w:r>
      <w:r w:rsidRPr="0065427D">
        <w:rPr>
          <w:rFonts w:ascii="Times New Roman" w:hAnsi="Times New Roman" w:cs="Times New Roman"/>
          <w:i/>
          <w:iCs/>
        </w:rPr>
        <w:t>et al.</w:t>
      </w:r>
      <w:r w:rsidRPr="0065427D">
        <w:rPr>
          <w:rFonts w:ascii="Times New Roman" w:hAnsi="Times New Roman" w:cs="Times New Roman"/>
        </w:rPr>
        <w:t xml:space="preserve"> (2008) ‘Healthcare professionals’ intentions and </w:t>
      </w:r>
      <w:proofErr w:type="spellStart"/>
      <w:r w:rsidRPr="0065427D">
        <w:rPr>
          <w:rFonts w:ascii="Times New Roman" w:hAnsi="Times New Roman" w:cs="Times New Roman"/>
        </w:rPr>
        <w:t>behaviours</w:t>
      </w:r>
      <w:proofErr w:type="spellEnd"/>
      <w:r w:rsidRPr="0065427D">
        <w:rPr>
          <w:rFonts w:ascii="Times New Roman" w:hAnsi="Times New Roman" w:cs="Times New Roman"/>
        </w:rPr>
        <w:t xml:space="preserve">: A systematic review of studies based on social cognitive theories’, </w:t>
      </w:r>
      <w:r w:rsidRPr="0065427D">
        <w:rPr>
          <w:rFonts w:ascii="Times New Roman" w:hAnsi="Times New Roman" w:cs="Times New Roman"/>
          <w:i/>
          <w:iCs/>
        </w:rPr>
        <w:t>Implementation Science</w:t>
      </w:r>
      <w:r w:rsidRPr="0065427D">
        <w:rPr>
          <w:rFonts w:ascii="Times New Roman" w:hAnsi="Times New Roman" w:cs="Times New Roman"/>
        </w:rPr>
        <w:t>, 3(1), p. 36. Available at: https://doi.org/10.1186/1748-5908-3-36.</w:t>
      </w:r>
    </w:p>
    <w:p w14:paraId="325D0D47"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Godin, G. and Kok, G. (1996) ‘The Theory of Planned Behavior: A Review of its Applications to Health-Related Behaviors’, </w:t>
      </w:r>
      <w:r w:rsidRPr="0065427D">
        <w:rPr>
          <w:rFonts w:ascii="Times New Roman" w:hAnsi="Times New Roman" w:cs="Times New Roman"/>
          <w:i/>
          <w:iCs/>
        </w:rPr>
        <w:t>American Journal of Health Promotion</w:t>
      </w:r>
      <w:r w:rsidRPr="0065427D">
        <w:rPr>
          <w:rFonts w:ascii="Times New Roman" w:hAnsi="Times New Roman" w:cs="Times New Roman"/>
        </w:rPr>
        <w:t>, 11(2), pp. 87–98. Available at: https://doi.org/10.4278/0890-1171-11.2.87.</w:t>
      </w:r>
    </w:p>
    <w:p w14:paraId="36D330F0"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Huang, K.-Y., Choi, N. and </w:t>
      </w:r>
      <w:proofErr w:type="spellStart"/>
      <w:r w:rsidRPr="0065427D">
        <w:rPr>
          <w:rFonts w:ascii="Times New Roman" w:hAnsi="Times New Roman" w:cs="Times New Roman"/>
        </w:rPr>
        <w:t>Chengalur</w:t>
      </w:r>
      <w:proofErr w:type="spellEnd"/>
      <w:r w:rsidRPr="0065427D">
        <w:rPr>
          <w:rFonts w:ascii="Times New Roman" w:hAnsi="Times New Roman" w:cs="Times New Roman"/>
        </w:rPr>
        <w:t xml:space="preserve">-Smith, I. (2010) ‘Cultural Dimensions as Moderators of the UTAUT Model: </w:t>
      </w:r>
      <w:proofErr w:type="gramStart"/>
      <w:r w:rsidRPr="0065427D">
        <w:rPr>
          <w:rFonts w:ascii="Times New Roman" w:hAnsi="Times New Roman" w:cs="Times New Roman"/>
        </w:rPr>
        <w:t>a</w:t>
      </w:r>
      <w:proofErr w:type="gramEnd"/>
      <w:r w:rsidRPr="0065427D">
        <w:rPr>
          <w:rFonts w:ascii="Times New Roman" w:hAnsi="Times New Roman" w:cs="Times New Roman"/>
        </w:rPr>
        <w:t xml:space="preserve"> Research Proposal in a Healthcare Context’, </w:t>
      </w:r>
      <w:r w:rsidRPr="0065427D">
        <w:rPr>
          <w:rFonts w:ascii="Times New Roman" w:hAnsi="Times New Roman" w:cs="Times New Roman"/>
          <w:i/>
          <w:iCs/>
        </w:rPr>
        <w:t>AMCIS 2010 Proceedings</w:t>
      </w:r>
      <w:r w:rsidRPr="0065427D">
        <w:rPr>
          <w:rFonts w:ascii="Times New Roman" w:hAnsi="Times New Roman" w:cs="Times New Roman"/>
        </w:rPr>
        <w:t xml:space="preserve"> [Preprint]. Available at: https://aisel.aisnet.org/amcis2010/188.</w:t>
      </w:r>
    </w:p>
    <w:p w14:paraId="5F09405A" w14:textId="77777777" w:rsidR="0065427D" w:rsidRPr="0065427D" w:rsidRDefault="0065427D" w:rsidP="0065427D">
      <w:pPr>
        <w:pStyle w:val="Bibliography"/>
        <w:rPr>
          <w:rFonts w:ascii="Times New Roman" w:hAnsi="Times New Roman" w:cs="Times New Roman"/>
        </w:rPr>
      </w:pPr>
      <w:proofErr w:type="spellStart"/>
      <w:r w:rsidRPr="0065427D">
        <w:rPr>
          <w:rFonts w:ascii="Times New Roman" w:hAnsi="Times New Roman" w:cs="Times New Roman"/>
        </w:rPr>
        <w:t>Khechine</w:t>
      </w:r>
      <w:proofErr w:type="spellEnd"/>
      <w:r w:rsidRPr="0065427D">
        <w:rPr>
          <w:rFonts w:ascii="Times New Roman" w:hAnsi="Times New Roman" w:cs="Times New Roman"/>
        </w:rPr>
        <w:t xml:space="preserve">, H., </w:t>
      </w:r>
      <w:proofErr w:type="spellStart"/>
      <w:r w:rsidRPr="0065427D">
        <w:rPr>
          <w:rFonts w:ascii="Times New Roman" w:hAnsi="Times New Roman" w:cs="Times New Roman"/>
        </w:rPr>
        <w:t>Lakhal</w:t>
      </w:r>
      <w:proofErr w:type="spellEnd"/>
      <w:r w:rsidRPr="0065427D">
        <w:rPr>
          <w:rFonts w:ascii="Times New Roman" w:hAnsi="Times New Roman" w:cs="Times New Roman"/>
        </w:rPr>
        <w:t xml:space="preserve">, S. and </w:t>
      </w:r>
      <w:proofErr w:type="spellStart"/>
      <w:r w:rsidRPr="0065427D">
        <w:rPr>
          <w:rFonts w:ascii="Times New Roman" w:hAnsi="Times New Roman" w:cs="Times New Roman"/>
        </w:rPr>
        <w:t>Ndjambou</w:t>
      </w:r>
      <w:proofErr w:type="spellEnd"/>
      <w:r w:rsidRPr="0065427D">
        <w:rPr>
          <w:rFonts w:ascii="Times New Roman" w:hAnsi="Times New Roman" w:cs="Times New Roman"/>
        </w:rPr>
        <w:t xml:space="preserve">, P. (2016) ‘A meta-analysis of the UTAUT model: Eleven years later’, </w:t>
      </w:r>
      <w:r w:rsidRPr="0065427D">
        <w:rPr>
          <w:rFonts w:ascii="Times New Roman" w:hAnsi="Times New Roman" w:cs="Times New Roman"/>
          <w:i/>
          <w:iCs/>
        </w:rPr>
        <w:t xml:space="preserve">Canadian Journal of Administrative Sciences / Revue Canadienne des Sciences de </w:t>
      </w:r>
      <w:proofErr w:type="spellStart"/>
      <w:r w:rsidRPr="0065427D">
        <w:rPr>
          <w:rFonts w:ascii="Times New Roman" w:hAnsi="Times New Roman" w:cs="Times New Roman"/>
          <w:i/>
          <w:iCs/>
        </w:rPr>
        <w:t>l’Administration</w:t>
      </w:r>
      <w:proofErr w:type="spellEnd"/>
      <w:r w:rsidRPr="0065427D">
        <w:rPr>
          <w:rFonts w:ascii="Times New Roman" w:hAnsi="Times New Roman" w:cs="Times New Roman"/>
        </w:rPr>
        <w:t>, 33(2), pp. 138–152. Available at: https://doi.org/10.1002/cjas.1381.</w:t>
      </w:r>
    </w:p>
    <w:p w14:paraId="00F69C62"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lastRenderedPageBreak/>
        <w:t xml:space="preserve">Lowry, P.B. </w:t>
      </w:r>
      <w:r w:rsidRPr="0065427D">
        <w:rPr>
          <w:rFonts w:ascii="Times New Roman" w:hAnsi="Times New Roman" w:cs="Times New Roman"/>
          <w:i/>
          <w:iCs/>
        </w:rPr>
        <w:t>et al.</w:t>
      </w:r>
      <w:r w:rsidRPr="0065427D">
        <w:rPr>
          <w:rFonts w:ascii="Times New Roman" w:hAnsi="Times New Roman" w:cs="Times New Roman"/>
        </w:rPr>
        <w:t xml:space="preserve"> (2012) ‘Taking “Fun and Games” Seriously: Proposing the Hedonic-Motivation System Adoption Model (HMSAM)’. Rochester, NY: Social Science Research Network. Available at: https://papers.ssrn.com/abstract=2177442 (Accessed: 13 April 2025).</w:t>
      </w:r>
    </w:p>
    <w:p w14:paraId="0FDA0D5B" w14:textId="77777777" w:rsidR="0065427D" w:rsidRPr="0065427D" w:rsidRDefault="0065427D" w:rsidP="0065427D">
      <w:pPr>
        <w:pStyle w:val="Bibliography"/>
        <w:rPr>
          <w:rFonts w:ascii="Times New Roman" w:hAnsi="Times New Roman" w:cs="Times New Roman"/>
        </w:rPr>
      </w:pPr>
      <w:proofErr w:type="spellStart"/>
      <w:r w:rsidRPr="0065427D">
        <w:rPr>
          <w:rFonts w:ascii="Times New Roman" w:hAnsi="Times New Roman" w:cs="Times New Roman"/>
        </w:rPr>
        <w:t>Mackert</w:t>
      </w:r>
      <w:proofErr w:type="spellEnd"/>
      <w:r w:rsidRPr="0065427D">
        <w:rPr>
          <w:rFonts w:ascii="Times New Roman" w:hAnsi="Times New Roman" w:cs="Times New Roman"/>
        </w:rPr>
        <w:t xml:space="preserve">, M. </w:t>
      </w:r>
      <w:r w:rsidRPr="0065427D">
        <w:rPr>
          <w:rFonts w:ascii="Times New Roman" w:hAnsi="Times New Roman" w:cs="Times New Roman"/>
          <w:i/>
          <w:iCs/>
        </w:rPr>
        <w:t>et al.</w:t>
      </w:r>
      <w:r w:rsidRPr="0065427D">
        <w:rPr>
          <w:rFonts w:ascii="Times New Roman" w:hAnsi="Times New Roman" w:cs="Times New Roman"/>
        </w:rPr>
        <w:t xml:space="preserve"> (2016) ‘Health Literacy and Health Information Technology Adoption: The Potential for a New Digital Divide’, </w:t>
      </w:r>
      <w:r w:rsidRPr="0065427D">
        <w:rPr>
          <w:rFonts w:ascii="Times New Roman" w:hAnsi="Times New Roman" w:cs="Times New Roman"/>
          <w:i/>
          <w:iCs/>
        </w:rPr>
        <w:t>Journal of Medical Internet Research</w:t>
      </w:r>
      <w:r w:rsidRPr="0065427D">
        <w:rPr>
          <w:rFonts w:ascii="Times New Roman" w:hAnsi="Times New Roman" w:cs="Times New Roman"/>
        </w:rPr>
        <w:t>, 18(10), p. e6349. Available at: https://doi.org/10.2196/jmir.6349.</w:t>
      </w:r>
    </w:p>
    <w:p w14:paraId="3B3F26EA"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Peretti, A. </w:t>
      </w:r>
      <w:r w:rsidRPr="0065427D">
        <w:rPr>
          <w:rFonts w:ascii="Times New Roman" w:hAnsi="Times New Roman" w:cs="Times New Roman"/>
          <w:i/>
          <w:iCs/>
        </w:rPr>
        <w:t>et al.</w:t>
      </w:r>
      <w:r w:rsidRPr="0065427D">
        <w:rPr>
          <w:rFonts w:ascii="Times New Roman" w:hAnsi="Times New Roman" w:cs="Times New Roman"/>
        </w:rPr>
        <w:t xml:space="preserve"> (2017) ‘Telerehabilitation: Review of the State-of-the-Art and Areas of Application’, </w:t>
      </w:r>
      <w:r w:rsidRPr="0065427D">
        <w:rPr>
          <w:rFonts w:ascii="Times New Roman" w:hAnsi="Times New Roman" w:cs="Times New Roman"/>
          <w:i/>
          <w:iCs/>
        </w:rPr>
        <w:t>JMIR Rehabilitation and Assistive Technologies</w:t>
      </w:r>
      <w:r w:rsidRPr="0065427D">
        <w:rPr>
          <w:rFonts w:ascii="Times New Roman" w:hAnsi="Times New Roman" w:cs="Times New Roman"/>
        </w:rPr>
        <w:t>, 4(2), p. e7511. Available at: https://doi.org/10.2196/rehab.7511.</w:t>
      </w:r>
    </w:p>
    <w:p w14:paraId="00C4AF99"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Rogers, E.M. (1983) </w:t>
      </w:r>
      <w:r w:rsidRPr="0065427D">
        <w:rPr>
          <w:rFonts w:ascii="Times New Roman" w:hAnsi="Times New Roman" w:cs="Times New Roman"/>
          <w:i/>
          <w:iCs/>
        </w:rPr>
        <w:t>Diffusion of innovations</w:t>
      </w:r>
      <w:r w:rsidRPr="0065427D">
        <w:rPr>
          <w:rFonts w:ascii="Times New Roman" w:hAnsi="Times New Roman" w:cs="Times New Roman"/>
        </w:rPr>
        <w:t xml:space="preserve">. 3rd ed. New </w:t>
      </w:r>
      <w:proofErr w:type="gramStart"/>
      <w:r w:rsidRPr="0065427D">
        <w:rPr>
          <w:rFonts w:ascii="Times New Roman" w:hAnsi="Times New Roman" w:cs="Times New Roman"/>
        </w:rPr>
        <w:t>York :</w:t>
      </w:r>
      <w:proofErr w:type="gramEnd"/>
      <w:r w:rsidRPr="0065427D">
        <w:rPr>
          <w:rFonts w:ascii="Times New Roman" w:hAnsi="Times New Roman" w:cs="Times New Roman"/>
        </w:rPr>
        <w:t xml:space="preserve"> London: Free Press ; Collier Macmillan.</w:t>
      </w:r>
    </w:p>
    <w:p w14:paraId="14912E84" w14:textId="77777777" w:rsidR="0065427D" w:rsidRPr="0065427D" w:rsidRDefault="0065427D" w:rsidP="0065427D">
      <w:pPr>
        <w:pStyle w:val="Bibliography"/>
        <w:rPr>
          <w:rFonts w:ascii="Times New Roman" w:hAnsi="Times New Roman" w:cs="Times New Roman"/>
        </w:rPr>
      </w:pPr>
      <w:proofErr w:type="spellStart"/>
      <w:r w:rsidRPr="0065427D">
        <w:rPr>
          <w:rFonts w:ascii="Times New Roman" w:hAnsi="Times New Roman" w:cs="Times New Roman"/>
        </w:rPr>
        <w:t>Schretzlmaier</w:t>
      </w:r>
      <w:proofErr w:type="spellEnd"/>
      <w:r w:rsidRPr="0065427D">
        <w:rPr>
          <w:rFonts w:ascii="Times New Roman" w:hAnsi="Times New Roman" w:cs="Times New Roman"/>
        </w:rPr>
        <w:t xml:space="preserve">, P., Hecker, A. and </w:t>
      </w:r>
      <w:proofErr w:type="spellStart"/>
      <w:r w:rsidRPr="0065427D">
        <w:rPr>
          <w:rFonts w:ascii="Times New Roman" w:hAnsi="Times New Roman" w:cs="Times New Roman"/>
        </w:rPr>
        <w:t>Ammenwerth</w:t>
      </w:r>
      <w:proofErr w:type="spellEnd"/>
      <w:r w:rsidRPr="0065427D">
        <w:rPr>
          <w:rFonts w:ascii="Times New Roman" w:hAnsi="Times New Roman" w:cs="Times New Roman"/>
        </w:rPr>
        <w:t xml:space="preserve">, E. (2022) ‘Suitability of the Unified Theory of Acceptance and Use of Technology 2 Model for Predicting mHealth Acceptance Using Diabetes as an Example: Qualitative Methods Triangulation Study’, </w:t>
      </w:r>
      <w:r w:rsidRPr="0065427D">
        <w:rPr>
          <w:rFonts w:ascii="Times New Roman" w:hAnsi="Times New Roman" w:cs="Times New Roman"/>
          <w:i/>
          <w:iCs/>
        </w:rPr>
        <w:t>JMIR Human Factors</w:t>
      </w:r>
      <w:r w:rsidRPr="0065427D">
        <w:rPr>
          <w:rFonts w:ascii="Times New Roman" w:hAnsi="Times New Roman" w:cs="Times New Roman"/>
        </w:rPr>
        <w:t>, 9(1), p. e34918. Available at: https://doi.org/10.2196/34918.</w:t>
      </w:r>
    </w:p>
    <w:p w14:paraId="20B23EB2" w14:textId="77777777" w:rsidR="0065427D" w:rsidRPr="0065427D" w:rsidRDefault="0065427D" w:rsidP="0065427D">
      <w:pPr>
        <w:pStyle w:val="Bibliography"/>
        <w:rPr>
          <w:rFonts w:ascii="Times New Roman" w:hAnsi="Times New Roman" w:cs="Times New Roman"/>
        </w:rPr>
      </w:pPr>
      <w:proofErr w:type="spellStart"/>
      <w:r w:rsidRPr="0065427D">
        <w:rPr>
          <w:rFonts w:ascii="Times New Roman" w:hAnsi="Times New Roman" w:cs="Times New Roman"/>
        </w:rPr>
        <w:t>Stanica</w:t>
      </w:r>
      <w:proofErr w:type="spellEnd"/>
      <w:r w:rsidRPr="0065427D">
        <w:rPr>
          <w:rFonts w:ascii="Times New Roman" w:hAnsi="Times New Roman" w:cs="Times New Roman"/>
        </w:rPr>
        <w:t xml:space="preserve">, I.-C. </w:t>
      </w:r>
      <w:r w:rsidRPr="0065427D">
        <w:rPr>
          <w:rFonts w:ascii="Times New Roman" w:hAnsi="Times New Roman" w:cs="Times New Roman"/>
          <w:i/>
          <w:iCs/>
        </w:rPr>
        <w:t>et al.</w:t>
      </w:r>
      <w:r w:rsidRPr="0065427D">
        <w:rPr>
          <w:rFonts w:ascii="Times New Roman" w:hAnsi="Times New Roman" w:cs="Times New Roman"/>
        </w:rPr>
        <w:t xml:space="preserve"> (2021) ‘ADVANTAGES OF TELEMEDICINE IN NEUROREHABILITATION AND QUALITY OF LIFE IMPROVEMENT’, </w:t>
      </w:r>
      <w:r w:rsidRPr="0065427D">
        <w:rPr>
          <w:rFonts w:ascii="Times New Roman" w:hAnsi="Times New Roman" w:cs="Times New Roman"/>
          <w:i/>
          <w:iCs/>
        </w:rPr>
        <w:t>REVUE ROUMAINE DES SCIENCES TECHNIQUES — SÉRIE ÉLECTROTECHNIQUE ET ÉNERGÉTIQUE</w:t>
      </w:r>
      <w:r w:rsidRPr="0065427D">
        <w:rPr>
          <w:rFonts w:ascii="Times New Roman" w:hAnsi="Times New Roman" w:cs="Times New Roman"/>
        </w:rPr>
        <w:t>, 66(3), pp. 195–199.</w:t>
      </w:r>
    </w:p>
    <w:p w14:paraId="711BEF3E"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Venkatesh, V. </w:t>
      </w:r>
      <w:r w:rsidRPr="0065427D">
        <w:rPr>
          <w:rFonts w:ascii="Times New Roman" w:hAnsi="Times New Roman" w:cs="Times New Roman"/>
          <w:i/>
          <w:iCs/>
        </w:rPr>
        <w:t>et al.</w:t>
      </w:r>
      <w:r w:rsidRPr="0065427D">
        <w:rPr>
          <w:rFonts w:ascii="Times New Roman" w:hAnsi="Times New Roman" w:cs="Times New Roman"/>
        </w:rPr>
        <w:t xml:space="preserve"> (2003) ‘User Acceptance of Information Technology: Toward a Unified View’, </w:t>
      </w:r>
      <w:r w:rsidRPr="0065427D">
        <w:rPr>
          <w:rFonts w:ascii="Times New Roman" w:hAnsi="Times New Roman" w:cs="Times New Roman"/>
          <w:i/>
          <w:iCs/>
        </w:rPr>
        <w:t>MIS Quarterly</w:t>
      </w:r>
      <w:r w:rsidRPr="0065427D">
        <w:rPr>
          <w:rFonts w:ascii="Times New Roman" w:hAnsi="Times New Roman" w:cs="Times New Roman"/>
        </w:rPr>
        <w:t>, 27(3), pp. 425–478. Available at: https://doi.org/10.2307/30036540.</w:t>
      </w:r>
    </w:p>
    <w:p w14:paraId="57B60509"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Venkatesh, V. and Bala, H. (2008) ‘Technology Acceptance Model 3 and a Research Agenda on Interventions’, </w:t>
      </w:r>
      <w:r w:rsidRPr="0065427D">
        <w:rPr>
          <w:rFonts w:ascii="Times New Roman" w:hAnsi="Times New Roman" w:cs="Times New Roman"/>
          <w:i/>
          <w:iCs/>
        </w:rPr>
        <w:t>Decision Sciences</w:t>
      </w:r>
      <w:r w:rsidRPr="0065427D">
        <w:rPr>
          <w:rFonts w:ascii="Times New Roman" w:hAnsi="Times New Roman" w:cs="Times New Roman"/>
        </w:rPr>
        <w:t>, 39(2), pp. 273–315. Available at: https://doi.org/10.1111/j.1540-5915.2008.00192.x.</w:t>
      </w:r>
    </w:p>
    <w:p w14:paraId="7CEC14E4"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Wu, P. </w:t>
      </w:r>
      <w:r w:rsidRPr="0065427D">
        <w:rPr>
          <w:rFonts w:ascii="Times New Roman" w:hAnsi="Times New Roman" w:cs="Times New Roman"/>
          <w:i/>
          <w:iCs/>
        </w:rPr>
        <w:t>et al.</w:t>
      </w:r>
      <w:r w:rsidRPr="0065427D">
        <w:rPr>
          <w:rFonts w:ascii="Times New Roman" w:hAnsi="Times New Roman" w:cs="Times New Roman"/>
        </w:rPr>
        <w:t xml:space="preserve"> (2022) ‘Factors Influencing Continued Usage Behavior on Mobile Health Applications’, </w:t>
      </w:r>
      <w:r w:rsidRPr="0065427D">
        <w:rPr>
          <w:rFonts w:ascii="Times New Roman" w:hAnsi="Times New Roman" w:cs="Times New Roman"/>
          <w:i/>
          <w:iCs/>
        </w:rPr>
        <w:t>Healthcare</w:t>
      </w:r>
      <w:r w:rsidRPr="0065427D">
        <w:rPr>
          <w:rFonts w:ascii="Times New Roman" w:hAnsi="Times New Roman" w:cs="Times New Roman"/>
        </w:rPr>
        <w:t>, 10(2), p. 208. Available at: https://doi.org/10.3390/healthcare10020208.</w:t>
      </w:r>
    </w:p>
    <w:p w14:paraId="07EA5AE1" w14:textId="77777777" w:rsidR="0065427D" w:rsidRPr="0065427D" w:rsidRDefault="0065427D" w:rsidP="0065427D">
      <w:pPr>
        <w:pStyle w:val="Bibliography"/>
        <w:rPr>
          <w:rFonts w:ascii="Times New Roman" w:hAnsi="Times New Roman" w:cs="Times New Roman"/>
        </w:rPr>
      </w:pPr>
      <w:r w:rsidRPr="0065427D">
        <w:rPr>
          <w:rFonts w:ascii="Times New Roman" w:hAnsi="Times New Roman" w:cs="Times New Roman"/>
        </w:rPr>
        <w:t xml:space="preserve">Zhang, Q. </w:t>
      </w:r>
      <w:r w:rsidRPr="0065427D">
        <w:rPr>
          <w:rFonts w:ascii="Times New Roman" w:hAnsi="Times New Roman" w:cs="Times New Roman"/>
          <w:i/>
          <w:iCs/>
        </w:rPr>
        <w:t>et al.</w:t>
      </w:r>
      <w:r w:rsidRPr="0065427D">
        <w:rPr>
          <w:rFonts w:ascii="Times New Roman" w:hAnsi="Times New Roman" w:cs="Times New Roman"/>
        </w:rPr>
        <w:t xml:space="preserve"> (2023) ‘What drives the adoption of online health communities? An empirical study from patient-centric perspective’, </w:t>
      </w:r>
      <w:r w:rsidRPr="0065427D">
        <w:rPr>
          <w:rFonts w:ascii="Times New Roman" w:hAnsi="Times New Roman" w:cs="Times New Roman"/>
          <w:i/>
          <w:iCs/>
        </w:rPr>
        <w:t>BMC Health Services Research</w:t>
      </w:r>
      <w:r w:rsidRPr="0065427D">
        <w:rPr>
          <w:rFonts w:ascii="Times New Roman" w:hAnsi="Times New Roman" w:cs="Times New Roman"/>
        </w:rPr>
        <w:t>, 23(1), p. 524. Available at: https://doi.org/10.1186/s12913-023-09469-6.</w:t>
      </w:r>
    </w:p>
    <w:p w14:paraId="0F825C4D" w14:textId="44AD1A5E" w:rsidR="00D70287" w:rsidRPr="00E013E5" w:rsidRDefault="0065427D" w:rsidP="00F93A26">
      <w:pPr>
        <w:pStyle w:val="Bibliography"/>
        <w:rPr>
          <w:rFonts w:ascii="Times New Roman" w:hAnsi="Times New Roman" w:cs="Times New Roman"/>
        </w:rPr>
      </w:pPr>
      <w:r>
        <w:rPr>
          <w:rFonts w:ascii="Times New Roman" w:hAnsi="Times New Roman" w:cs="Times New Roman"/>
        </w:rPr>
        <w:fldChar w:fldCharType="end"/>
      </w:r>
    </w:p>
    <w:sectPr w:rsidR="00D70287" w:rsidRPr="00E013E5">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54479" w14:textId="77777777" w:rsidR="00413C41" w:rsidRDefault="00413C41" w:rsidP="00A26419">
      <w:pPr>
        <w:spacing w:after="0" w:line="240" w:lineRule="auto"/>
      </w:pPr>
      <w:r>
        <w:separator/>
      </w:r>
    </w:p>
  </w:endnote>
  <w:endnote w:type="continuationSeparator" w:id="0">
    <w:p w14:paraId="52140259" w14:textId="77777777" w:rsidR="00413C41" w:rsidRDefault="00413C41" w:rsidP="00A2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3557901"/>
      <w:docPartObj>
        <w:docPartGallery w:val="Page Numbers (Bottom of Page)"/>
        <w:docPartUnique/>
      </w:docPartObj>
    </w:sdtPr>
    <w:sdtContent>
      <w:p w14:paraId="231734E4" w14:textId="6F0769F5" w:rsidR="00A26419" w:rsidRDefault="00A26419" w:rsidP="001A3B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514D82" w14:textId="77777777" w:rsidR="00A26419" w:rsidRDefault="00A26419" w:rsidP="00A264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9558965"/>
      <w:docPartObj>
        <w:docPartGallery w:val="Page Numbers (Bottom of Page)"/>
        <w:docPartUnique/>
      </w:docPartObj>
    </w:sdtPr>
    <w:sdtContent>
      <w:p w14:paraId="6C88ADD2" w14:textId="3DAEE95E" w:rsidR="00A26419" w:rsidRDefault="00A26419" w:rsidP="001A3B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FBA8D4" w14:textId="77777777" w:rsidR="00A26419" w:rsidRDefault="00A26419" w:rsidP="00A264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C77A8" w14:textId="77777777" w:rsidR="00413C41" w:rsidRDefault="00413C41" w:rsidP="00A26419">
      <w:pPr>
        <w:spacing w:after="0" w:line="240" w:lineRule="auto"/>
      </w:pPr>
      <w:r>
        <w:separator/>
      </w:r>
    </w:p>
  </w:footnote>
  <w:footnote w:type="continuationSeparator" w:id="0">
    <w:p w14:paraId="247AD36C" w14:textId="77777777" w:rsidR="00413C41" w:rsidRDefault="00413C41" w:rsidP="00A2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B5DFF"/>
    <w:multiLevelType w:val="hybridMultilevel"/>
    <w:tmpl w:val="23828BA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8A82B3C"/>
    <w:multiLevelType w:val="multilevel"/>
    <w:tmpl w:val="C2DCF852"/>
    <w:lvl w:ilvl="0">
      <w:start w:val="1"/>
      <w:numFmt w:val="decimal"/>
      <w:lvlText w:val="%1."/>
      <w:lvlJc w:val="left"/>
      <w:pPr>
        <w:tabs>
          <w:tab w:val="num" w:pos="-576"/>
        </w:tabs>
        <w:ind w:left="-576" w:hanging="360"/>
      </w:pPr>
    </w:lvl>
    <w:lvl w:ilvl="1" w:tentative="1">
      <w:start w:val="1"/>
      <w:numFmt w:val="decimal"/>
      <w:lvlText w:val="%2."/>
      <w:lvlJc w:val="left"/>
      <w:pPr>
        <w:tabs>
          <w:tab w:val="num" w:pos="144"/>
        </w:tabs>
        <w:ind w:left="144" w:hanging="360"/>
      </w:pPr>
    </w:lvl>
    <w:lvl w:ilvl="2" w:tentative="1">
      <w:start w:val="1"/>
      <w:numFmt w:val="decimal"/>
      <w:lvlText w:val="%3."/>
      <w:lvlJc w:val="left"/>
      <w:pPr>
        <w:tabs>
          <w:tab w:val="num" w:pos="864"/>
        </w:tabs>
        <w:ind w:left="864" w:hanging="360"/>
      </w:pPr>
    </w:lvl>
    <w:lvl w:ilvl="3" w:tentative="1">
      <w:start w:val="1"/>
      <w:numFmt w:val="decimal"/>
      <w:lvlText w:val="%4."/>
      <w:lvlJc w:val="left"/>
      <w:pPr>
        <w:tabs>
          <w:tab w:val="num" w:pos="1584"/>
        </w:tabs>
        <w:ind w:left="1584" w:hanging="360"/>
      </w:pPr>
    </w:lvl>
    <w:lvl w:ilvl="4" w:tentative="1">
      <w:start w:val="1"/>
      <w:numFmt w:val="decimal"/>
      <w:lvlText w:val="%5."/>
      <w:lvlJc w:val="left"/>
      <w:pPr>
        <w:tabs>
          <w:tab w:val="num" w:pos="2304"/>
        </w:tabs>
        <w:ind w:left="2304" w:hanging="360"/>
      </w:pPr>
    </w:lvl>
    <w:lvl w:ilvl="5" w:tentative="1">
      <w:start w:val="1"/>
      <w:numFmt w:val="decimal"/>
      <w:lvlText w:val="%6."/>
      <w:lvlJc w:val="left"/>
      <w:pPr>
        <w:tabs>
          <w:tab w:val="num" w:pos="3024"/>
        </w:tabs>
        <w:ind w:left="3024" w:hanging="360"/>
      </w:pPr>
    </w:lvl>
    <w:lvl w:ilvl="6" w:tentative="1">
      <w:start w:val="1"/>
      <w:numFmt w:val="decimal"/>
      <w:lvlText w:val="%7."/>
      <w:lvlJc w:val="left"/>
      <w:pPr>
        <w:tabs>
          <w:tab w:val="num" w:pos="3744"/>
        </w:tabs>
        <w:ind w:left="3744" w:hanging="360"/>
      </w:pPr>
    </w:lvl>
    <w:lvl w:ilvl="7" w:tentative="1">
      <w:start w:val="1"/>
      <w:numFmt w:val="decimal"/>
      <w:lvlText w:val="%8."/>
      <w:lvlJc w:val="left"/>
      <w:pPr>
        <w:tabs>
          <w:tab w:val="num" w:pos="4464"/>
        </w:tabs>
        <w:ind w:left="4464" w:hanging="360"/>
      </w:pPr>
    </w:lvl>
    <w:lvl w:ilvl="8" w:tentative="1">
      <w:start w:val="1"/>
      <w:numFmt w:val="decimal"/>
      <w:lvlText w:val="%9."/>
      <w:lvlJc w:val="left"/>
      <w:pPr>
        <w:tabs>
          <w:tab w:val="num" w:pos="5184"/>
        </w:tabs>
        <w:ind w:left="5184" w:hanging="360"/>
      </w:pPr>
    </w:lvl>
  </w:abstractNum>
  <w:abstractNum w:abstractNumId="2" w15:restartNumberingAfterBreak="0">
    <w:nsid w:val="18C150C4"/>
    <w:multiLevelType w:val="hybridMultilevel"/>
    <w:tmpl w:val="4F32B5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C9408E"/>
    <w:multiLevelType w:val="hybridMultilevel"/>
    <w:tmpl w:val="9C0884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311C58"/>
    <w:multiLevelType w:val="hybridMultilevel"/>
    <w:tmpl w:val="248682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FF71B4"/>
    <w:multiLevelType w:val="hybridMultilevel"/>
    <w:tmpl w:val="664A8E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5582881">
    <w:abstractNumId w:val="2"/>
  </w:num>
  <w:num w:numId="2" w16cid:durableId="1973243043">
    <w:abstractNumId w:val="1"/>
  </w:num>
  <w:num w:numId="3" w16cid:durableId="1739403781">
    <w:abstractNumId w:val="5"/>
  </w:num>
  <w:num w:numId="4" w16cid:durableId="1856965683">
    <w:abstractNumId w:val="4"/>
  </w:num>
  <w:num w:numId="5" w16cid:durableId="1350183179">
    <w:abstractNumId w:val="3"/>
  </w:num>
  <w:num w:numId="6" w16cid:durableId="1136988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87"/>
    <w:rsid w:val="00001C7F"/>
    <w:rsid w:val="0000760D"/>
    <w:rsid w:val="0003364B"/>
    <w:rsid w:val="00043DE9"/>
    <w:rsid w:val="00052D2A"/>
    <w:rsid w:val="0006257F"/>
    <w:rsid w:val="00075F08"/>
    <w:rsid w:val="00077846"/>
    <w:rsid w:val="000A246F"/>
    <w:rsid w:val="000B1C3D"/>
    <w:rsid w:val="000C23D6"/>
    <w:rsid w:val="000C3312"/>
    <w:rsid w:val="000D51C4"/>
    <w:rsid w:val="000E69C6"/>
    <w:rsid w:val="00103F83"/>
    <w:rsid w:val="0013544C"/>
    <w:rsid w:val="00156E13"/>
    <w:rsid w:val="00170E7A"/>
    <w:rsid w:val="00186DEC"/>
    <w:rsid w:val="001A788F"/>
    <w:rsid w:val="001B5343"/>
    <w:rsid w:val="001D5A00"/>
    <w:rsid w:val="001E4B29"/>
    <w:rsid w:val="001F77CD"/>
    <w:rsid w:val="002043A0"/>
    <w:rsid w:val="00227CC2"/>
    <w:rsid w:val="00235223"/>
    <w:rsid w:val="0027394F"/>
    <w:rsid w:val="00275D41"/>
    <w:rsid w:val="0028781E"/>
    <w:rsid w:val="002974CE"/>
    <w:rsid w:val="002A17D8"/>
    <w:rsid w:val="002A368D"/>
    <w:rsid w:val="002A7039"/>
    <w:rsid w:val="002C349A"/>
    <w:rsid w:val="002C5214"/>
    <w:rsid w:val="002D5CC2"/>
    <w:rsid w:val="002D6B41"/>
    <w:rsid w:val="002E2770"/>
    <w:rsid w:val="00301B76"/>
    <w:rsid w:val="003022A2"/>
    <w:rsid w:val="00312E02"/>
    <w:rsid w:val="003153E7"/>
    <w:rsid w:val="00327406"/>
    <w:rsid w:val="00342FF1"/>
    <w:rsid w:val="003567F2"/>
    <w:rsid w:val="00361288"/>
    <w:rsid w:val="00363C3A"/>
    <w:rsid w:val="00363E26"/>
    <w:rsid w:val="00364911"/>
    <w:rsid w:val="003929F8"/>
    <w:rsid w:val="00393EB4"/>
    <w:rsid w:val="003B472B"/>
    <w:rsid w:val="003F0C4A"/>
    <w:rsid w:val="003F4794"/>
    <w:rsid w:val="00407851"/>
    <w:rsid w:val="00413C41"/>
    <w:rsid w:val="00482FA9"/>
    <w:rsid w:val="004937AC"/>
    <w:rsid w:val="004955C1"/>
    <w:rsid w:val="004A58E3"/>
    <w:rsid w:val="004B0F91"/>
    <w:rsid w:val="004B27D2"/>
    <w:rsid w:val="004C6E0D"/>
    <w:rsid w:val="004F10E2"/>
    <w:rsid w:val="0050795F"/>
    <w:rsid w:val="00512C32"/>
    <w:rsid w:val="005814AA"/>
    <w:rsid w:val="00582BDA"/>
    <w:rsid w:val="00584A16"/>
    <w:rsid w:val="0059639E"/>
    <w:rsid w:val="005C0F9D"/>
    <w:rsid w:val="005F0727"/>
    <w:rsid w:val="005F1037"/>
    <w:rsid w:val="00601507"/>
    <w:rsid w:val="006171C3"/>
    <w:rsid w:val="00617973"/>
    <w:rsid w:val="0065427D"/>
    <w:rsid w:val="00661DC9"/>
    <w:rsid w:val="00664287"/>
    <w:rsid w:val="006644BE"/>
    <w:rsid w:val="006867D2"/>
    <w:rsid w:val="006A1424"/>
    <w:rsid w:val="006A3A3B"/>
    <w:rsid w:val="006C17C2"/>
    <w:rsid w:val="006C1D6C"/>
    <w:rsid w:val="006C4FBD"/>
    <w:rsid w:val="006F2B8B"/>
    <w:rsid w:val="006F2D77"/>
    <w:rsid w:val="006F560A"/>
    <w:rsid w:val="00704BAA"/>
    <w:rsid w:val="00732FA5"/>
    <w:rsid w:val="00735104"/>
    <w:rsid w:val="00741239"/>
    <w:rsid w:val="00741B78"/>
    <w:rsid w:val="0074575D"/>
    <w:rsid w:val="0075708B"/>
    <w:rsid w:val="00786BD7"/>
    <w:rsid w:val="007956B7"/>
    <w:rsid w:val="007C4D05"/>
    <w:rsid w:val="007D01B7"/>
    <w:rsid w:val="007D7471"/>
    <w:rsid w:val="0081323C"/>
    <w:rsid w:val="008174AF"/>
    <w:rsid w:val="008371C5"/>
    <w:rsid w:val="00854B9F"/>
    <w:rsid w:val="00873A72"/>
    <w:rsid w:val="00875084"/>
    <w:rsid w:val="008A3FC0"/>
    <w:rsid w:val="008A6E69"/>
    <w:rsid w:val="008A70DE"/>
    <w:rsid w:val="00937CFD"/>
    <w:rsid w:val="00950E6E"/>
    <w:rsid w:val="00951943"/>
    <w:rsid w:val="0096266A"/>
    <w:rsid w:val="00963187"/>
    <w:rsid w:val="00977FF3"/>
    <w:rsid w:val="009A6CCC"/>
    <w:rsid w:val="009B3801"/>
    <w:rsid w:val="009C062F"/>
    <w:rsid w:val="009D3F67"/>
    <w:rsid w:val="009D6CBE"/>
    <w:rsid w:val="009E341D"/>
    <w:rsid w:val="00A14FBA"/>
    <w:rsid w:val="00A242F0"/>
    <w:rsid w:val="00A26419"/>
    <w:rsid w:val="00A563F2"/>
    <w:rsid w:val="00A631CE"/>
    <w:rsid w:val="00A704B2"/>
    <w:rsid w:val="00A76C04"/>
    <w:rsid w:val="00A871E4"/>
    <w:rsid w:val="00AA22E2"/>
    <w:rsid w:val="00AA3E3A"/>
    <w:rsid w:val="00AE5A86"/>
    <w:rsid w:val="00AF5FAC"/>
    <w:rsid w:val="00B0758A"/>
    <w:rsid w:val="00B833AE"/>
    <w:rsid w:val="00BA1F4A"/>
    <w:rsid w:val="00BA7E63"/>
    <w:rsid w:val="00BC39FC"/>
    <w:rsid w:val="00BF1066"/>
    <w:rsid w:val="00BF6670"/>
    <w:rsid w:val="00C17902"/>
    <w:rsid w:val="00C25CD6"/>
    <w:rsid w:val="00C53F14"/>
    <w:rsid w:val="00C73FFF"/>
    <w:rsid w:val="00CB5E37"/>
    <w:rsid w:val="00CC04AD"/>
    <w:rsid w:val="00CE7A41"/>
    <w:rsid w:val="00CF3ABE"/>
    <w:rsid w:val="00D03387"/>
    <w:rsid w:val="00D06E23"/>
    <w:rsid w:val="00D30F10"/>
    <w:rsid w:val="00D428EB"/>
    <w:rsid w:val="00D42D8C"/>
    <w:rsid w:val="00D42E31"/>
    <w:rsid w:val="00D50C40"/>
    <w:rsid w:val="00D60327"/>
    <w:rsid w:val="00D61FD1"/>
    <w:rsid w:val="00D70287"/>
    <w:rsid w:val="00D75FC5"/>
    <w:rsid w:val="00D87F14"/>
    <w:rsid w:val="00D9506E"/>
    <w:rsid w:val="00DD30C8"/>
    <w:rsid w:val="00DE021D"/>
    <w:rsid w:val="00DF2784"/>
    <w:rsid w:val="00E013E5"/>
    <w:rsid w:val="00E165D1"/>
    <w:rsid w:val="00E331C4"/>
    <w:rsid w:val="00E9461E"/>
    <w:rsid w:val="00EF254E"/>
    <w:rsid w:val="00F05674"/>
    <w:rsid w:val="00F23970"/>
    <w:rsid w:val="00F308DB"/>
    <w:rsid w:val="00F42717"/>
    <w:rsid w:val="00F44789"/>
    <w:rsid w:val="00F81068"/>
    <w:rsid w:val="00F81286"/>
    <w:rsid w:val="00F8372F"/>
    <w:rsid w:val="00F93A26"/>
    <w:rsid w:val="00FB30BC"/>
    <w:rsid w:val="00FD3627"/>
    <w:rsid w:val="00FE3DA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364AA836"/>
  <w15:chartTrackingRefBased/>
  <w15:docId w15:val="{47D6C07E-6604-DE4E-9809-B88FD31D0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3A0"/>
  </w:style>
  <w:style w:type="paragraph" w:styleId="Heading1">
    <w:name w:val="heading 1"/>
    <w:basedOn w:val="Normal"/>
    <w:next w:val="Normal"/>
    <w:link w:val="Heading1Char"/>
    <w:uiPriority w:val="9"/>
    <w:qFormat/>
    <w:rsid w:val="00D702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2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2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02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2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2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2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2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02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2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287"/>
    <w:rPr>
      <w:rFonts w:eastAsiaTheme="majorEastAsia" w:cstheme="majorBidi"/>
      <w:color w:val="272727" w:themeColor="text1" w:themeTint="D8"/>
    </w:rPr>
  </w:style>
  <w:style w:type="paragraph" w:styleId="Title">
    <w:name w:val="Title"/>
    <w:basedOn w:val="Normal"/>
    <w:next w:val="Normal"/>
    <w:link w:val="TitleChar"/>
    <w:uiPriority w:val="10"/>
    <w:qFormat/>
    <w:rsid w:val="00D70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287"/>
    <w:pPr>
      <w:spacing w:before="160"/>
      <w:jc w:val="center"/>
    </w:pPr>
    <w:rPr>
      <w:i/>
      <w:iCs/>
      <w:color w:val="404040" w:themeColor="text1" w:themeTint="BF"/>
    </w:rPr>
  </w:style>
  <w:style w:type="character" w:customStyle="1" w:styleId="QuoteChar">
    <w:name w:val="Quote Char"/>
    <w:basedOn w:val="DefaultParagraphFont"/>
    <w:link w:val="Quote"/>
    <w:uiPriority w:val="29"/>
    <w:rsid w:val="00D70287"/>
    <w:rPr>
      <w:i/>
      <w:iCs/>
      <w:color w:val="404040" w:themeColor="text1" w:themeTint="BF"/>
    </w:rPr>
  </w:style>
  <w:style w:type="paragraph" w:styleId="ListParagraph">
    <w:name w:val="List Paragraph"/>
    <w:basedOn w:val="Normal"/>
    <w:uiPriority w:val="34"/>
    <w:qFormat/>
    <w:rsid w:val="00D70287"/>
    <w:pPr>
      <w:ind w:left="720"/>
      <w:contextualSpacing/>
    </w:pPr>
  </w:style>
  <w:style w:type="character" w:styleId="IntenseEmphasis">
    <w:name w:val="Intense Emphasis"/>
    <w:basedOn w:val="DefaultParagraphFont"/>
    <w:uiPriority w:val="21"/>
    <w:qFormat/>
    <w:rsid w:val="00D70287"/>
    <w:rPr>
      <w:i/>
      <w:iCs/>
      <w:color w:val="0F4761" w:themeColor="accent1" w:themeShade="BF"/>
    </w:rPr>
  </w:style>
  <w:style w:type="paragraph" w:styleId="IntenseQuote">
    <w:name w:val="Intense Quote"/>
    <w:basedOn w:val="Normal"/>
    <w:next w:val="Normal"/>
    <w:link w:val="IntenseQuoteChar"/>
    <w:uiPriority w:val="30"/>
    <w:qFormat/>
    <w:rsid w:val="00D70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287"/>
    <w:rPr>
      <w:i/>
      <w:iCs/>
      <w:color w:val="0F4761" w:themeColor="accent1" w:themeShade="BF"/>
    </w:rPr>
  </w:style>
  <w:style w:type="character" w:styleId="IntenseReference">
    <w:name w:val="Intense Reference"/>
    <w:basedOn w:val="DefaultParagraphFont"/>
    <w:uiPriority w:val="32"/>
    <w:qFormat/>
    <w:rsid w:val="00D70287"/>
    <w:rPr>
      <w:b/>
      <w:bCs/>
      <w:smallCaps/>
      <w:color w:val="0F4761" w:themeColor="accent1" w:themeShade="BF"/>
      <w:spacing w:val="5"/>
    </w:rPr>
  </w:style>
  <w:style w:type="paragraph" w:styleId="Footer">
    <w:name w:val="footer"/>
    <w:basedOn w:val="Normal"/>
    <w:link w:val="FooterChar"/>
    <w:uiPriority w:val="99"/>
    <w:unhideWhenUsed/>
    <w:rsid w:val="00A264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419"/>
  </w:style>
  <w:style w:type="character" w:styleId="PageNumber">
    <w:name w:val="page number"/>
    <w:basedOn w:val="DefaultParagraphFont"/>
    <w:uiPriority w:val="99"/>
    <w:semiHidden/>
    <w:unhideWhenUsed/>
    <w:rsid w:val="00A26419"/>
  </w:style>
  <w:style w:type="character" w:customStyle="1" w:styleId="apple-converted-space">
    <w:name w:val="apple-converted-space"/>
    <w:basedOn w:val="DefaultParagraphFont"/>
    <w:rsid w:val="00075F08"/>
  </w:style>
  <w:style w:type="character" w:styleId="Hyperlink">
    <w:name w:val="Hyperlink"/>
    <w:basedOn w:val="DefaultParagraphFont"/>
    <w:uiPriority w:val="99"/>
    <w:semiHidden/>
    <w:unhideWhenUsed/>
    <w:rsid w:val="000E69C6"/>
    <w:rPr>
      <w:color w:val="0000FF"/>
      <w:u w:val="single"/>
    </w:rPr>
  </w:style>
  <w:style w:type="character" w:customStyle="1" w:styleId="html-italic">
    <w:name w:val="html-italic"/>
    <w:basedOn w:val="DefaultParagraphFont"/>
    <w:rsid w:val="000E69C6"/>
  </w:style>
  <w:style w:type="paragraph" w:styleId="NormalWeb">
    <w:name w:val="Normal (Web)"/>
    <w:basedOn w:val="Normal"/>
    <w:uiPriority w:val="99"/>
    <w:unhideWhenUsed/>
    <w:rsid w:val="00DF278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F2784"/>
    <w:rPr>
      <w:b/>
      <w:bCs/>
    </w:rPr>
  </w:style>
  <w:style w:type="paragraph" w:styleId="Bibliography">
    <w:name w:val="Bibliography"/>
    <w:basedOn w:val="Normal"/>
    <w:next w:val="Normal"/>
    <w:uiPriority w:val="37"/>
    <w:unhideWhenUsed/>
    <w:rsid w:val="0081323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648619">
      <w:bodyDiv w:val="1"/>
      <w:marLeft w:val="0"/>
      <w:marRight w:val="0"/>
      <w:marTop w:val="0"/>
      <w:marBottom w:val="0"/>
      <w:divBdr>
        <w:top w:val="none" w:sz="0" w:space="0" w:color="auto"/>
        <w:left w:val="none" w:sz="0" w:space="0" w:color="auto"/>
        <w:bottom w:val="none" w:sz="0" w:space="0" w:color="auto"/>
        <w:right w:val="none" w:sz="0" w:space="0" w:color="auto"/>
      </w:divBdr>
    </w:div>
    <w:div w:id="440539974">
      <w:bodyDiv w:val="1"/>
      <w:marLeft w:val="0"/>
      <w:marRight w:val="0"/>
      <w:marTop w:val="0"/>
      <w:marBottom w:val="0"/>
      <w:divBdr>
        <w:top w:val="none" w:sz="0" w:space="0" w:color="auto"/>
        <w:left w:val="none" w:sz="0" w:space="0" w:color="auto"/>
        <w:bottom w:val="none" w:sz="0" w:space="0" w:color="auto"/>
        <w:right w:val="none" w:sz="0" w:space="0" w:color="auto"/>
      </w:divBdr>
    </w:div>
    <w:div w:id="922572510">
      <w:bodyDiv w:val="1"/>
      <w:marLeft w:val="0"/>
      <w:marRight w:val="0"/>
      <w:marTop w:val="0"/>
      <w:marBottom w:val="0"/>
      <w:divBdr>
        <w:top w:val="none" w:sz="0" w:space="0" w:color="auto"/>
        <w:left w:val="none" w:sz="0" w:space="0" w:color="auto"/>
        <w:bottom w:val="none" w:sz="0" w:space="0" w:color="auto"/>
        <w:right w:val="none" w:sz="0" w:space="0" w:color="auto"/>
      </w:divBdr>
    </w:div>
    <w:div w:id="970404807">
      <w:bodyDiv w:val="1"/>
      <w:marLeft w:val="0"/>
      <w:marRight w:val="0"/>
      <w:marTop w:val="0"/>
      <w:marBottom w:val="0"/>
      <w:divBdr>
        <w:top w:val="none" w:sz="0" w:space="0" w:color="auto"/>
        <w:left w:val="none" w:sz="0" w:space="0" w:color="auto"/>
        <w:bottom w:val="none" w:sz="0" w:space="0" w:color="auto"/>
        <w:right w:val="none" w:sz="0" w:space="0" w:color="auto"/>
      </w:divBdr>
    </w:div>
    <w:div w:id="1042368931">
      <w:bodyDiv w:val="1"/>
      <w:marLeft w:val="0"/>
      <w:marRight w:val="0"/>
      <w:marTop w:val="0"/>
      <w:marBottom w:val="0"/>
      <w:divBdr>
        <w:top w:val="none" w:sz="0" w:space="0" w:color="auto"/>
        <w:left w:val="none" w:sz="0" w:space="0" w:color="auto"/>
        <w:bottom w:val="none" w:sz="0" w:space="0" w:color="auto"/>
        <w:right w:val="none" w:sz="0" w:space="0" w:color="auto"/>
      </w:divBdr>
    </w:div>
    <w:div w:id="1124344134">
      <w:bodyDiv w:val="1"/>
      <w:marLeft w:val="0"/>
      <w:marRight w:val="0"/>
      <w:marTop w:val="0"/>
      <w:marBottom w:val="0"/>
      <w:divBdr>
        <w:top w:val="none" w:sz="0" w:space="0" w:color="auto"/>
        <w:left w:val="none" w:sz="0" w:space="0" w:color="auto"/>
        <w:bottom w:val="none" w:sz="0" w:space="0" w:color="auto"/>
        <w:right w:val="none" w:sz="0" w:space="0" w:color="auto"/>
      </w:divBdr>
    </w:div>
    <w:div w:id="1138378296">
      <w:bodyDiv w:val="1"/>
      <w:marLeft w:val="0"/>
      <w:marRight w:val="0"/>
      <w:marTop w:val="0"/>
      <w:marBottom w:val="0"/>
      <w:divBdr>
        <w:top w:val="none" w:sz="0" w:space="0" w:color="auto"/>
        <w:left w:val="none" w:sz="0" w:space="0" w:color="auto"/>
        <w:bottom w:val="none" w:sz="0" w:space="0" w:color="auto"/>
        <w:right w:val="none" w:sz="0" w:space="0" w:color="auto"/>
      </w:divBdr>
    </w:div>
    <w:div w:id="1273433870">
      <w:bodyDiv w:val="1"/>
      <w:marLeft w:val="0"/>
      <w:marRight w:val="0"/>
      <w:marTop w:val="0"/>
      <w:marBottom w:val="0"/>
      <w:divBdr>
        <w:top w:val="none" w:sz="0" w:space="0" w:color="auto"/>
        <w:left w:val="none" w:sz="0" w:space="0" w:color="auto"/>
        <w:bottom w:val="none" w:sz="0" w:space="0" w:color="auto"/>
        <w:right w:val="none" w:sz="0" w:space="0" w:color="auto"/>
      </w:divBdr>
      <w:divsChild>
        <w:div w:id="925384560">
          <w:marLeft w:val="0"/>
          <w:marRight w:val="0"/>
          <w:marTop w:val="0"/>
          <w:marBottom w:val="0"/>
          <w:divBdr>
            <w:top w:val="none" w:sz="0" w:space="0" w:color="auto"/>
            <w:left w:val="none" w:sz="0" w:space="0" w:color="auto"/>
            <w:bottom w:val="none" w:sz="0" w:space="0" w:color="auto"/>
            <w:right w:val="none" w:sz="0" w:space="0" w:color="auto"/>
          </w:divBdr>
        </w:div>
        <w:div w:id="1901281333">
          <w:marLeft w:val="0"/>
          <w:marRight w:val="0"/>
          <w:marTop w:val="0"/>
          <w:marBottom w:val="0"/>
          <w:divBdr>
            <w:top w:val="none" w:sz="0" w:space="0" w:color="auto"/>
            <w:left w:val="none" w:sz="0" w:space="0" w:color="auto"/>
            <w:bottom w:val="none" w:sz="0" w:space="0" w:color="auto"/>
            <w:right w:val="none" w:sz="0" w:space="0" w:color="auto"/>
          </w:divBdr>
        </w:div>
        <w:div w:id="838156055">
          <w:marLeft w:val="0"/>
          <w:marRight w:val="0"/>
          <w:marTop w:val="0"/>
          <w:marBottom w:val="0"/>
          <w:divBdr>
            <w:top w:val="none" w:sz="0" w:space="0" w:color="auto"/>
            <w:left w:val="none" w:sz="0" w:space="0" w:color="auto"/>
            <w:bottom w:val="none" w:sz="0" w:space="0" w:color="auto"/>
            <w:right w:val="none" w:sz="0" w:space="0" w:color="auto"/>
          </w:divBdr>
        </w:div>
        <w:div w:id="713042135">
          <w:marLeft w:val="0"/>
          <w:marRight w:val="0"/>
          <w:marTop w:val="0"/>
          <w:marBottom w:val="0"/>
          <w:divBdr>
            <w:top w:val="none" w:sz="0" w:space="0" w:color="auto"/>
            <w:left w:val="none" w:sz="0" w:space="0" w:color="auto"/>
            <w:bottom w:val="none" w:sz="0" w:space="0" w:color="auto"/>
            <w:right w:val="none" w:sz="0" w:space="0" w:color="auto"/>
          </w:divBdr>
        </w:div>
        <w:div w:id="191767740">
          <w:marLeft w:val="0"/>
          <w:marRight w:val="0"/>
          <w:marTop w:val="0"/>
          <w:marBottom w:val="0"/>
          <w:divBdr>
            <w:top w:val="none" w:sz="0" w:space="0" w:color="auto"/>
            <w:left w:val="none" w:sz="0" w:space="0" w:color="auto"/>
            <w:bottom w:val="none" w:sz="0" w:space="0" w:color="auto"/>
            <w:right w:val="none" w:sz="0" w:space="0" w:color="auto"/>
          </w:divBdr>
        </w:div>
        <w:div w:id="2129734482">
          <w:marLeft w:val="0"/>
          <w:marRight w:val="0"/>
          <w:marTop w:val="0"/>
          <w:marBottom w:val="0"/>
          <w:divBdr>
            <w:top w:val="none" w:sz="0" w:space="0" w:color="auto"/>
            <w:left w:val="none" w:sz="0" w:space="0" w:color="auto"/>
            <w:bottom w:val="none" w:sz="0" w:space="0" w:color="auto"/>
            <w:right w:val="none" w:sz="0" w:space="0" w:color="auto"/>
          </w:divBdr>
        </w:div>
      </w:divsChild>
    </w:div>
    <w:div w:id="1454253798">
      <w:bodyDiv w:val="1"/>
      <w:marLeft w:val="0"/>
      <w:marRight w:val="0"/>
      <w:marTop w:val="0"/>
      <w:marBottom w:val="0"/>
      <w:divBdr>
        <w:top w:val="none" w:sz="0" w:space="0" w:color="auto"/>
        <w:left w:val="none" w:sz="0" w:space="0" w:color="auto"/>
        <w:bottom w:val="none" w:sz="0" w:space="0" w:color="auto"/>
        <w:right w:val="none" w:sz="0" w:space="0" w:color="auto"/>
      </w:divBdr>
      <w:divsChild>
        <w:div w:id="1984576578">
          <w:marLeft w:val="0"/>
          <w:marRight w:val="0"/>
          <w:marTop w:val="0"/>
          <w:marBottom w:val="0"/>
          <w:divBdr>
            <w:top w:val="none" w:sz="0" w:space="0" w:color="auto"/>
            <w:left w:val="none" w:sz="0" w:space="0" w:color="auto"/>
            <w:bottom w:val="none" w:sz="0" w:space="0" w:color="auto"/>
            <w:right w:val="none" w:sz="0" w:space="0" w:color="auto"/>
          </w:divBdr>
        </w:div>
        <w:div w:id="1541166644">
          <w:marLeft w:val="0"/>
          <w:marRight w:val="0"/>
          <w:marTop w:val="0"/>
          <w:marBottom w:val="0"/>
          <w:divBdr>
            <w:top w:val="none" w:sz="0" w:space="0" w:color="auto"/>
            <w:left w:val="none" w:sz="0" w:space="0" w:color="auto"/>
            <w:bottom w:val="none" w:sz="0" w:space="0" w:color="auto"/>
            <w:right w:val="none" w:sz="0" w:space="0" w:color="auto"/>
          </w:divBdr>
        </w:div>
        <w:div w:id="877469306">
          <w:marLeft w:val="0"/>
          <w:marRight w:val="0"/>
          <w:marTop w:val="120"/>
          <w:marBottom w:val="120"/>
          <w:divBdr>
            <w:top w:val="none" w:sz="0" w:space="0" w:color="auto"/>
            <w:left w:val="none" w:sz="0" w:space="0" w:color="auto"/>
            <w:bottom w:val="none" w:sz="0" w:space="0" w:color="auto"/>
            <w:right w:val="none" w:sz="0" w:space="0" w:color="auto"/>
          </w:divBdr>
          <w:divsChild>
            <w:div w:id="892037052">
              <w:marLeft w:val="0"/>
              <w:marRight w:val="0"/>
              <w:marTop w:val="0"/>
              <w:marBottom w:val="0"/>
              <w:divBdr>
                <w:top w:val="none" w:sz="0" w:space="0" w:color="auto"/>
                <w:left w:val="none" w:sz="0" w:space="0" w:color="auto"/>
                <w:bottom w:val="none" w:sz="0" w:space="0" w:color="auto"/>
                <w:right w:val="none" w:sz="0" w:space="0" w:color="auto"/>
              </w:divBdr>
            </w:div>
          </w:divsChild>
        </w:div>
        <w:div w:id="1005742049">
          <w:marLeft w:val="0"/>
          <w:marRight w:val="0"/>
          <w:marTop w:val="0"/>
          <w:marBottom w:val="0"/>
          <w:divBdr>
            <w:top w:val="none" w:sz="0" w:space="0" w:color="auto"/>
            <w:left w:val="none" w:sz="0" w:space="0" w:color="auto"/>
            <w:bottom w:val="none" w:sz="0" w:space="0" w:color="auto"/>
            <w:right w:val="none" w:sz="0" w:space="0" w:color="auto"/>
          </w:divBdr>
        </w:div>
        <w:div w:id="1914269786">
          <w:marLeft w:val="0"/>
          <w:marRight w:val="0"/>
          <w:marTop w:val="120"/>
          <w:marBottom w:val="120"/>
          <w:divBdr>
            <w:top w:val="none" w:sz="0" w:space="0" w:color="auto"/>
            <w:left w:val="none" w:sz="0" w:space="0" w:color="auto"/>
            <w:bottom w:val="none" w:sz="0" w:space="0" w:color="auto"/>
            <w:right w:val="none" w:sz="0" w:space="0" w:color="auto"/>
          </w:divBdr>
          <w:divsChild>
            <w:div w:id="1321615928">
              <w:marLeft w:val="0"/>
              <w:marRight w:val="0"/>
              <w:marTop w:val="0"/>
              <w:marBottom w:val="0"/>
              <w:divBdr>
                <w:top w:val="none" w:sz="0" w:space="0" w:color="auto"/>
                <w:left w:val="none" w:sz="0" w:space="0" w:color="auto"/>
                <w:bottom w:val="none" w:sz="0" w:space="0" w:color="auto"/>
                <w:right w:val="none" w:sz="0" w:space="0" w:color="auto"/>
              </w:divBdr>
            </w:div>
          </w:divsChild>
        </w:div>
        <w:div w:id="1224681052">
          <w:marLeft w:val="0"/>
          <w:marRight w:val="0"/>
          <w:marTop w:val="0"/>
          <w:marBottom w:val="0"/>
          <w:divBdr>
            <w:top w:val="none" w:sz="0" w:space="0" w:color="auto"/>
            <w:left w:val="none" w:sz="0" w:space="0" w:color="auto"/>
            <w:bottom w:val="none" w:sz="0" w:space="0" w:color="auto"/>
            <w:right w:val="none" w:sz="0" w:space="0" w:color="auto"/>
          </w:divBdr>
        </w:div>
        <w:div w:id="1126194234">
          <w:marLeft w:val="0"/>
          <w:marRight w:val="0"/>
          <w:marTop w:val="120"/>
          <w:marBottom w:val="120"/>
          <w:divBdr>
            <w:top w:val="none" w:sz="0" w:space="0" w:color="auto"/>
            <w:left w:val="none" w:sz="0" w:space="0" w:color="auto"/>
            <w:bottom w:val="none" w:sz="0" w:space="0" w:color="auto"/>
            <w:right w:val="none" w:sz="0" w:space="0" w:color="auto"/>
          </w:divBdr>
          <w:divsChild>
            <w:div w:id="1030034031">
              <w:marLeft w:val="0"/>
              <w:marRight w:val="0"/>
              <w:marTop w:val="0"/>
              <w:marBottom w:val="0"/>
              <w:divBdr>
                <w:top w:val="none" w:sz="0" w:space="0" w:color="auto"/>
                <w:left w:val="none" w:sz="0" w:space="0" w:color="auto"/>
                <w:bottom w:val="none" w:sz="0" w:space="0" w:color="auto"/>
                <w:right w:val="none" w:sz="0" w:space="0" w:color="auto"/>
              </w:divBdr>
            </w:div>
          </w:divsChild>
        </w:div>
        <w:div w:id="939140165">
          <w:marLeft w:val="0"/>
          <w:marRight w:val="0"/>
          <w:marTop w:val="0"/>
          <w:marBottom w:val="0"/>
          <w:divBdr>
            <w:top w:val="none" w:sz="0" w:space="0" w:color="auto"/>
            <w:left w:val="none" w:sz="0" w:space="0" w:color="auto"/>
            <w:bottom w:val="none" w:sz="0" w:space="0" w:color="auto"/>
            <w:right w:val="none" w:sz="0" w:space="0" w:color="auto"/>
          </w:divBdr>
        </w:div>
        <w:div w:id="947930032">
          <w:marLeft w:val="0"/>
          <w:marRight w:val="0"/>
          <w:marTop w:val="120"/>
          <w:marBottom w:val="120"/>
          <w:divBdr>
            <w:top w:val="none" w:sz="0" w:space="0" w:color="auto"/>
            <w:left w:val="none" w:sz="0" w:space="0" w:color="auto"/>
            <w:bottom w:val="none" w:sz="0" w:space="0" w:color="auto"/>
            <w:right w:val="none" w:sz="0" w:space="0" w:color="auto"/>
          </w:divBdr>
          <w:divsChild>
            <w:div w:id="132870984">
              <w:marLeft w:val="0"/>
              <w:marRight w:val="0"/>
              <w:marTop w:val="0"/>
              <w:marBottom w:val="0"/>
              <w:divBdr>
                <w:top w:val="none" w:sz="0" w:space="0" w:color="auto"/>
                <w:left w:val="none" w:sz="0" w:space="0" w:color="auto"/>
                <w:bottom w:val="none" w:sz="0" w:space="0" w:color="auto"/>
                <w:right w:val="none" w:sz="0" w:space="0" w:color="auto"/>
              </w:divBdr>
            </w:div>
          </w:divsChild>
        </w:div>
        <w:div w:id="1693845336">
          <w:marLeft w:val="0"/>
          <w:marRight w:val="0"/>
          <w:marTop w:val="0"/>
          <w:marBottom w:val="0"/>
          <w:divBdr>
            <w:top w:val="none" w:sz="0" w:space="0" w:color="auto"/>
            <w:left w:val="none" w:sz="0" w:space="0" w:color="auto"/>
            <w:bottom w:val="none" w:sz="0" w:space="0" w:color="auto"/>
            <w:right w:val="none" w:sz="0" w:space="0" w:color="auto"/>
          </w:divBdr>
        </w:div>
        <w:div w:id="1410813716">
          <w:marLeft w:val="0"/>
          <w:marRight w:val="0"/>
          <w:marTop w:val="120"/>
          <w:marBottom w:val="120"/>
          <w:divBdr>
            <w:top w:val="none" w:sz="0" w:space="0" w:color="auto"/>
            <w:left w:val="none" w:sz="0" w:space="0" w:color="auto"/>
            <w:bottom w:val="none" w:sz="0" w:space="0" w:color="auto"/>
            <w:right w:val="none" w:sz="0" w:space="0" w:color="auto"/>
          </w:divBdr>
          <w:divsChild>
            <w:div w:id="1235555505">
              <w:marLeft w:val="0"/>
              <w:marRight w:val="0"/>
              <w:marTop w:val="0"/>
              <w:marBottom w:val="0"/>
              <w:divBdr>
                <w:top w:val="none" w:sz="0" w:space="0" w:color="auto"/>
                <w:left w:val="none" w:sz="0" w:space="0" w:color="auto"/>
                <w:bottom w:val="none" w:sz="0" w:space="0" w:color="auto"/>
                <w:right w:val="none" w:sz="0" w:space="0" w:color="auto"/>
              </w:divBdr>
            </w:div>
          </w:divsChild>
        </w:div>
        <w:div w:id="1545829553">
          <w:marLeft w:val="0"/>
          <w:marRight w:val="0"/>
          <w:marTop w:val="0"/>
          <w:marBottom w:val="0"/>
          <w:divBdr>
            <w:top w:val="none" w:sz="0" w:space="0" w:color="auto"/>
            <w:left w:val="none" w:sz="0" w:space="0" w:color="auto"/>
            <w:bottom w:val="none" w:sz="0" w:space="0" w:color="auto"/>
            <w:right w:val="none" w:sz="0" w:space="0" w:color="auto"/>
          </w:divBdr>
        </w:div>
        <w:div w:id="1158036021">
          <w:marLeft w:val="0"/>
          <w:marRight w:val="0"/>
          <w:marTop w:val="120"/>
          <w:marBottom w:val="120"/>
          <w:divBdr>
            <w:top w:val="none" w:sz="0" w:space="0" w:color="auto"/>
            <w:left w:val="none" w:sz="0" w:space="0" w:color="auto"/>
            <w:bottom w:val="none" w:sz="0" w:space="0" w:color="auto"/>
            <w:right w:val="none" w:sz="0" w:space="0" w:color="auto"/>
          </w:divBdr>
          <w:divsChild>
            <w:div w:id="1301691465">
              <w:marLeft w:val="0"/>
              <w:marRight w:val="0"/>
              <w:marTop w:val="0"/>
              <w:marBottom w:val="0"/>
              <w:divBdr>
                <w:top w:val="none" w:sz="0" w:space="0" w:color="auto"/>
                <w:left w:val="none" w:sz="0" w:space="0" w:color="auto"/>
                <w:bottom w:val="none" w:sz="0" w:space="0" w:color="auto"/>
                <w:right w:val="none" w:sz="0" w:space="0" w:color="auto"/>
              </w:divBdr>
            </w:div>
          </w:divsChild>
        </w:div>
        <w:div w:id="164171861">
          <w:marLeft w:val="0"/>
          <w:marRight w:val="0"/>
          <w:marTop w:val="0"/>
          <w:marBottom w:val="0"/>
          <w:divBdr>
            <w:top w:val="none" w:sz="0" w:space="0" w:color="auto"/>
            <w:left w:val="none" w:sz="0" w:space="0" w:color="auto"/>
            <w:bottom w:val="none" w:sz="0" w:space="0" w:color="auto"/>
            <w:right w:val="none" w:sz="0" w:space="0" w:color="auto"/>
          </w:divBdr>
        </w:div>
        <w:div w:id="582766170">
          <w:marLeft w:val="0"/>
          <w:marRight w:val="0"/>
          <w:marTop w:val="0"/>
          <w:marBottom w:val="0"/>
          <w:divBdr>
            <w:top w:val="none" w:sz="0" w:space="0" w:color="auto"/>
            <w:left w:val="none" w:sz="0" w:space="0" w:color="auto"/>
            <w:bottom w:val="none" w:sz="0" w:space="0" w:color="auto"/>
            <w:right w:val="none" w:sz="0" w:space="0" w:color="auto"/>
          </w:divBdr>
        </w:div>
        <w:div w:id="866287557">
          <w:marLeft w:val="0"/>
          <w:marRight w:val="0"/>
          <w:marTop w:val="240"/>
          <w:marBottom w:val="240"/>
          <w:divBdr>
            <w:top w:val="none" w:sz="0" w:space="0" w:color="auto"/>
            <w:left w:val="none" w:sz="0" w:space="0" w:color="auto"/>
            <w:bottom w:val="none" w:sz="0" w:space="0" w:color="auto"/>
            <w:right w:val="none" w:sz="0" w:space="0" w:color="auto"/>
          </w:divBdr>
          <w:divsChild>
            <w:div w:id="347023834">
              <w:marLeft w:val="108"/>
              <w:marRight w:val="217"/>
              <w:marTop w:val="240"/>
              <w:marBottom w:val="240"/>
              <w:divBdr>
                <w:top w:val="none" w:sz="0" w:space="0" w:color="auto"/>
                <w:left w:val="none" w:sz="0" w:space="0" w:color="auto"/>
                <w:bottom w:val="none" w:sz="0" w:space="0" w:color="auto"/>
                <w:right w:val="none" w:sz="0" w:space="0" w:color="auto"/>
              </w:divBdr>
              <w:divsChild>
                <w:div w:id="202581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104933">
      <w:bodyDiv w:val="1"/>
      <w:marLeft w:val="0"/>
      <w:marRight w:val="0"/>
      <w:marTop w:val="0"/>
      <w:marBottom w:val="0"/>
      <w:divBdr>
        <w:top w:val="none" w:sz="0" w:space="0" w:color="auto"/>
        <w:left w:val="none" w:sz="0" w:space="0" w:color="auto"/>
        <w:bottom w:val="none" w:sz="0" w:space="0" w:color="auto"/>
        <w:right w:val="none" w:sz="0" w:space="0" w:color="auto"/>
      </w:divBdr>
    </w:div>
    <w:div w:id="164084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838CCA-5EB8-5F40-A20A-ED37C6332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TotalTime>
  <Pages>19</Pages>
  <Words>13876</Words>
  <Characters>79094</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Lai DSCI</dc:creator>
  <cp:keywords/>
  <dc:description/>
  <cp:lastModifiedBy>Yvonne Lai DSCI</cp:lastModifiedBy>
  <cp:revision>8</cp:revision>
  <dcterms:created xsi:type="dcterms:W3CDTF">2025-04-11T04:00:00Z</dcterms:created>
  <dcterms:modified xsi:type="dcterms:W3CDTF">2025-04-13T13:12:00Z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id="VXTtkfu5"/&gt;&lt;style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