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F2D59" w14:textId="17F5DB6B" w:rsidR="00D77F09" w:rsidRPr="00D77F09" w:rsidRDefault="00D77F09" w:rsidP="00DF0F17">
      <w:pPr>
        <w:spacing w:line="480" w:lineRule="auto"/>
        <w:rPr>
          <w:b/>
          <w:bCs/>
        </w:rPr>
      </w:pPr>
    </w:p>
    <w:p w14:paraId="2F42DCC9" w14:textId="77777777" w:rsidR="00D77F09" w:rsidRDefault="00D77F09" w:rsidP="00CD20CC">
      <w:pPr>
        <w:spacing w:line="480" w:lineRule="auto"/>
        <w:ind w:firstLine="720"/>
      </w:pPr>
    </w:p>
    <w:p w14:paraId="37F2FE4D" w14:textId="77777777" w:rsidR="00D77F09" w:rsidRDefault="00D77F09" w:rsidP="00D77F09">
      <w:pPr>
        <w:spacing w:line="480" w:lineRule="auto"/>
      </w:pPr>
    </w:p>
    <w:p w14:paraId="65CA5096" w14:textId="77777777" w:rsidR="00D77F09" w:rsidRDefault="00D77F09" w:rsidP="00CD20CC">
      <w:pPr>
        <w:spacing w:line="480" w:lineRule="auto"/>
        <w:ind w:firstLine="720"/>
      </w:pPr>
    </w:p>
    <w:p w14:paraId="338E53CB" w14:textId="16088EE2" w:rsidR="00D77F09" w:rsidRDefault="00D77F09" w:rsidP="00DF0F17">
      <w:pPr>
        <w:spacing w:line="480" w:lineRule="auto"/>
        <w:ind w:firstLine="720"/>
      </w:pPr>
    </w:p>
    <w:p w14:paraId="6070300D" w14:textId="77777777" w:rsidR="00D77F09" w:rsidRDefault="00D77F09" w:rsidP="00CD20CC">
      <w:pPr>
        <w:spacing w:line="480" w:lineRule="auto"/>
        <w:ind w:firstLine="720"/>
      </w:pPr>
    </w:p>
    <w:p w14:paraId="006F4E09" w14:textId="77777777" w:rsidR="00D77F09" w:rsidRDefault="00D77F09" w:rsidP="00CD20CC">
      <w:pPr>
        <w:spacing w:line="480" w:lineRule="auto"/>
        <w:ind w:firstLine="720"/>
      </w:pPr>
    </w:p>
    <w:p w14:paraId="3BBE02C9" w14:textId="77777777" w:rsidR="00D77F09" w:rsidRDefault="00D77F09" w:rsidP="00CD20CC">
      <w:pPr>
        <w:spacing w:line="480" w:lineRule="auto"/>
        <w:ind w:firstLine="720"/>
      </w:pPr>
    </w:p>
    <w:p w14:paraId="7C7AD3D5" w14:textId="02703CA2" w:rsidR="00DF0F17" w:rsidRDefault="00DF0F17" w:rsidP="00DF0F17">
      <w:pPr>
        <w:rPr>
          <w:b/>
          <w:bCs/>
        </w:rPr>
      </w:pPr>
      <w:r>
        <w:rPr>
          <w:b/>
          <w:bCs/>
        </w:rPr>
        <w:t xml:space="preserve">                                     </w:t>
      </w:r>
      <w:r>
        <w:rPr>
          <w:b/>
          <w:bCs/>
        </w:rPr>
        <w:t>Xenia Mariana Paun 2029760/ February 2022 term</w:t>
      </w:r>
    </w:p>
    <w:p w14:paraId="0F1D7D01" w14:textId="77777777" w:rsidR="00DF0F17" w:rsidRDefault="00DF0F17" w:rsidP="00DF0F17">
      <w:pPr>
        <w:rPr>
          <w:b/>
          <w:bCs/>
        </w:rPr>
      </w:pPr>
      <w:r>
        <w:rPr>
          <w:b/>
          <w:bCs/>
        </w:rPr>
        <w:t xml:space="preserve">                                                  University of Wales /Trinity Saint David</w:t>
      </w:r>
    </w:p>
    <w:p w14:paraId="7951551E" w14:textId="77777777" w:rsidR="00DF0F17" w:rsidRDefault="00DF0F17" w:rsidP="00DF0F17">
      <w:pPr>
        <w:rPr>
          <w:b/>
          <w:bCs/>
        </w:rPr>
      </w:pPr>
      <w:r>
        <w:rPr>
          <w:b/>
          <w:bCs/>
        </w:rPr>
        <w:t xml:space="preserve">                                                                London Campus </w:t>
      </w:r>
    </w:p>
    <w:p w14:paraId="403B6439" w14:textId="77777777" w:rsidR="00DF0F17" w:rsidRDefault="00DF0F17" w:rsidP="00DF0F17">
      <w:pPr>
        <w:rPr>
          <w:b/>
          <w:bCs/>
        </w:rPr>
      </w:pPr>
      <w:r>
        <w:rPr>
          <w:b/>
          <w:bCs/>
        </w:rPr>
        <w:t xml:space="preserve">                                                      BA(Hons) Business Management </w:t>
      </w:r>
    </w:p>
    <w:p w14:paraId="4180B028" w14:textId="1E29F71D" w:rsidR="00DF0F17" w:rsidRDefault="00DF0F17" w:rsidP="00DF0F17">
      <w:pPr>
        <w:rPr>
          <w:b/>
          <w:bCs/>
        </w:rPr>
      </w:pPr>
      <w:r>
        <w:rPr>
          <w:b/>
          <w:bCs/>
        </w:rPr>
        <w:t xml:space="preserve">                                                         Level 4 -Term 3-Weeken</w:t>
      </w:r>
      <w:r>
        <w:rPr>
          <w:b/>
          <w:bCs/>
        </w:rPr>
        <w:t>d</w:t>
      </w:r>
    </w:p>
    <w:p w14:paraId="00F2B305" w14:textId="467EE57D" w:rsidR="00DF0F17" w:rsidRDefault="00DF0F17" w:rsidP="00DF0F17">
      <w:pPr>
        <w:rPr>
          <w:b/>
          <w:bCs/>
        </w:rPr>
      </w:pPr>
      <w:r>
        <w:rPr>
          <w:b/>
          <w:bCs/>
        </w:rPr>
        <w:t xml:space="preserve">                                         Assignment </w:t>
      </w:r>
      <w:r>
        <w:rPr>
          <w:b/>
          <w:bCs/>
        </w:rPr>
        <w:t>2 Community</w:t>
      </w:r>
      <w:r>
        <w:rPr>
          <w:b/>
          <w:bCs/>
        </w:rPr>
        <w:t xml:space="preserve"> </w:t>
      </w:r>
      <w:r>
        <w:rPr>
          <w:b/>
          <w:bCs/>
        </w:rPr>
        <w:t>Engagement LCBB</w:t>
      </w:r>
      <w:r>
        <w:rPr>
          <w:b/>
          <w:bCs/>
        </w:rPr>
        <w:t xml:space="preserve">4002 </w:t>
      </w:r>
    </w:p>
    <w:p w14:paraId="04E23A86" w14:textId="77777777" w:rsidR="00D77F09" w:rsidRDefault="00D77F09" w:rsidP="00CD20CC">
      <w:pPr>
        <w:spacing w:line="480" w:lineRule="auto"/>
        <w:ind w:firstLine="720"/>
      </w:pPr>
    </w:p>
    <w:p w14:paraId="75F74CDD" w14:textId="77777777" w:rsidR="00D77F09" w:rsidRDefault="00D77F09" w:rsidP="00CD20CC">
      <w:pPr>
        <w:spacing w:line="480" w:lineRule="auto"/>
        <w:ind w:firstLine="720"/>
      </w:pPr>
    </w:p>
    <w:p w14:paraId="35624FC9" w14:textId="77777777" w:rsidR="00D77F09" w:rsidRDefault="00D77F09" w:rsidP="00CD20CC">
      <w:pPr>
        <w:spacing w:line="480" w:lineRule="auto"/>
        <w:ind w:firstLine="720"/>
      </w:pPr>
    </w:p>
    <w:p w14:paraId="479625B1" w14:textId="77777777" w:rsidR="00D77F09" w:rsidRDefault="00D77F09" w:rsidP="00CD20CC">
      <w:pPr>
        <w:spacing w:line="480" w:lineRule="auto"/>
        <w:ind w:firstLine="720"/>
      </w:pPr>
    </w:p>
    <w:p w14:paraId="61840289" w14:textId="2880BB51" w:rsidR="00D77F09" w:rsidRDefault="00D77F09" w:rsidP="00D77F09">
      <w:pPr>
        <w:spacing w:line="480" w:lineRule="auto"/>
      </w:pPr>
    </w:p>
    <w:p w14:paraId="6D9EE0CC" w14:textId="77777777" w:rsidR="00D77F09" w:rsidRDefault="00D77F09" w:rsidP="00D77F09">
      <w:pPr>
        <w:spacing w:line="480" w:lineRule="auto"/>
      </w:pPr>
    </w:p>
    <w:p w14:paraId="6FB2D6DE" w14:textId="4D377946" w:rsidR="00D77F09" w:rsidRPr="00D77F09" w:rsidRDefault="00D77F09" w:rsidP="00D77F09">
      <w:pPr>
        <w:spacing w:line="480" w:lineRule="auto"/>
        <w:ind w:firstLine="720"/>
        <w:rPr>
          <w:b/>
          <w:bCs/>
        </w:rPr>
      </w:pPr>
      <w:r>
        <w:rPr>
          <w:b/>
          <w:bCs/>
        </w:rPr>
        <w:lastRenderedPageBreak/>
        <w:t xml:space="preserve">Part B: </w:t>
      </w:r>
      <w:r w:rsidRPr="00D77F09">
        <w:rPr>
          <w:b/>
          <w:bCs/>
        </w:rPr>
        <w:t xml:space="preserve">Effective Community Participation As a means for Sustainable Health Intervention </w:t>
      </w:r>
    </w:p>
    <w:p w14:paraId="0A75E63B" w14:textId="206221AE" w:rsidR="00A34E51" w:rsidRDefault="00A34E51" w:rsidP="00CD20CC">
      <w:pPr>
        <w:spacing w:line="480" w:lineRule="auto"/>
        <w:ind w:firstLine="720"/>
      </w:pPr>
      <w:r>
        <w:t xml:space="preserve">Community engagement is widely recognized as a crucial component in planning, designing, developing, and evaluating healthcare delivery. Incorporating efforts from key stakeholders provides betters design solutions, leads to higher acceptance, and promotes effective management and evaluation over the project lifetime. However, many studies have failed to provide alternative approaches for sustainable community engagement. This conceptual report examines evidence regarding barriers and effective enablers to successful community involvement. </w:t>
      </w:r>
    </w:p>
    <w:p w14:paraId="680E2425" w14:textId="77777777" w:rsidR="00A34E51" w:rsidRPr="00DD003E" w:rsidRDefault="00A34E51" w:rsidP="00CD20CC">
      <w:pPr>
        <w:spacing w:line="480" w:lineRule="auto"/>
        <w:ind w:firstLine="720"/>
        <w:rPr>
          <w:b/>
          <w:bCs/>
        </w:rPr>
      </w:pPr>
      <w:r w:rsidRPr="00DD003E">
        <w:rPr>
          <w:b/>
          <w:bCs/>
        </w:rPr>
        <w:t xml:space="preserve">Introduction </w:t>
      </w:r>
    </w:p>
    <w:p w14:paraId="018DA0EC" w14:textId="1B565290" w:rsidR="00A34E51" w:rsidRDefault="00A34E51" w:rsidP="00CD20CC">
      <w:pPr>
        <w:spacing w:line="480" w:lineRule="auto"/>
        <w:ind w:firstLine="720"/>
      </w:pPr>
      <w:r>
        <w:t xml:space="preserve">Community intervention first got mainstream acceptance in public health in 1978, which underscored stakeholders from communities as pivotal in planning, operating, managing, and evaluating primary care and service delivery. </w:t>
      </w:r>
      <w:r w:rsidR="00CB1A0B">
        <w:t xml:space="preserve">Soon after establishing </w:t>
      </w:r>
      <w:r w:rsidR="00FF4C6D">
        <w:t>of sustainable Development Goals,</w:t>
      </w:r>
      <w:r>
        <w:t xml:space="preserve"> community engagement has become a priority in healthcare globally. S</w:t>
      </w:r>
      <w:r w:rsidR="00DD003E">
        <w:t>DGs</w:t>
      </w:r>
      <w:r>
        <w:t xml:space="preserve"> recommends people-centered integrated health care as a critical lever in achieving universal health coverage, and realizing these goals requires forward-looking engagement approaches</w:t>
      </w:r>
      <w:r w:rsidR="00DD003E" w:rsidRPr="00DD003E">
        <w:t xml:space="preserve"> (Burgess et al., 2021)</w:t>
      </w:r>
      <w:r>
        <w:t xml:space="preserve">. Furthermore, with a more aging population increasing worldwide, stakeholders in public identified intersectoral approaches as crucial in implementing elderly care programs and infrastructural support to manage safe working environments and promote well-being among the aging population.  </w:t>
      </w:r>
    </w:p>
    <w:p w14:paraId="31632C6A" w14:textId="4ED2A7B4" w:rsidR="00A34E51" w:rsidRDefault="00A34E51" w:rsidP="00CD20CC">
      <w:pPr>
        <w:spacing w:line="480" w:lineRule="auto"/>
        <w:ind w:firstLine="720"/>
      </w:pPr>
      <w:r>
        <w:t>The past decades have witnessed massive exploration, research, and publication on the best frameworks to conceptualize meaningful community engagement in public healthcare. Besides using community involvement approaches for positive social impact, including empowerment and public awareness, community engagement approaches have been consistently reported to promote suitability in ongoing health programs, leading to improved health status and eventual reduction in health inequalities. While most of these studies have wide acceptance in clinical practice, many challenges regarding practical and structural barriers to successful implementation still exist. In addition to structural challenges, researchers have yet to conduct studies on effective community engagement interventions, especially on long-term improvements in care outcomes</w:t>
      </w:r>
      <w:r w:rsidR="00DD003E" w:rsidRPr="00DD003E">
        <w:t xml:space="preserve"> (De Weger et al., 2018)</w:t>
      </w:r>
      <w:r>
        <w:t xml:space="preserve">. Given the stakes involved in funding community development, this review seeks to fill established knowledge gaps.     </w:t>
      </w:r>
    </w:p>
    <w:p w14:paraId="44ABBE91" w14:textId="01A0AC8C" w:rsidR="00A34E51" w:rsidRPr="00AF7327" w:rsidRDefault="00A34E51" w:rsidP="00CD20CC">
      <w:pPr>
        <w:spacing w:line="480" w:lineRule="auto"/>
        <w:ind w:firstLine="720"/>
        <w:rPr>
          <w:b/>
          <w:bCs/>
        </w:rPr>
      </w:pPr>
      <w:r w:rsidRPr="00AF7327">
        <w:rPr>
          <w:b/>
          <w:bCs/>
        </w:rPr>
        <w:t xml:space="preserve">Best Practices in Community Engagement </w:t>
      </w:r>
    </w:p>
    <w:p w14:paraId="11B690DE" w14:textId="771F06A1" w:rsidR="00A34E51" w:rsidRDefault="00AF7327" w:rsidP="00CD20CC">
      <w:pPr>
        <w:spacing w:line="480" w:lineRule="auto"/>
        <w:ind w:firstLine="720"/>
      </w:pPr>
      <w:r>
        <w:t>The</w:t>
      </w:r>
      <w:r w:rsidR="00A34E51">
        <w:t xml:space="preserve"> proliferation of meanings associated with the phrase </w:t>
      </w:r>
      <w:r w:rsidR="0090627F">
        <w:t>“</w:t>
      </w:r>
      <w:r w:rsidR="00A34E51">
        <w:t xml:space="preserve">community </w:t>
      </w:r>
      <w:r w:rsidR="00795496">
        <w:t>participation/</w:t>
      </w:r>
      <w:r w:rsidR="00A34E51">
        <w:t>engagement</w:t>
      </w:r>
      <w:r w:rsidR="0090627F">
        <w:t>”</w:t>
      </w:r>
      <w:r w:rsidR="00A34E51">
        <w:t xml:space="preserve"> has diminished its evaluative approaches as more people extend its functions in political initiatives to advance conflicting goals for manipulative or objectives outside community needs </w:t>
      </w:r>
      <w:r w:rsidR="00795496">
        <w:t xml:space="preserve">since it </w:t>
      </w:r>
      <w:r w:rsidR="00A34E51">
        <w:t>means different things to different people.</w:t>
      </w:r>
      <w:r>
        <w:t xml:space="preserve"> </w:t>
      </w:r>
      <w:r w:rsidR="00A34E51">
        <w:t>Sociopolitical interventions employ different approaches to achieving community goals</w:t>
      </w:r>
      <w:r w:rsidR="00DD003E" w:rsidRPr="00DD003E">
        <w:t xml:space="preserve"> (Marston et al., 2020)</w:t>
      </w:r>
      <w:r w:rsidR="00A34E51">
        <w:t xml:space="preserve">. While some empower individual communities to take responsibility independently, others take pragmatic stances to involve communities </w:t>
      </w:r>
      <w:r w:rsidR="00DD003E">
        <w:t xml:space="preserve">citing utilitarian courses </w:t>
      </w:r>
      <w:r w:rsidR="00A34E51">
        <w:t xml:space="preserve">because they prove more effective.  </w:t>
      </w:r>
    </w:p>
    <w:p w14:paraId="23E04C52" w14:textId="77777777" w:rsidR="00A34E51" w:rsidRPr="008C44B3" w:rsidRDefault="00A34E51" w:rsidP="00CD20CC">
      <w:pPr>
        <w:spacing w:line="480" w:lineRule="auto"/>
        <w:ind w:firstLine="720"/>
        <w:rPr>
          <w:b/>
          <w:bCs/>
        </w:rPr>
      </w:pPr>
      <w:r w:rsidRPr="008C44B3">
        <w:rPr>
          <w:b/>
          <w:bCs/>
        </w:rPr>
        <w:t xml:space="preserve">Patient/Consumer Involvement </w:t>
      </w:r>
    </w:p>
    <w:p w14:paraId="6EDCBE0D" w14:textId="3DC7B5EE" w:rsidR="00A34E51" w:rsidRDefault="00A34E51" w:rsidP="00CD20CC">
      <w:pPr>
        <w:spacing w:line="480" w:lineRule="auto"/>
        <w:ind w:firstLine="720"/>
      </w:pPr>
      <w:r>
        <w:t xml:space="preserve">Organizations </w:t>
      </w:r>
      <w:r w:rsidR="0090627F">
        <w:t xml:space="preserve">should </w:t>
      </w:r>
      <w:r>
        <w:t xml:space="preserve">create enabling environments to encourage citizens to take more roles in active decisions making roles with community engagement interventions. Theoretical works on community engagement provide some techniques by which organizations seize and maintain power on critical decisions from citizens. For instance, a study conducted </w:t>
      </w:r>
      <w:r w:rsidR="00EA5942">
        <w:t>by found</w:t>
      </w:r>
      <w:r>
        <w:t xml:space="preserve"> that organization management monopolized meetings by wading through large complex paperwork after citizens had joined the meetings. Organizations need to amend the power structure to share control with local consultants to create more transparency in management. In another study, </w:t>
      </w:r>
      <w:r w:rsidR="00EA5942" w:rsidRPr="00EA5942">
        <w:t>Marston et al.</w:t>
      </w:r>
      <w:r w:rsidR="00EA5942">
        <w:t xml:space="preserve"> </w:t>
      </w:r>
      <w:r>
        <w:t xml:space="preserve">found that community outreach risks mistrust of culturally sensitive mainstream health services when dealing with marginalized </w:t>
      </w:r>
      <w:r w:rsidR="00EA5942">
        <w:t>sections (2019)</w:t>
      </w:r>
      <w:r>
        <w:t>.</w:t>
      </w:r>
      <w:r w:rsidR="00EA5942">
        <w:t xml:space="preserve"> Projects in public health also tend to involve governmental agencies.</w:t>
      </w:r>
      <w:r w:rsidR="00BD0BAC">
        <w:t xml:space="preserve"> </w:t>
      </w:r>
      <w:r w:rsidR="00AF7327">
        <w:t xml:space="preserve">In another parallel study, </w:t>
      </w:r>
      <w:r w:rsidR="00AF7327" w:rsidRPr="00AF7327">
        <w:t>Walugembe et al.</w:t>
      </w:r>
      <w:r w:rsidR="00AF7327">
        <w:t xml:space="preserve"> </w:t>
      </w:r>
      <w:r w:rsidR="00AF7327" w:rsidRPr="00AF7327">
        <w:t xml:space="preserve"> </w:t>
      </w:r>
      <w:r w:rsidR="00AF7327">
        <w:t>(</w:t>
      </w:r>
      <w:r w:rsidR="00AF7327" w:rsidRPr="00AF7327">
        <w:t>2019)</w:t>
      </w:r>
      <w:r w:rsidR="00AF7327">
        <w:t xml:space="preserve"> discussed</w:t>
      </w:r>
      <w:r w:rsidR="00BD0BAC">
        <w:t xml:space="preserve"> the need for stakeholders in</w:t>
      </w:r>
      <w:r w:rsidR="00EA5942">
        <w:t xml:space="preserve"> ministries to build trust between local stakeholders and </w:t>
      </w:r>
      <w:r w:rsidR="00BD0BAC">
        <w:t>municipal</w:t>
      </w:r>
      <w:r w:rsidR="00EA5942">
        <w:t xml:space="preserve"> representatives. During the construction of an elderly facility in Azraq, Jordan, we noted local stakeholders were hesitant to collaborate with water officials at the onset. Community stakeholders committed to a public relations strategy that included knowledge dissemination and awareness-raising on different communication and stakeholders to improve transparency. </w:t>
      </w:r>
      <w:r w:rsidR="00DD003E" w:rsidRPr="00DD003E">
        <w:t>Marston et al.</w:t>
      </w:r>
      <w:r w:rsidR="00DD003E">
        <w:t xml:space="preserve"> opines that </w:t>
      </w:r>
      <w:r>
        <w:t xml:space="preserve">organization can improve transparency by allowing native communities to elect their representatives in key program </w:t>
      </w:r>
      <w:r w:rsidR="00DD003E">
        <w:t>functions (2020)</w:t>
      </w:r>
      <w:r>
        <w:t xml:space="preserve">.   Organization platforms should be more accessible to citizens to minimize confusion, backtracking, and mistrust when citizens miss critical protocol in project implementation. Successful community intervention relies on active citizen participation and the partnering organization's willingness to share control.     </w:t>
      </w:r>
    </w:p>
    <w:p w14:paraId="61DD6AB3" w14:textId="335E9E99" w:rsidR="008C44B3" w:rsidRDefault="008C44B3" w:rsidP="00CD20CC">
      <w:pPr>
        <w:spacing w:line="480" w:lineRule="auto"/>
        <w:ind w:firstLine="720"/>
        <w:rPr>
          <w:b/>
          <w:bCs/>
        </w:rPr>
      </w:pPr>
      <w:r>
        <w:rPr>
          <w:b/>
          <w:bCs/>
        </w:rPr>
        <w:t xml:space="preserve">Communication and Transparency </w:t>
      </w:r>
    </w:p>
    <w:p w14:paraId="2EA60D5C" w14:textId="7D708CFB" w:rsidR="00A34E51" w:rsidRDefault="00A34E51" w:rsidP="00CD20CC">
      <w:pPr>
        <w:spacing w:line="480" w:lineRule="auto"/>
        <w:ind w:firstLine="720"/>
      </w:pPr>
      <w:r>
        <w:t xml:space="preserve">From program design to evaluation, stakeholder support is critical to a successful elderly care and management program. Community representatives should be involved during each stage of the program to provide critical suggestions for design and participate in program assessment and quality improvement checks. Moreover, involving stakeholders during critical public health delivery stages can aid in establishing long-term support for the program. The following sections will explore strategies to incorporate stakeholders, nurture relationships, and communicate effectively while managing expectations at all levels of the care management program.   </w:t>
      </w:r>
    </w:p>
    <w:p w14:paraId="68E6B78B" w14:textId="77777777" w:rsidR="00CD20CC" w:rsidRDefault="00A34E51" w:rsidP="00CD20CC">
      <w:pPr>
        <w:spacing w:line="480" w:lineRule="auto"/>
        <w:ind w:firstLine="720"/>
      </w:pPr>
      <w:r>
        <w:t>Active participation of key stakeholders, consultation, and information sharing is a key part of community engagement and strategy. Communication and coordination considering these influences are crucial for building trust, sustainable relationships, and managing conflicts early enough when they are manageable. Community engagement in care delivery lies upon effective leadership communication, sustainability, and implementation. Creating forums where residents and stakeholders feel comfortable contributing is also critical to community development success. Stakeholders in public health should ensure they customize intervention plans tailored to care delivery needs and eliminate possible barriers that may limit interactions between citizens and authorities. In particular, community leaders can ensure they hold a meeting and discussion forums whenever convenient and meanwhiles considering communication needs and taking into account the cultural sensitivity of activities aimed at marginalized communities. Creating enabling and safe environment is particularly critical when dealing with marginalized and racially divided communities.</w:t>
      </w:r>
      <w:r w:rsidR="00CD20CC">
        <w:t xml:space="preserve"> </w:t>
      </w:r>
      <w:r>
        <w:t>Therefore, identifying key public concerns, planning initiatives, and developing a broad consensus on strategy is the responsibility community director.</w:t>
      </w:r>
    </w:p>
    <w:p w14:paraId="23A6A318" w14:textId="5EA63C06" w:rsidR="00A34E51" w:rsidRDefault="00A34E51" w:rsidP="00CD20CC">
      <w:pPr>
        <w:spacing w:line="480" w:lineRule="auto"/>
        <w:ind w:firstLine="720"/>
      </w:pPr>
      <w:r>
        <w:t xml:space="preserve"> Planning and coordination also encompass </w:t>
      </w:r>
      <w:r w:rsidR="00CD20CC">
        <w:t>identifying</w:t>
      </w:r>
      <w:r>
        <w:t xml:space="preserve"> information and knowledge sources that stakeholders can draw upon to leverage efficient, workable, and sustainable solutions. In part, these functions also involve stakeholder analysis and planning for their participation. Several studies on care delivery still underscore communication as the most decisive factor in community project success or failure. Due to their complex socio-political interactions, communication and engagement are the most challenging components in advancing community initiatives. To realize most benefits of nonstandard processes, stakeholders in public health need to ensure effective planning and coordination in navigating challenges arising from project implementation. In addition, communication and public participation develop community ownership and responsibility, which are all essential for sustainability and long-term project success. </w:t>
      </w:r>
    </w:p>
    <w:p w14:paraId="4ACBA822" w14:textId="48BA9EDD" w:rsidR="00A34E51" w:rsidRPr="00A34E51" w:rsidRDefault="00A34E51" w:rsidP="00CD20CC">
      <w:pPr>
        <w:spacing w:line="480" w:lineRule="auto"/>
        <w:ind w:firstLine="720"/>
        <w:rPr>
          <w:b/>
          <w:bCs/>
        </w:rPr>
      </w:pPr>
      <w:r>
        <w:rPr>
          <w:b/>
          <w:bCs/>
        </w:rPr>
        <w:t xml:space="preserve">Build </w:t>
      </w:r>
      <w:r w:rsidRPr="00A34E51">
        <w:rPr>
          <w:b/>
          <w:bCs/>
        </w:rPr>
        <w:t>Trust and Sustainability</w:t>
      </w:r>
      <w:r>
        <w:rPr>
          <w:b/>
          <w:bCs/>
        </w:rPr>
        <w:t xml:space="preserve"> through Health Collaboration </w:t>
      </w:r>
    </w:p>
    <w:p w14:paraId="1ED24F8C" w14:textId="4E238DBE" w:rsidR="00A34E51" w:rsidRDefault="00A34E51" w:rsidP="00CD20CC">
      <w:pPr>
        <w:spacing w:line="480" w:lineRule="auto"/>
        <w:ind w:firstLine="720"/>
      </w:pPr>
      <w:r>
        <w:t>community development initiatives also thrive on the level of trust and relationships fostered among stakeholders. Strong relationships between organizations and affected communities for the basis for sustainable project implementation and engagement over long periods. Public healthcare providers can implement a participatory tenement approach with selected community-focused organizations. Providers can also train local youth to present social and technical aspects in community awareness sessions</w:t>
      </w:r>
      <w:r w:rsidR="008C44B3" w:rsidRPr="008C44B3">
        <w:t xml:space="preserve"> (</w:t>
      </w:r>
      <w:proofErr w:type="spellStart"/>
      <w:r w:rsidR="008C44B3" w:rsidRPr="008C44B3">
        <w:t>Howdon</w:t>
      </w:r>
      <w:proofErr w:type="spellEnd"/>
      <w:r w:rsidR="008C44B3" w:rsidRPr="008C44B3">
        <w:t xml:space="preserve"> &amp; Rice, 2018)</w:t>
      </w:r>
      <w:r>
        <w:t>. Further, community-based organizations can also mobilize and advocate for more community groups. In one major study conducted in Azraq, Jordan, researchers noted that the criteria by which managers identified and understood project indicators strongly relied upon community engagement from the project start to finish</w:t>
      </w:r>
      <w:r w:rsidRPr="00A34E51">
        <w:t xml:space="preserve"> (De Weger et al., 2018)</w:t>
      </w:r>
      <w:r>
        <w:t>. Community stakeholders can apply similar approaches in public health through documentation and reviewing key influential figures and how these translate into project success or failure. Stakeholder mapping and analysis are guided to bridge interest between local citizens and influential stakeholders. However, community developers can realize more value in this process by setting aside designated community-oriented committees to understand nuances in relationships and dynamics affecting the local people.   During their study, Burgess et al. noted that awareness may prove insufficient to address initial mistrust at an organizational level in the consortium</w:t>
      </w:r>
      <w:r w:rsidR="008C44B3">
        <w:t xml:space="preserve"> (2019)</w:t>
      </w:r>
      <w:r>
        <w:t>. In most cases, community projects conducted by international consortiums tend to steer interest from public concerns towards consortium partners. To ensures all members are on board. Community leadership can improve the strategy by actively involving local consultants and experts in key decisions. In addition, community developers can employ more community members in junior roles such as youth in data collection to further enforce trust and relationships at the organizational level.</w:t>
      </w:r>
      <w:r w:rsidR="00FA5A00">
        <w:t xml:space="preserve"> </w:t>
      </w:r>
    </w:p>
    <w:p w14:paraId="0542606E" w14:textId="7B65B28E" w:rsidR="00A34E51" w:rsidRPr="00A34E51" w:rsidRDefault="00A34E51" w:rsidP="00CD20CC">
      <w:pPr>
        <w:spacing w:line="480" w:lineRule="auto"/>
        <w:ind w:firstLine="720"/>
        <w:rPr>
          <w:b/>
          <w:bCs/>
        </w:rPr>
      </w:pPr>
      <w:r w:rsidRPr="00A34E51">
        <w:rPr>
          <w:b/>
          <w:bCs/>
        </w:rPr>
        <w:t>Enhance Collaborative Capacity using social media</w:t>
      </w:r>
    </w:p>
    <w:p w14:paraId="5E7A177D" w14:textId="42F7358E" w:rsidR="00A34E51" w:rsidRDefault="00A34E51" w:rsidP="00CD20CC">
      <w:pPr>
        <w:spacing w:line="480" w:lineRule="auto"/>
        <w:ind w:firstLine="720"/>
      </w:pPr>
      <w:r>
        <w:t>One of the major duties of clinical advisory panels is to bring together stakeholders from diverse backgrounds in affecting project implementation. Social media can provide ample leverage in mobilizing organizations and members and, most importantly, sustaining established relationships. These platforms also offer credible information sources that program managers can utilize to educate, engage, and develop community understanding of critical missions. Community engagement interventions operate within a wide spectrum of societal which encompass leadership. Social media can also effectively ensure collective strategies and position, unlike traditional channels</w:t>
      </w:r>
      <w:r w:rsidR="00FA5A00" w:rsidRPr="00FA5A00">
        <w:t xml:space="preserve"> (Lee et al., 2019)</w:t>
      </w:r>
      <w:r>
        <w:t>. It can a broad group of participants seamlessly Intervening contextual interactions, including organization mechanisms and prior positive experiences that help provide various points of connections between community members and local administration.</w:t>
      </w:r>
    </w:p>
    <w:p w14:paraId="0CE40F76" w14:textId="7E46B5DB" w:rsidR="00A34E51" w:rsidRPr="00A34E51" w:rsidRDefault="00A34E51" w:rsidP="00CD20CC">
      <w:pPr>
        <w:spacing w:line="480" w:lineRule="auto"/>
        <w:ind w:firstLine="720"/>
        <w:rPr>
          <w:b/>
          <w:bCs/>
        </w:rPr>
      </w:pPr>
      <w:r>
        <w:rPr>
          <w:b/>
          <w:bCs/>
        </w:rPr>
        <w:t xml:space="preserve">Provide </w:t>
      </w:r>
      <w:r w:rsidRPr="00A34E51">
        <w:rPr>
          <w:b/>
          <w:bCs/>
        </w:rPr>
        <w:t xml:space="preserve">Supportive and Responsive Leaderships </w:t>
      </w:r>
    </w:p>
    <w:p w14:paraId="2431D306" w14:textId="277E9D5B" w:rsidR="00A34E51" w:rsidRDefault="00A34E51" w:rsidP="00CD20CC">
      <w:pPr>
        <w:spacing w:line="480" w:lineRule="auto"/>
        <w:ind w:firstLine="720"/>
      </w:pPr>
      <w:r>
        <w:t>Limiting contextual factors include engaging socials workers in non-action-oriented previous approaches to help mobilize around a care delivery issue. Community leadership should acknowledge constraining forces to reduce the risk of inviting unwanted resistance</w:t>
      </w:r>
      <w:r w:rsidR="00FA5A00" w:rsidRPr="00FA5A00">
        <w:t xml:space="preserve"> (</w:t>
      </w:r>
      <w:proofErr w:type="spellStart"/>
      <w:r w:rsidR="00FA5A00" w:rsidRPr="00FA5A00">
        <w:t>Howdon</w:t>
      </w:r>
      <w:proofErr w:type="spellEnd"/>
      <w:r w:rsidR="00FA5A00" w:rsidRPr="00FA5A00">
        <w:t xml:space="preserve"> &amp; Rice, 2018)</w:t>
      </w:r>
      <w:r>
        <w:t>. In elderly care, unsupportive leadership that cannot provide critical testing and health checks diagnostic equipment may leave nursing staff disempowered and frustrated. Regardless, several studies show that limiting community interactions operate within minimal significance provided programs leaderships acknowledge and provide necessary measures to address them.</w:t>
      </w:r>
    </w:p>
    <w:p w14:paraId="267946A7" w14:textId="09D012D5" w:rsidR="00A34E51" w:rsidRDefault="00CB1A0B" w:rsidP="00CD20CC">
      <w:pPr>
        <w:spacing w:line="480" w:lineRule="auto"/>
        <w:ind w:firstLine="720"/>
      </w:pPr>
      <w:r>
        <w:t>Partnering companies should reinforce</w:t>
      </w:r>
      <w:r w:rsidR="00A34E51">
        <w:t xml:space="preserve"> </w:t>
      </w:r>
      <w:r>
        <w:t xml:space="preserve">local efforts </w:t>
      </w:r>
      <w:r w:rsidR="00A34E51">
        <w:t>in their responsibilities</w:t>
      </w:r>
      <w:r>
        <w:t xml:space="preserve"> in an open bidirectional manner</w:t>
      </w:r>
      <w:r w:rsidR="00A34E51">
        <w:t xml:space="preserve">. </w:t>
      </w:r>
      <w:r w:rsidR="001620CB">
        <w:t xml:space="preserve">Organizational support </w:t>
      </w:r>
      <w:r w:rsidR="00A34E51">
        <w:t xml:space="preserve">of this nature is typically found in transparency, enhancing accountability, and information sharing among professionals. Cross information among stakeholders is clear on expectations. In hospital settings, supportive leadership creates citizen advisory panels to foster relationships with communities and create financial infrastructure to fund critical projects. For healthcare providers, the board should be clear on the difficult financial sourcing and funding decisions that will majorly influence care delivery to make elderly care more efficient. For instance, the board can </w:t>
      </w:r>
      <w:r w:rsidR="00257582">
        <w:t xml:space="preserve">contribute </w:t>
      </w:r>
      <w:r w:rsidR="00A34E51">
        <w:t xml:space="preserve">by enlisting consulting agencies' help and providing strategic reconditions. </w:t>
      </w:r>
      <w:proofErr w:type="spellStart"/>
      <w:r w:rsidR="00FA5A00" w:rsidRPr="00FA5A00">
        <w:t>Howdon</w:t>
      </w:r>
      <w:proofErr w:type="spellEnd"/>
      <w:r w:rsidR="00FA5A00" w:rsidRPr="00FA5A00">
        <w:t xml:space="preserve"> &amp; </w:t>
      </w:r>
      <w:r w:rsidR="00FA5A00">
        <w:t xml:space="preserve">Rice further suggests that </w:t>
      </w:r>
      <w:r w:rsidR="00A34E51">
        <w:t>board</w:t>
      </w:r>
      <w:r w:rsidR="00FA5A00">
        <w:t>s</w:t>
      </w:r>
      <w:r w:rsidR="00A34E51">
        <w:t xml:space="preserve"> should be </w:t>
      </w:r>
      <w:r w:rsidR="00FA5A00">
        <w:t>proactive</w:t>
      </w:r>
      <w:r w:rsidR="00A34E51">
        <w:t xml:space="preserve"> in providing sustainability mechanisms to help panels stay on </w:t>
      </w:r>
      <w:r w:rsidR="00FA5A00">
        <w:t>course (2018)</w:t>
      </w:r>
      <w:r w:rsidR="00A34E51">
        <w:t>. For instance, in impossible project tasks, the board should be proactive and provide measures to help ensure board members stick to the initial plan and adjust to changes throughout the implementation.</w:t>
      </w:r>
    </w:p>
    <w:p w14:paraId="1598345C" w14:textId="77777777" w:rsidR="00A34E51" w:rsidRPr="00A34E51" w:rsidRDefault="00A34E51" w:rsidP="00CD20CC">
      <w:pPr>
        <w:spacing w:line="480" w:lineRule="auto"/>
        <w:ind w:firstLine="720"/>
        <w:rPr>
          <w:b/>
          <w:bCs/>
        </w:rPr>
      </w:pPr>
      <w:r w:rsidRPr="00A34E51">
        <w:rPr>
          <w:b/>
          <w:bCs/>
        </w:rPr>
        <w:t>Identify and Address Potential Power Imbalances</w:t>
      </w:r>
    </w:p>
    <w:p w14:paraId="0B1D7009" w14:textId="74588E2A" w:rsidR="00A34E51" w:rsidRDefault="00A34E51" w:rsidP="00CD20CC">
      <w:pPr>
        <w:spacing w:line="480" w:lineRule="auto"/>
        <w:ind w:firstLine="720"/>
      </w:pPr>
      <w:r>
        <w:t xml:space="preserve">Community perceptions also rely on how effective power structures balance interactions between professionals and local consultants. Relative powerlessness, especially among citizens, can arise from many sources. First are the tendency for organization hierarchies to tip power closers to professionals than to citizens, consequently making it challenging for citizens to contribute to community key discussions. studies have also documented several instances highlighting contradictions in the manner by which professional discussions and community views maintain status quo. for instance, </w:t>
      </w:r>
      <w:r w:rsidR="00FA5A00">
        <w:t>Lee et al., discussed</w:t>
      </w:r>
      <w:r>
        <w:t xml:space="preserve"> how professionals dismissed service users in a mental health research program claiming they were unreasonable due to their conditions. Contradictory discussions and expectations among </w:t>
      </w:r>
      <w:r w:rsidR="00FA5A00">
        <w:t>professional’s</w:t>
      </w:r>
      <w:r>
        <w:t xml:space="preserve"> limit citizens' direct contribution in terms of the scope they can provide</w:t>
      </w:r>
      <w:r w:rsidR="00FA5A00">
        <w:t xml:space="preserve"> (2019)</w:t>
      </w:r>
      <w:r>
        <w:t>. Such discourses extend polarities further, making it harder for program initiatives to control widening divisions between organizations and needy people. For elderly care, the panel should recognize the need for equality between citizens and partnering organizations. Open and transparent discussions premise discussions by which organization and citizens share their perspectives on critical healthcare initiatives. Ultimately community engagement should be more effective view each other as legitimate equal partners.</w:t>
      </w:r>
    </w:p>
    <w:p w14:paraId="035FCF1B" w14:textId="77777777" w:rsidR="00A34E51" w:rsidRPr="00FA5A00" w:rsidRDefault="00A34E51" w:rsidP="00CD20CC">
      <w:pPr>
        <w:spacing w:line="480" w:lineRule="auto"/>
        <w:ind w:firstLine="720"/>
        <w:rPr>
          <w:b/>
          <w:bCs/>
        </w:rPr>
      </w:pPr>
      <w:r w:rsidRPr="00FA5A00">
        <w:rPr>
          <w:b/>
          <w:bCs/>
        </w:rPr>
        <w:t>Implications for Stakeholders</w:t>
      </w:r>
    </w:p>
    <w:p w14:paraId="0D98FD61" w14:textId="68ACD883" w:rsidR="00A34E51" w:rsidRDefault="00A34E51" w:rsidP="00CD20CC">
      <w:pPr>
        <w:spacing w:line="480" w:lineRule="auto"/>
        <w:ind w:firstLine="720"/>
      </w:pPr>
      <w:r>
        <w:t>evidence gathered from various studies presents several successes of community engagement theory in yielding critical insights for practice at individual, community, and regional levels from diverse backgrounds. It is worth considering that stakeholders and policymakers in heal care commit resources to create engagement platforms, develop supportive leadership, nurture healthy partnerships, and facilitate information sharing between collaborators in healthcare and related networks</w:t>
      </w:r>
      <w:r w:rsidR="00FA5A00" w:rsidRPr="00FA5A00">
        <w:t xml:space="preserve"> (Haldane et al., 2019)</w:t>
      </w:r>
      <w:r>
        <w:t>. Furthermore, addressing power imbalance, understanding social-political interactions in respective regions, and developing trust and healthier relationships between stakeholders is critical for project acceptance and long-term sustainability.</w:t>
      </w:r>
    </w:p>
    <w:p w14:paraId="413D190D" w14:textId="4CAFB980" w:rsidR="00A34E51" w:rsidRDefault="00A34E51" w:rsidP="00CD20CC">
      <w:pPr>
        <w:spacing w:line="480" w:lineRule="auto"/>
        <w:ind w:firstLine="720"/>
      </w:pPr>
      <w:r>
        <w:t xml:space="preserve">Based on these findings, future project implementation should consider new outcomes frameworks for community engagement that program directors and key policy stakeholders can use to allocate funding, establish program outcomes, and evaluate healthcare </w:t>
      </w:r>
      <w:r w:rsidR="006A66A8">
        <w:t xml:space="preserve">goals. </w:t>
      </w:r>
      <w:r w:rsidR="00704050">
        <w:t xml:space="preserve">In </w:t>
      </w:r>
      <w:r w:rsidR="006A66A8">
        <w:t xml:space="preserve">their </w:t>
      </w:r>
      <w:r w:rsidR="00704050">
        <w:t>report,</w:t>
      </w:r>
      <w:r w:rsidR="006A66A8">
        <w:t xml:space="preserve"> </w:t>
      </w:r>
      <w:r w:rsidR="006A66A8" w:rsidRPr="006A66A8">
        <w:t xml:space="preserve">Haldane et al. </w:t>
      </w:r>
      <w:r w:rsidR="006A66A8">
        <w:t>(</w:t>
      </w:r>
      <w:r w:rsidR="006A66A8" w:rsidRPr="006A66A8">
        <w:t>2019</w:t>
      </w:r>
      <w:r w:rsidR="006A66A8">
        <w:t>), observed that policymakers</w:t>
      </w:r>
      <w:r>
        <w:t xml:space="preserve"> should consider the moderating interactions of culture and community expectations of program initiatives directed to outcomes on individual projects. These considerations should also consider power relations between local communities and organizations and how empowerment can help bridge the distance between community consultants in accessing critical organizational resources.    </w:t>
      </w:r>
    </w:p>
    <w:p w14:paraId="5FF6E502" w14:textId="77777777" w:rsidR="00A34E51" w:rsidRDefault="00A34E51" w:rsidP="00CD20CC">
      <w:pPr>
        <w:spacing w:line="480" w:lineRule="auto"/>
        <w:ind w:firstLine="720"/>
      </w:pPr>
      <w:r w:rsidRPr="00A34E51">
        <w:rPr>
          <w:b/>
          <w:bCs/>
        </w:rPr>
        <w:t>Conclusion</w:t>
      </w:r>
      <w:r>
        <w:t>.</w:t>
      </w:r>
    </w:p>
    <w:p w14:paraId="63835EE2" w14:textId="64345F27" w:rsidR="00870F32" w:rsidRDefault="00A34E51" w:rsidP="00CD20CC">
      <w:pPr>
        <w:spacing w:line="480" w:lineRule="auto"/>
        <w:ind w:firstLine="720"/>
      </w:pPr>
      <w:r>
        <w:t xml:space="preserve">Community engagement is crucial for healthcare advancements. Interventions using community engagement can gain more from information sharing for stronger collaborative power and trust among collaborators.    </w:t>
      </w:r>
      <w:r w:rsidR="00257582" w:rsidRPr="00257582">
        <w:t xml:space="preserve">As communities develop interventions for better service and innovative approaches to clinical practice, incorporating insights from diverse communities will be critical for healthcare coproduction.    </w:t>
      </w:r>
    </w:p>
    <w:p w14:paraId="48333B27" w14:textId="707114CB" w:rsidR="00D77F09" w:rsidRDefault="00D77F09" w:rsidP="00CD20CC">
      <w:pPr>
        <w:spacing w:line="480" w:lineRule="auto"/>
        <w:ind w:firstLine="720"/>
      </w:pPr>
    </w:p>
    <w:p w14:paraId="3D37907B" w14:textId="17AE8558" w:rsidR="00D77F09" w:rsidRDefault="00D77F09" w:rsidP="00CD20CC">
      <w:pPr>
        <w:spacing w:line="480" w:lineRule="auto"/>
        <w:ind w:firstLine="720"/>
      </w:pPr>
    </w:p>
    <w:p w14:paraId="1D3E3F76" w14:textId="78155812" w:rsidR="00D77F09" w:rsidRDefault="00D77F09" w:rsidP="00CD20CC">
      <w:pPr>
        <w:spacing w:line="480" w:lineRule="auto"/>
        <w:ind w:firstLine="720"/>
      </w:pPr>
    </w:p>
    <w:p w14:paraId="65E0B24F" w14:textId="78255FA1" w:rsidR="00D77F09" w:rsidRDefault="00D77F09" w:rsidP="00CD20CC">
      <w:pPr>
        <w:spacing w:line="480" w:lineRule="auto"/>
        <w:ind w:firstLine="720"/>
      </w:pPr>
    </w:p>
    <w:p w14:paraId="4CD2A903" w14:textId="48AAA5F1" w:rsidR="00D77F09" w:rsidRDefault="00D77F09" w:rsidP="00CD20CC">
      <w:pPr>
        <w:spacing w:line="480" w:lineRule="auto"/>
        <w:ind w:firstLine="720"/>
      </w:pPr>
    </w:p>
    <w:p w14:paraId="55ACDDD3" w14:textId="63C6C83C" w:rsidR="00D77F09" w:rsidRDefault="00D77F09" w:rsidP="00CD20CC">
      <w:pPr>
        <w:spacing w:line="480" w:lineRule="auto"/>
        <w:ind w:firstLine="720"/>
      </w:pPr>
    </w:p>
    <w:p w14:paraId="5BFC84CE" w14:textId="017FB8F8" w:rsidR="00D77F09" w:rsidRDefault="00D77F09" w:rsidP="00CD20CC">
      <w:pPr>
        <w:spacing w:line="480" w:lineRule="auto"/>
        <w:ind w:firstLine="720"/>
      </w:pPr>
    </w:p>
    <w:p w14:paraId="2FF8AB27" w14:textId="18316AD5" w:rsidR="00D77F09" w:rsidRPr="00AD3729" w:rsidRDefault="00D77F09" w:rsidP="00AD3729">
      <w:pPr>
        <w:spacing w:line="480" w:lineRule="auto"/>
        <w:ind w:firstLine="720"/>
        <w:jc w:val="center"/>
        <w:rPr>
          <w:b/>
          <w:bCs/>
        </w:rPr>
      </w:pPr>
      <w:r w:rsidRPr="00D77F09">
        <w:rPr>
          <w:b/>
          <w:bCs/>
        </w:rPr>
        <w:t>References</w:t>
      </w:r>
    </w:p>
    <w:p w14:paraId="3C323EBD" w14:textId="5113D4F5" w:rsidR="00D77F09" w:rsidRPr="00AD3729" w:rsidRDefault="00AD3729" w:rsidP="00AD3729">
      <w:pPr>
        <w:spacing w:line="480" w:lineRule="auto"/>
        <w:ind w:left="720" w:hanging="720"/>
        <w:jc w:val="both"/>
      </w:pPr>
      <w:r w:rsidRPr="00AD3729">
        <w:t xml:space="preserve">Burgess, R., Osborne, R., </w:t>
      </w:r>
      <w:proofErr w:type="spellStart"/>
      <w:r w:rsidRPr="00AD3729">
        <w:t>Yongabi</w:t>
      </w:r>
      <w:proofErr w:type="spellEnd"/>
      <w:r w:rsidRPr="00AD3729">
        <w:t xml:space="preserve">, K., Greenhalgh, T., </w:t>
      </w:r>
      <w:proofErr w:type="spellStart"/>
      <w:r w:rsidRPr="00AD3729">
        <w:t>Gurdasani</w:t>
      </w:r>
      <w:proofErr w:type="spellEnd"/>
      <w:r w:rsidRPr="00AD3729">
        <w:t xml:space="preserve">, D., &amp; Kang, G. et al. (2021). The COVID-19 vaccines rush: participatory community engagement matters more than ever. The Lancet, 397(10268), 8-10. </w:t>
      </w:r>
      <w:hyperlink r:id="rId6" w:history="1">
        <w:r w:rsidRPr="00AD3729">
          <w:rPr>
            <w:rStyle w:val="Hyperlink"/>
          </w:rPr>
          <w:t>https://doi.org/10.1016/s0140-6736(20)32642-8</w:t>
        </w:r>
      </w:hyperlink>
    </w:p>
    <w:p w14:paraId="1AA71E39" w14:textId="5C1868CD" w:rsidR="00AD3729" w:rsidRPr="00AD3729" w:rsidRDefault="00AD3729" w:rsidP="00AD3729">
      <w:pPr>
        <w:spacing w:line="480" w:lineRule="auto"/>
        <w:ind w:left="720" w:hanging="720"/>
        <w:jc w:val="both"/>
      </w:pPr>
      <w:r w:rsidRPr="00AD3729">
        <w:t xml:space="preserve">De Weger, E., Van Vooren, N., </w:t>
      </w:r>
      <w:proofErr w:type="spellStart"/>
      <w:r w:rsidRPr="00AD3729">
        <w:t>Luijkx</w:t>
      </w:r>
      <w:proofErr w:type="spellEnd"/>
      <w:r w:rsidRPr="00AD3729">
        <w:t xml:space="preserve">, K., Baan, C., &amp; Drewes, H. (2018). Achieving successful community engagement: a rapid realist review. BMC Health Services Research, 18(1). </w:t>
      </w:r>
      <w:hyperlink r:id="rId7" w:history="1">
        <w:r w:rsidRPr="00AD3729">
          <w:rPr>
            <w:rStyle w:val="Hyperlink"/>
          </w:rPr>
          <w:t>https://doi.org/10.1186/s12913-018-3090-1</w:t>
        </w:r>
      </w:hyperlink>
    </w:p>
    <w:p w14:paraId="5877E073" w14:textId="78733602" w:rsidR="00AD3729" w:rsidRPr="00AD3729" w:rsidRDefault="00AD3729" w:rsidP="00AD3729">
      <w:pPr>
        <w:spacing w:line="480" w:lineRule="auto"/>
        <w:ind w:left="720" w:hanging="720"/>
        <w:jc w:val="both"/>
      </w:pPr>
      <w:r w:rsidRPr="00AD3729">
        <w:t xml:space="preserve">Haldane, V., Chuah, F., Srivastava, A., Singh, S., Koh, G., Seng, C., &amp; </w:t>
      </w:r>
      <w:proofErr w:type="spellStart"/>
      <w:r w:rsidRPr="00AD3729">
        <w:t>Legido</w:t>
      </w:r>
      <w:proofErr w:type="spellEnd"/>
      <w:r w:rsidRPr="00AD3729">
        <w:t xml:space="preserve">-Quigley, H. (2019). Community participation in health services development, implementation, and evaluation: A systematic review of empowerment, health, community, and process outcomes. PLOS ONE, 14(5), e0216112. </w:t>
      </w:r>
      <w:hyperlink r:id="rId8" w:history="1">
        <w:r w:rsidRPr="00AD3729">
          <w:rPr>
            <w:rStyle w:val="Hyperlink"/>
          </w:rPr>
          <w:t>https://doi.org/10.1371/journal.pone.0216112</w:t>
        </w:r>
      </w:hyperlink>
    </w:p>
    <w:p w14:paraId="2B10108C" w14:textId="184CF173" w:rsidR="00AD3729" w:rsidRPr="00AD3729" w:rsidRDefault="00AD3729" w:rsidP="00AD3729">
      <w:pPr>
        <w:spacing w:line="480" w:lineRule="auto"/>
        <w:ind w:left="720" w:hanging="720"/>
        <w:jc w:val="both"/>
      </w:pPr>
      <w:proofErr w:type="spellStart"/>
      <w:r w:rsidRPr="00AD3729">
        <w:t>Howdon</w:t>
      </w:r>
      <w:proofErr w:type="spellEnd"/>
      <w:r w:rsidRPr="00AD3729">
        <w:t xml:space="preserve">, D., &amp; Rice, N. (2018). Health care expenditures, age, proximity to death and morbidity: Implications for an ageing population. Journal Of Health Economics, 57, 60-74. </w:t>
      </w:r>
      <w:hyperlink r:id="rId9" w:history="1">
        <w:r w:rsidRPr="00AD3729">
          <w:rPr>
            <w:rStyle w:val="Hyperlink"/>
          </w:rPr>
          <w:t>https://doi.org/10.1016/j.jhealeco.2017.11.001</w:t>
        </w:r>
      </w:hyperlink>
    </w:p>
    <w:p w14:paraId="7CB8F78A" w14:textId="711FF41F" w:rsidR="00AD3729" w:rsidRPr="00AD3729" w:rsidRDefault="00AD3729" w:rsidP="00AD3729">
      <w:pPr>
        <w:spacing w:line="480" w:lineRule="auto"/>
        <w:ind w:left="720" w:hanging="720"/>
        <w:jc w:val="both"/>
      </w:pPr>
      <w:r w:rsidRPr="00AD3729">
        <w:t xml:space="preserve">Lee, C., Cho, B., Cho, Y., &amp; Park, Y. (2019). Older Adults' Perceptions of Age-friendliness with an Emphasis on Community Supports and Health Services in a City in South Korea. Journal Of Korean Academy </w:t>
      </w:r>
      <w:proofErr w:type="gramStart"/>
      <w:r w:rsidRPr="00AD3729">
        <w:t>Of</w:t>
      </w:r>
      <w:proofErr w:type="gramEnd"/>
      <w:r w:rsidRPr="00AD3729">
        <w:t xml:space="preserve"> Community Health Nursing, 30(2), 234. </w:t>
      </w:r>
      <w:hyperlink r:id="rId10" w:history="1">
        <w:r w:rsidRPr="00AD3729">
          <w:rPr>
            <w:rStyle w:val="Hyperlink"/>
          </w:rPr>
          <w:t>https://doi.org/10.12799/jkachn.2019.30.2.234</w:t>
        </w:r>
      </w:hyperlink>
    </w:p>
    <w:p w14:paraId="2D0C8D25" w14:textId="3A6002AA" w:rsidR="00AD3729" w:rsidRPr="00AD3729" w:rsidRDefault="00AD3729" w:rsidP="00AD3729">
      <w:pPr>
        <w:spacing w:line="480" w:lineRule="auto"/>
        <w:ind w:left="720" w:hanging="720"/>
        <w:jc w:val="both"/>
      </w:pPr>
      <w:r w:rsidRPr="00AD3729">
        <w:t xml:space="preserve">Marston, C., Renedo, A., &amp; Miles, S. (2020). Community participation is crucial in a pandemic. The Lancet, 395(10238), 1676-1678. </w:t>
      </w:r>
      <w:hyperlink r:id="rId11" w:history="1">
        <w:r w:rsidRPr="00AD3729">
          <w:rPr>
            <w:rStyle w:val="Hyperlink"/>
          </w:rPr>
          <w:t>https://doi.org/10.1016/s0140-6736(20)31054-0</w:t>
        </w:r>
      </w:hyperlink>
    </w:p>
    <w:p w14:paraId="3CB5C14C" w14:textId="1C369B9B" w:rsidR="00AD3729" w:rsidRPr="00AD3729" w:rsidRDefault="00AD3729" w:rsidP="00AD3729">
      <w:pPr>
        <w:spacing w:line="480" w:lineRule="auto"/>
        <w:ind w:left="720" w:hanging="720"/>
        <w:jc w:val="both"/>
      </w:pPr>
      <w:r w:rsidRPr="00AD3729">
        <w:t>Walugembe, D., Sibbald, S., Le Ber, M., &amp; Kothari, A. (2019). Sustainability of public health interventions: where are the gaps? Health Research Policy and Systems, 17(1). https://doi.org/10.1186/s12961-018-0405-y</w:t>
      </w:r>
    </w:p>
    <w:sectPr w:rsidR="00AD3729" w:rsidRPr="00AD37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0A3ED" w14:textId="77777777" w:rsidR="0041487B" w:rsidRDefault="0041487B" w:rsidP="008C44B3">
      <w:pPr>
        <w:spacing w:after="0" w:line="240" w:lineRule="auto"/>
      </w:pPr>
      <w:r>
        <w:separator/>
      </w:r>
    </w:p>
  </w:endnote>
  <w:endnote w:type="continuationSeparator" w:id="0">
    <w:p w14:paraId="4198307F" w14:textId="77777777" w:rsidR="0041487B" w:rsidRDefault="0041487B" w:rsidP="008C4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67980" w14:textId="77777777" w:rsidR="0041487B" w:rsidRDefault="0041487B" w:rsidP="008C44B3">
      <w:pPr>
        <w:spacing w:after="0" w:line="240" w:lineRule="auto"/>
      </w:pPr>
      <w:r>
        <w:separator/>
      </w:r>
    </w:p>
  </w:footnote>
  <w:footnote w:type="continuationSeparator" w:id="0">
    <w:p w14:paraId="125D872F" w14:textId="77777777" w:rsidR="0041487B" w:rsidRDefault="0041487B" w:rsidP="008C44B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386"/>
    <w:rsid w:val="000032D7"/>
    <w:rsid w:val="000444C0"/>
    <w:rsid w:val="000578ED"/>
    <w:rsid w:val="000626FB"/>
    <w:rsid w:val="000F7FC8"/>
    <w:rsid w:val="0013167C"/>
    <w:rsid w:val="00132C55"/>
    <w:rsid w:val="001620CB"/>
    <w:rsid w:val="00185BC9"/>
    <w:rsid w:val="001C32D8"/>
    <w:rsid w:val="00257582"/>
    <w:rsid w:val="00265600"/>
    <w:rsid w:val="002B7911"/>
    <w:rsid w:val="002D4F77"/>
    <w:rsid w:val="002E7231"/>
    <w:rsid w:val="003723A7"/>
    <w:rsid w:val="003B7DC4"/>
    <w:rsid w:val="0041487B"/>
    <w:rsid w:val="00471B24"/>
    <w:rsid w:val="004917A1"/>
    <w:rsid w:val="004A40EE"/>
    <w:rsid w:val="004E1BFB"/>
    <w:rsid w:val="00526A50"/>
    <w:rsid w:val="005D454A"/>
    <w:rsid w:val="005F527B"/>
    <w:rsid w:val="00615B83"/>
    <w:rsid w:val="0063262F"/>
    <w:rsid w:val="0066019A"/>
    <w:rsid w:val="00683E43"/>
    <w:rsid w:val="006A66A8"/>
    <w:rsid w:val="00704050"/>
    <w:rsid w:val="00766E10"/>
    <w:rsid w:val="00795496"/>
    <w:rsid w:val="007D023D"/>
    <w:rsid w:val="007E1322"/>
    <w:rsid w:val="00813D1C"/>
    <w:rsid w:val="00844205"/>
    <w:rsid w:val="0087073B"/>
    <w:rsid w:val="00870F32"/>
    <w:rsid w:val="008A388F"/>
    <w:rsid w:val="008A559C"/>
    <w:rsid w:val="008B2FA8"/>
    <w:rsid w:val="008C44B3"/>
    <w:rsid w:val="0090627F"/>
    <w:rsid w:val="0091586A"/>
    <w:rsid w:val="00954C7A"/>
    <w:rsid w:val="009B106C"/>
    <w:rsid w:val="009E0DF5"/>
    <w:rsid w:val="009F7362"/>
    <w:rsid w:val="00A34E51"/>
    <w:rsid w:val="00A53D37"/>
    <w:rsid w:val="00AD3729"/>
    <w:rsid w:val="00AF7327"/>
    <w:rsid w:val="00B62777"/>
    <w:rsid w:val="00B73B94"/>
    <w:rsid w:val="00B76A53"/>
    <w:rsid w:val="00B84BCC"/>
    <w:rsid w:val="00BC3331"/>
    <w:rsid w:val="00BD0BAC"/>
    <w:rsid w:val="00C27A21"/>
    <w:rsid w:val="00C512BD"/>
    <w:rsid w:val="00C748B5"/>
    <w:rsid w:val="00CA41C7"/>
    <w:rsid w:val="00CB1A0B"/>
    <w:rsid w:val="00CD20CC"/>
    <w:rsid w:val="00D47F4C"/>
    <w:rsid w:val="00D67292"/>
    <w:rsid w:val="00D77F09"/>
    <w:rsid w:val="00DA2CA5"/>
    <w:rsid w:val="00DD003E"/>
    <w:rsid w:val="00DF0F17"/>
    <w:rsid w:val="00E00096"/>
    <w:rsid w:val="00E10323"/>
    <w:rsid w:val="00E44CCA"/>
    <w:rsid w:val="00E458C0"/>
    <w:rsid w:val="00EA5942"/>
    <w:rsid w:val="00EE2596"/>
    <w:rsid w:val="00F16547"/>
    <w:rsid w:val="00F81386"/>
    <w:rsid w:val="00FA5A00"/>
    <w:rsid w:val="00FF4C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BDC97"/>
  <w15:chartTrackingRefBased/>
  <w15:docId w15:val="{C6C1D87E-CAC6-49D4-9E4B-1681D99FC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44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44B3"/>
  </w:style>
  <w:style w:type="paragraph" w:styleId="Footer">
    <w:name w:val="footer"/>
    <w:basedOn w:val="Normal"/>
    <w:link w:val="FooterChar"/>
    <w:uiPriority w:val="99"/>
    <w:unhideWhenUsed/>
    <w:rsid w:val="008C44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4B3"/>
  </w:style>
  <w:style w:type="character" w:styleId="Hyperlink">
    <w:name w:val="Hyperlink"/>
    <w:basedOn w:val="DefaultParagraphFont"/>
    <w:uiPriority w:val="99"/>
    <w:unhideWhenUsed/>
    <w:rsid w:val="00AD3729"/>
    <w:rPr>
      <w:color w:val="0563C1" w:themeColor="hyperlink"/>
      <w:u w:val="single"/>
    </w:rPr>
  </w:style>
  <w:style w:type="character" w:styleId="UnresolvedMention">
    <w:name w:val="Unresolved Mention"/>
    <w:basedOn w:val="DefaultParagraphFont"/>
    <w:uiPriority w:val="99"/>
    <w:semiHidden/>
    <w:unhideWhenUsed/>
    <w:rsid w:val="00AD37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230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371/journal.pone.0216112"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1186/s12913-018-3090-1"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s0140-6736(20)32642-8" TargetMode="External"/><Relationship Id="rId11" Type="http://schemas.openxmlformats.org/officeDocument/2006/relationships/hyperlink" Target="https://doi.org/10.1016/s0140-6736(20)31054-0" TargetMode="External"/><Relationship Id="rId5" Type="http://schemas.openxmlformats.org/officeDocument/2006/relationships/endnotes" Target="endnotes.xml"/><Relationship Id="rId10" Type="http://schemas.openxmlformats.org/officeDocument/2006/relationships/hyperlink" Target="https://doi.org/10.12799/jkachn.2019.30.2.234" TargetMode="External"/><Relationship Id="rId4" Type="http://schemas.openxmlformats.org/officeDocument/2006/relationships/footnotes" Target="footnotes.xml"/><Relationship Id="rId9" Type="http://schemas.openxmlformats.org/officeDocument/2006/relationships/hyperlink" Target="https://doi.org/10.1016/j.jhealeco.2017.11.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2821</Words>
  <Characters>16080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AdnInsignts</dc:creator>
  <cp:keywords/>
  <dc:description/>
  <cp:lastModifiedBy>Anastasia Paun</cp:lastModifiedBy>
  <cp:revision>2</cp:revision>
  <dcterms:created xsi:type="dcterms:W3CDTF">2022-04-24T19:02:00Z</dcterms:created>
  <dcterms:modified xsi:type="dcterms:W3CDTF">2022-04-24T19:02:00Z</dcterms:modified>
</cp:coreProperties>
</file>