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before="0" w:line="259" w:lineRule="auto"/>
        <w:ind w:left="0" w:right="0" w:firstLine="0"/>
        <w:jc w:val="center"/>
        <w:rPr>
          <w:rFonts w:ascii="Arial" w:cs="Arial" w:eastAsia="Arial" w:hAnsi="Arial"/>
          <w:b w:val="1"/>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Title: Analyzing the Seacrest Lodge’s Performance</w:t>
      </w:r>
    </w:p>
    <w:p w:rsidR="00000000" w:rsidDel="00000000" w:rsidP="00000000" w:rsidRDefault="00000000" w:rsidRPr="00000000" w14:paraId="00000002">
      <w:pPr>
        <w:spacing w:after="160" w:before="0" w:line="259" w:lineRule="auto"/>
        <w:ind w:left="0" w:right="0" w:firstLine="0"/>
        <w:jc w:val="center"/>
        <w:rPr>
          <w:rFonts w:ascii="Arial" w:cs="Arial" w:eastAsia="Arial" w:hAnsi="Arial"/>
          <w:b w:val="1"/>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Module: BMIH5007 Financial Management for the Hotel Industry</w:t>
      </w:r>
    </w:p>
    <w:p w:rsidR="00000000" w:rsidDel="00000000" w:rsidP="00000000" w:rsidRDefault="00000000" w:rsidRPr="00000000" w14:paraId="00000003">
      <w:pPr>
        <w:spacing w:after="160" w:before="0" w:line="259" w:lineRule="auto"/>
        <w:ind w:left="0" w:right="0" w:firstLine="0"/>
        <w:jc w:val="center"/>
        <w:rPr>
          <w:rFonts w:ascii="Arial" w:cs="Arial" w:eastAsia="Arial" w:hAnsi="Arial"/>
          <w:b w:val="1"/>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Name: Sultana Zakia</w:t>
      </w:r>
    </w:p>
    <w:p w:rsidR="00000000" w:rsidDel="00000000" w:rsidP="00000000" w:rsidRDefault="00000000" w:rsidRPr="00000000" w14:paraId="00000004">
      <w:pPr>
        <w:spacing w:after="160" w:before="0" w:line="259" w:lineRule="auto"/>
        <w:ind w:left="0" w:right="0" w:firstLine="0"/>
        <w:jc w:val="center"/>
        <w:rPr>
          <w:rFonts w:ascii="Arial" w:cs="Arial" w:eastAsia="Arial" w:hAnsi="Arial"/>
          <w:b w:val="1"/>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ID: 2018895</w:t>
      </w:r>
    </w:p>
    <w:p w:rsidR="00000000" w:rsidDel="00000000" w:rsidP="00000000" w:rsidRDefault="00000000" w:rsidRPr="00000000" w14:paraId="00000005">
      <w:pPr>
        <w:spacing w:after="160" w:before="0" w:line="259" w:lineRule="auto"/>
        <w:ind w:left="0" w:right="0" w:firstLine="0"/>
        <w:jc w:val="center"/>
        <w:rPr>
          <w:rFonts w:ascii="Arial" w:cs="Arial" w:eastAsia="Arial" w:hAnsi="Arial"/>
          <w:b w:val="1"/>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Lecturer Name: </w:t>
      </w:r>
      <w:r w:rsidDel="00000000" w:rsidR="00000000" w:rsidRPr="00000000">
        <w:rPr>
          <w:rFonts w:ascii="Calibri" w:cs="Calibri" w:eastAsia="Calibri" w:hAnsi="Calibri"/>
          <w:b w:val="1"/>
          <w:i w:val="1"/>
          <w:color w:val="000000"/>
          <w:sz w:val="28"/>
          <w:szCs w:val="28"/>
          <w:shd w:fill="auto" w:val="clear"/>
          <w:vertAlign w:val="baseline"/>
          <w:rtl w:val="0"/>
        </w:rPr>
        <w:t xml:space="preserve">Tristan Hawkins</w:t>
      </w:r>
      <w:r w:rsidDel="00000000" w:rsidR="00000000" w:rsidRPr="00000000">
        <w:rPr>
          <w:rtl w:val="0"/>
        </w:rPr>
      </w:r>
    </w:p>
    <w:p w:rsidR="00000000" w:rsidDel="00000000" w:rsidP="00000000" w:rsidRDefault="00000000" w:rsidRPr="00000000" w14:paraId="00000006">
      <w:pPr>
        <w:spacing w:after="160" w:before="0" w:line="259" w:lineRule="auto"/>
        <w:ind w:left="0" w:right="0" w:firstLine="0"/>
        <w:jc w:val="center"/>
        <w:rPr>
          <w:rFonts w:ascii="Arial" w:cs="Arial" w:eastAsia="Arial" w:hAnsi="Arial"/>
          <w:b w:val="1"/>
          <w:color w:val="000000"/>
          <w:sz w:val="24"/>
          <w:szCs w:val="24"/>
          <w:shd w:fill="auto" w:val="clear"/>
          <w:vertAlign w:val="baseline"/>
        </w:rPr>
      </w:pPr>
      <w:r w:rsidDel="00000000" w:rsidR="00000000" w:rsidRPr="00000000">
        <w:rPr>
          <w:rtl w:val="0"/>
        </w:rPr>
      </w:r>
    </w:p>
    <w:p w:rsidR="00000000" w:rsidDel="00000000" w:rsidP="00000000" w:rsidRDefault="00000000" w:rsidRPr="00000000" w14:paraId="00000007">
      <w:pPr>
        <w:spacing w:after="160" w:before="0" w:line="259" w:lineRule="auto"/>
        <w:ind w:left="2880" w:right="0" w:firstLine="720"/>
        <w:jc w:val="left"/>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Word</w:t>
      </w:r>
      <w:r w:rsidDel="00000000" w:rsidR="00000000" w:rsidRPr="00000000">
        <w:rPr>
          <w:rFonts w:ascii="Arial" w:cs="Arial" w:eastAsia="Arial" w:hAnsi="Arial"/>
          <w:sz w:val="24"/>
          <w:szCs w:val="24"/>
          <w:rtl w:val="0"/>
        </w:rPr>
        <w:t xml:space="preserve"> Count</w:t>
      </w:r>
      <w:r w:rsidDel="00000000" w:rsidR="00000000" w:rsidRPr="00000000">
        <w:rPr>
          <w:rFonts w:ascii="Arial" w:cs="Arial" w:eastAsia="Arial" w:hAnsi="Arial"/>
          <w:color w:val="000000"/>
          <w:sz w:val="24"/>
          <w:szCs w:val="24"/>
          <w:shd w:fill="auto" w:val="clear"/>
          <w:vertAlign w:val="baseline"/>
          <w:rtl w:val="0"/>
        </w:rPr>
        <w:t xml:space="preserve">: 2165 </w:t>
      </w:r>
    </w:p>
    <w:p w:rsidR="00000000" w:rsidDel="00000000" w:rsidP="00000000" w:rsidRDefault="00000000" w:rsidRPr="00000000" w14:paraId="00000008">
      <w:pPr>
        <w:spacing w:after="160" w:before="0" w:line="259" w:lineRule="auto"/>
        <w:ind w:left="0" w:right="0" w:firstLine="0"/>
        <w:jc w:val="left"/>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 </w:t>
      </w:r>
    </w:p>
    <w:p w:rsidR="00000000" w:rsidDel="00000000" w:rsidP="00000000" w:rsidRDefault="00000000" w:rsidRPr="00000000" w14:paraId="00000009">
      <w:pPr>
        <w:spacing w:after="160" w:before="0" w:line="259" w:lineRule="auto"/>
        <w:ind w:left="0" w:right="0" w:firstLine="0"/>
        <w:jc w:val="left"/>
        <w:rPr>
          <w:rFonts w:ascii="Arial" w:cs="Arial" w:eastAsia="Arial" w:hAnsi="Arial"/>
          <w:color w:val="000000"/>
          <w:sz w:val="24"/>
          <w:szCs w:val="24"/>
          <w:shd w:fill="auto" w:val="clear"/>
          <w:vertAlign w:val="baseline"/>
        </w:rPr>
      </w:pPr>
      <w:r w:rsidDel="00000000" w:rsidR="00000000" w:rsidRPr="00000000">
        <w:rPr>
          <w:rtl w:val="0"/>
        </w:rPr>
      </w:r>
    </w:p>
    <w:p w:rsidR="00000000" w:rsidDel="00000000" w:rsidP="00000000" w:rsidRDefault="00000000" w:rsidRPr="00000000" w14:paraId="0000000A">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Executive Summary:</w:t>
      </w:r>
      <w:r w:rsidDel="00000000" w:rsidR="00000000" w:rsidRPr="00000000">
        <w:rPr>
          <w:rtl w:val="0"/>
        </w:rPr>
      </w:r>
    </w:p>
    <w:p w:rsidR="00000000" w:rsidDel="00000000" w:rsidP="00000000" w:rsidRDefault="00000000" w:rsidRPr="00000000" w14:paraId="0000000B">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The Seacrest Lodge, nestled along a captivating coastline, has encountered turbulent waters in recent times, facing dwindling patronage, financial strains, and diminished guest satisfaction. Despite its idyllic setting, the lodge finds itself grappling with fierce competition from neighboring resorts offering modern amenities catering to evolving guest preferences.</w:t>
      </w:r>
    </w:p>
    <w:p w:rsidR="00000000" w:rsidDel="00000000" w:rsidP="00000000" w:rsidRDefault="00000000" w:rsidRPr="00000000" w14:paraId="0000000C">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Financially, The Seacrest Lodge has weathered a storm of declining revenue and rising operating expenses, resulting in a worrying trend of negative net income. Average room rates have declined alongside occupancy rates, exacerbating revenue challenges and highlighting the urgent need for strategic intervention.</w:t>
      </w:r>
    </w:p>
    <w:p w:rsidR="00000000" w:rsidDel="00000000" w:rsidP="00000000" w:rsidRDefault="00000000" w:rsidRPr="00000000" w14:paraId="0000000D">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The lodge's challenges stem from multifaceted sources, including shifting consumer preferences, heightened market competition, operational inefficiencies, and economic uncertainties. Real-world events have further compounded these challenges, necessitating a proactive approach to navigate the turbulent seas ahead.</w:t>
      </w:r>
    </w:p>
    <w:p w:rsidR="00000000" w:rsidDel="00000000" w:rsidP="00000000" w:rsidRDefault="00000000" w:rsidRPr="00000000" w14:paraId="0000000E">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However, amidst these challenges lie opportunities for renewal and resurgence. A comprehensive turnaround strategy is proposed, encompassing a spectrum of initiatives aimed at revitalizing The Seacrest Lodge's appeal and financial health.</w:t>
      </w:r>
    </w:p>
    <w:p w:rsidR="00000000" w:rsidDel="00000000" w:rsidP="00000000" w:rsidRDefault="00000000" w:rsidRPr="00000000" w14:paraId="0000000F">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Key components of the turnaround strategy include:</w:t>
      </w:r>
    </w:p>
    <w:p w:rsidR="00000000" w:rsidDel="00000000" w:rsidP="00000000" w:rsidRDefault="00000000" w:rsidRPr="00000000" w14:paraId="00000010">
      <w:pPr>
        <w:numPr>
          <w:ilvl w:val="0"/>
          <w:numId w:val="15"/>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Enhanced Guest Experience:</w:t>
      </w:r>
      <w:r w:rsidDel="00000000" w:rsidR="00000000" w:rsidRPr="00000000">
        <w:rPr>
          <w:rFonts w:ascii="Arial" w:cs="Arial" w:eastAsia="Arial" w:hAnsi="Arial"/>
          <w:color w:val="000000"/>
          <w:sz w:val="24"/>
          <w:szCs w:val="24"/>
          <w:shd w:fill="auto" w:val="clear"/>
          <w:vertAlign w:val="baseline"/>
          <w:rtl w:val="0"/>
        </w:rPr>
        <w:t xml:space="preserve"> Invest in facility upgrades, modernize amenities, and revamp service standards to exceed guest expectations and foster loyalty.</w:t>
      </w:r>
    </w:p>
    <w:p w:rsidR="00000000" w:rsidDel="00000000" w:rsidP="00000000" w:rsidRDefault="00000000" w:rsidRPr="00000000" w14:paraId="00000011">
      <w:pPr>
        <w:numPr>
          <w:ilvl w:val="0"/>
          <w:numId w:val="15"/>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Strategic Marketing Initiatives:</w:t>
      </w:r>
      <w:r w:rsidDel="00000000" w:rsidR="00000000" w:rsidRPr="00000000">
        <w:rPr>
          <w:rFonts w:ascii="Arial" w:cs="Arial" w:eastAsia="Arial" w:hAnsi="Arial"/>
          <w:color w:val="000000"/>
          <w:sz w:val="24"/>
          <w:szCs w:val="24"/>
          <w:shd w:fill="auto" w:val="clear"/>
          <w:vertAlign w:val="baseline"/>
          <w:rtl w:val="0"/>
        </w:rPr>
        <w:t xml:space="preserve"> Develop targeted marketing campaigns leveraging digital channels, social media platforms, and strategic partnerships to expand reach and attract new clientele.</w:t>
      </w:r>
    </w:p>
    <w:p w:rsidR="00000000" w:rsidDel="00000000" w:rsidP="00000000" w:rsidRDefault="00000000" w:rsidRPr="00000000" w14:paraId="00000012">
      <w:pPr>
        <w:numPr>
          <w:ilvl w:val="0"/>
          <w:numId w:val="15"/>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Revenue Diversification:</w:t>
      </w:r>
      <w:r w:rsidDel="00000000" w:rsidR="00000000" w:rsidRPr="00000000">
        <w:rPr>
          <w:rFonts w:ascii="Arial" w:cs="Arial" w:eastAsia="Arial" w:hAnsi="Arial"/>
          <w:color w:val="000000"/>
          <w:sz w:val="24"/>
          <w:szCs w:val="24"/>
          <w:shd w:fill="auto" w:val="clear"/>
          <w:vertAlign w:val="baseline"/>
          <w:rtl w:val="0"/>
        </w:rPr>
        <w:t xml:space="preserve"> Explore innovative revenue streams such as hosting special events, partnering with local businesses for experiential offerings, and optimizing ancillary services to augment bottom-line performance.</w:t>
      </w:r>
    </w:p>
    <w:p w:rsidR="00000000" w:rsidDel="00000000" w:rsidP="00000000" w:rsidRDefault="00000000" w:rsidRPr="00000000" w14:paraId="00000013">
      <w:pPr>
        <w:numPr>
          <w:ilvl w:val="0"/>
          <w:numId w:val="15"/>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Operational Optimization:</w:t>
      </w:r>
      <w:r w:rsidDel="00000000" w:rsidR="00000000" w:rsidRPr="00000000">
        <w:rPr>
          <w:rFonts w:ascii="Arial" w:cs="Arial" w:eastAsia="Arial" w:hAnsi="Arial"/>
          <w:color w:val="000000"/>
          <w:sz w:val="24"/>
          <w:szCs w:val="24"/>
          <w:shd w:fill="auto" w:val="clear"/>
          <w:vertAlign w:val="baseline"/>
          <w:rtl w:val="0"/>
        </w:rPr>
        <w:t xml:space="preserve"> Streamline operational processes, optimize resource utilization, and invest in staff training and development to enhance efficiency and service delivery standards.</w:t>
      </w:r>
    </w:p>
    <w:p w:rsidR="00000000" w:rsidDel="00000000" w:rsidP="00000000" w:rsidRDefault="00000000" w:rsidRPr="00000000" w14:paraId="00000014">
      <w:pPr>
        <w:numPr>
          <w:ilvl w:val="0"/>
          <w:numId w:val="15"/>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Financial Stewardship:</w:t>
      </w:r>
      <w:r w:rsidDel="00000000" w:rsidR="00000000" w:rsidRPr="00000000">
        <w:rPr>
          <w:rFonts w:ascii="Arial" w:cs="Arial" w:eastAsia="Arial" w:hAnsi="Arial"/>
          <w:color w:val="000000"/>
          <w:sz w:val="24"/>
          <w:szCs w:val="24"/>
          <w:shd w:fill="auto" w:val="clear"/>
          <w:vertAlign w:val="baseline"/>
          <w:rtl w:val="0"/>
        </w:rPr>
        <w:t xml:space="preserve"> Implement stringent financial controls, closely monitor cash flow, and explore debt restructuring options to mitigate financial risks and ensure long-term sustainability.</w:t>
      </w:r>
    </w:p>
    <w:p w:rsidR="00000000" w:rsidDel="00000000" w:rsidP="00000000" w:rsidRDefault="00000000" w:rsidRPr="00000000" w14:paraId="00000015">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Successful implementation of the turnaround strategy requires concerted effort, collaboration, and a commitment to excellence at all levels of the organization. Continuous monitoring, evaluation, and adaptability will be paramount to track progress, identify areas for improvement, and seize emerging opportunities.</w:t>
      </w:r>
    </w:p>
    <w:p w:rsidR="00000000" w:rsidDel="00000000" w:rsidP="00000000" w:rsidRDefault="00000000" w:rsidRPr="00000000" w14:paraId="00000016">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tl w:val="0"/>
        </w:rPr>
      </w:r>
    </w:p>
    <w:p w:rsidR="00000000" w:rsidDel="00000000" w:rsidP="00000000" w:rsidRDefault="00000000" w:rsidRPr="00000000" w14:paraId="00000017">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tl w:val="0"/>
        </w:rPr>
      </w:r>
    </w:p>
    <w:p w:rsidR="00000000" w:rsidDel="00000000" w:rsidP="00000000" w:rsidRDefault="00000000" w:rsidRPr="00000000" w14:paraId="00000018">
      <w:pPr>
        <w:spacing w:after="160" w:before="0" w:line="259" w:lineRule="auto"/>
        <w:ind w:left="0" w:right="0" w:firstLine="0"/>
        <w:jc w:val="both"/>
        <w:rPr>
          <w:rFonts w:ascii="Arial" w:cs="Arial" w:eastAsia="Arial" w:hAnsi="Arial"/>
          <w:b w:val="1"/>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Introduction</w:t>
      </w:r>
    </w:p>
    <w:p w:rsidR="00000000" w:rsidDel="00000000" w:rsidP="00000000" w:rsidRDefault="00000000" w:rsidRPr="00000000" w14:paraId="00000019">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The Seacrest Lodge, a haven of coastal charm since 1920, once welcomed discerning travelers seeking idyllic getaways. Today, however, its storied past is overshadowed by declining revenue, plummeting occupancy rates, and dwindling customer satisfaction. This case study delves into the factors behind this decline and, critically, assesses the potential for a successful turnaround strategy, breathing new life into this historic gem. By analyzing market trends, dissecting financial data, and identifying key challenges, we aim to provide a roadmap for restoring The Seacrest Lodge to its former glory, ensuring its continued legacy for generations to come.</w:t>
      </w:r>
    </w:p>
    <w:p w:rsidR="00000000" w:rsidDel="00000000" w:rsidP="00000000" w:rsidRDefault="00000000" w:rsidRPr="00000000" w14:paraId="0000001A">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tl w:val="0"/>
        </w:rPr>
      </w:r>
    </w:p>
    <w:p w:rsidR="00000000" w:rsidDel="00000000" w:rsidP="00000000" w:rsidRDefault="00000000" w:rsidRPr="00000000" w14:paraId="0000001B">
      <w:pPr>
        <w:spacing w:after="0" w:before="180" w:line="259" w:lineRule="auto"/>
        <w:ind w:left="0" w:right="0" w:firstLine="0"/>
        <w:jc w:val="both"/>
        <w:rPr>
          <w:rFonts w:ascii="Arial" w:cs="Arial" w:eastAsia="Arial" w:hAnsi="Arial"/>
          <w:b w:val="1"/>
          <w:color w:val="111111"/>
          <w:sz w:val="34"/>
          <w:szCs w:val="34"/>
          <w:highlight w:val="white"/>
          <w:vertAlign w:val="baseline"/>
        </w:rPr>
      </w:pPr>
      <w:r w:rsidDel="00000000" w:rsidR="00000000" w:rsidRPr="00000000">
        <w:rPr>
          <w:rFonts w:ascii="Arial" w:cs="Arial" w:eastAsia="Arial" w:hAnsi="Arial"/>
          <w:b w:val="1"/>
          <w:color w:val="111111"/>
          <w:sz w:val="34"/>
          <w:szCs w:val="34"/>
          <w:highlight w:val="white"/>
          <w:vertAlign w:val="baseline"/>
          <w:rtl w:val="0"/>
        </w:rPr>
        <w:t xml:space="preserve">II. Market Analysis: Navigating a Shifting Tide</w:t>
      </w:r>
    </w:p>
    <w:p w:rsidR="00000000" w:rsidDel="00000000" w:rsidP="00000000" w:rsidRDefault="00000000" w:rsidRPr="00000000" w14:paraId="0000001C">
      <w:pPr>
        <w:spacing w:after="0" w:before="180" w:line="259" w:lineRule="auto"/>
        <w:ind w:left="0" w:right="0" w:firstLine="0"/>
        <w:jc w:val="both"/>
        <w:rPr>
          <w:rFonts w:ascii="Arial" w:cs="Arial" w:eastAsia="Arial" w:hAnsi="Arial"/>
          <w:color w:val="111111"/>
          <w:sz w:val="24"/>
          <w:szCs w:val="24"/>
          <w:highlight w:val="white"/>
          <w:vertAlign w:val="baseline"/>
        </w:rPr>
      </w:pPr>
      <w:r w:rsidDel="00000000" w:rsidR="00000000" w:rsidRPr="00000000">
        <w:rPr>
          <w:rFonts w:ascii="Arial" w:cs="Arial" w:eastAsia="Arial" w:hAnsi="Arial"/>
          <w:color w:val="111111"/>
          <w:sz w:val="24"/>
          <w:szCs w:val="24"/>
          <w:highlight w:val="white"/>
          <w:vertAlign w:val="baseline"/>
          <w:rtl w:val="0"/>
        </w:rPr>
        <w:t xml:space="preserve">The revitalization of </w:t>
      </w:r>
      <w:r w:rsidDel="00000000" w:rsidR="00000000" w:rsidRPr="00000000">
        <w:rPr>
          <w:rFonts w:ascii="Arial" w:cs="Arial" w:eastAsia="Arial" w:hAnsi="Arial"/>
          <w:i w:val="1"/>
          <w:color w:val="111111"/>
          <w:sz w:val="24"/>
          <w:szCs w:val="24"/>
          <w:highlight w:val="white"/>
          <w:vertAlign w:val="baseline"/>
          <w:rtl w:val="0"/>
        </w:rPr>
        <w:t xml:space="preserve">The Seacrest Lodge</w:t>
      </w:r>
      <w:r w:rsidDel="00000000" w:rsidR="00000000" w:rsidRPr="00000000">
        <w:rPr>
          <w:rFonts w:ascii="Arial" w:cs="Arial" w:eastAsia="Arial" w:hAnsi="Arial"/>
          <w:color w:val="111111"/>
          <w:sz w:val="24"/>
          <w:szCs w:val="24"/>
          <w:highlight w:val="white"/>
          <w:vertAlign w:val="baseline"/>
          <w:rtl w:val="0"/>
        </w:rPr>
        <w:t xml:space="preserve"> necessitates a deep dive into the ever-evolving coastal market landscape. Understanding the competitive dynamics and shifting customer preferences will act as a compass, guiding the lodge towards success.</w:t>
      </w:r>
    </w:p>
    <w:p w:rsidR="00000000" w:rsidDel="00000000" w:rsidP="00000000" w:rsidRDefault="00000000" w:rsidRPr="00000000" w14:paraId="0000001D">
      <w:pPr>
        <w:spacing w:after="0" w:before="180" w:line="240" w:lineRule="auto"/>
        <w:ind w:left="0" w:right="0" w:firstLine="0"/>
        <w:jc w:val="both"/>
        <w:rPr>
          <w:rFonts w:ascii="Arial" w:cs="Arial" w:eastAsia="Arial" w:hAnsi="Arial"/>
          <w:b w:val="1"/>
          <w:color w:val="111111"/>
          <w:sz w:val="26"/>
          <w:szCs w:val="26"/>
          <w:highlight w:val="white"/>
          <w:vertAlign w:val="baseline"/>
        </w:rPr>
      </w:pPr>
      <w:r w:rsidDel="00000000" w:rsidR="00000000" w:rsidRPr="00000000">
        <w:rPr>
          <w:rFonts w:ascii="Arial" w:cs="Arial" w:eastAsia="Arial" w:hAnsi="Arial"/>
          <w:b w:val="1"/>
          <w:color w:val="111111"/>
          <w:sz w:val="26"/>
          <w:szCs w:val="26"/>
          <w:highlight w:val="white"/>
          <w:vertAlign w:val="baseline"/>
          <w:rtl w:val="0"/>
        </w:rPr>
        <w:t xml:space="preserve">A. Competitive Landscape: Charting the Course</w:t>
      </w:r>
    </w:p>
    <w:p w:rsidR="00000000" w:rsidDel="00000000" w:rsidP="00000000" w:rsidRDefault="00000000" w:rsidRPr="00000000" w14:paraId="0000001E">
      <w:pPr>
        <w:spacing w:after="0" w:before="180" w:line="259" w:lineRule="auto"/>
        <w:ind w:left="0" w:right="0" w:firstLine="0"/>
        <w:jc w:val="both"/>
        <w:rPr>
          <w:rFonts w:ascii="Arial" w:cs="Arial" w:eastAsia="Arial" w:hAnsi="Arial"/>
          <w:color w:val="111111"/>
          <w:sz w:val="24"/>
          <w:szCs w:val="24"/>
          <w:highlight w:val="white"/>
          <w:vertAlign w:val="baseline"/>
        </w:rPr>
      </w:pPr>
      <w:r w:rsidDel="00000000" w:rsidR="00000000" w:rsidRPr="00000000">
        <w:rPr>
          <w:rFonts w:ascii="Arial" w:cs="Arial" w:eastAsia="Arial" w:hAnsi="Arial"/>
          <w:color w:val="111111"/>
          <w:sz w:val="24"/>
          <w:szCs w:val="24"/>
          <w:highlight w:val="white"/>
          <w:vertAlign w:val="baseline"/>
          <w:rtl w:val="0"/>
        </w:rPr>
        <w:t xml:space="preserve">The coastal accommodation market is a tapestry woven with diverse offerings, ranging from budget-friendly motels to luxurious all-inclusive resorts (Andaleeb &amp; Hasan, 2016). Identifying key competitors operating within </w:t>
      </w:r>
      <w:r w:rsidDel="00000000" w:rsidR="00000000" w:rsidRPr="00000000">
        <w:rPr>
          <w:rFonts w:ascii="Arial" w:cs="Arial" w:eastAsia="Arial" w:hAnsi="Arial"/>
          <w:i w:val="1"/>
          <w:color w:val="111111"/>
          <w:sz w:val="24"/>
          <w:szCs w:val="24"/>
          <w:highlight w:val="white"/>
          <w:vertAlign w:val="baseline"/>
          <w:rtl w:val="0"/>
        </w:rPr>
        <w:t xml:space="preserve">The Seacrest Lodge</w:t>
      </w:r>
      <w:r w:rsidDel="00000000" w:rsidR="00000000" w:rsidRPr="00000000">
        <w:rPr>
          <w:rFonts w:ascii="Arial" w:cs="Arial" w:eastAsia="Arial" w:hAnsi="Arial"/>
          <w:color w:val="111111"/>
          <w:sz w:val="24"/>
          <w:szCs w:val="24"/>
          <w:highlight w:val="white"/>
          <w:vertAlign w:val="baseline"/>
          <w:rtl w:val="0"/>
        </w:rPr>
        <w:t xml:space="preserve">’s geographical vicinity and target audience segment is crucial. Analyzing their strengths, weaknesses, opportunities, and threats (SWOT) will provide valuable insights into the competitive landscape (Kotler, Hermawan, &amp; Iwan, 2010). Additionally, examining their pricing strategies, amenities offered, and marketing approaches will reveal potential gaps that </w:t>
      </w:r>
      <w:r w:rsidDel="00000000" w:rsidR="00000000" w:rsidRPr="00000000">
        <w:rPr>
          <w:rFonts w:ascii="Arial" w:cs="Arial" w:eastAsia="Arial" w:hAnsi="Arial"/>
          <w:i w:val="1"/>
          <w:color w:val="111111"/>
          <w:sz w:val="24"/>
          <w:szCs w:val="24"/>
          <w:highlight w:val="white"/>
          <w:vertAlign w:val="baseline"/>
          <w:rtl w:val="0"/>
        </w:rPr>
        <w:t xml:space="preserve">The Seacrest Lodge</w:t>
      </w:r>
      <w:r w:rsidDel="00000000" w:rsidR="00000000" w:rsidRPr="00000000">
        <w:rPr>
          <w:rFonts w:ascii="Arial" w:cs="Arial" w:eastAsia="Arial" w:hAnsi="Arial"/>
          <w:color w:val="111111"/>
          <w:sz w:val="24"/>
          <w:szCs w:val="24"/>
          <w:highlight w:val="white"/>
          <w:vertAlign w:val="baseline"/>
          <w:rtl w:val="0"/>
        </w:rPr>
        <w:t xml:space="preserve"> can exploit (Anwar, 2012).</w:t>
      </w:r>
    </w:p>
    <w:p w:rsidR="00000000" w:rsidDel="00000000" w:rsidP="00000000" w:rsidRDefault="00000000" w:rsidRPr="00000000" w14:paraId="0000001F">
      <w:pPr>
        <w:spacing w:after="0" w:before="180" w:line="240" w:lineRule="auto"/>
        <w:ind w:left="0" w:right="0" w:firstLine="0"/>
        <w:jc w:val="both"/>
        <w:rPr>
          <w:rFonts w:ascii="Arial" w:cs="Arial" w:eastAsia="Arial" w:hAnsi="Arial"/>
          <w:b w:val="1"/>
          <w:color w:val="111111"/>
          <w:sz w:val="26"/>
          <w:szCs w:val="26"/>
          <w:highlight w:val="white"/>
          <w:vertAlign w:val="baseline"/>
        </w:rPr>
      </w:pPr>
      <w:r w:rsidDel="00000000" w:rsidR="00000000" w:rsidRPr="00000000">
        <w:rPr>
          <w:rFonts w:ascii="Arial" w:cs="Arial" w:eastAsia="Arial" w:hAnsi="Arial"/>
          <w:b w:val="1"/>
          <w:color w:val="111111"/>
          <w:sz w:val="26"/>
          <w:szCs w:val="26"/>
          <w:highlight w:val="white"/>
          <w:vertAlign w:val="baseline"/>
          <w:rtl w:val="0"/>
        </w:rPr>
        <w:t xml:space="preserve">B. Customer Compass: Aligning with Shifting Preferences</w:t>
      </w:r>
    </w:p>
    <w:p w:rsidR="00000000" w:rsidDel="00000000" w:rsidP="00000000" w:rsidRDefault="00000000" w:rsidRPr="00000000" w14:paraId="00000020">
      <w:pPr>
        <w:spacing w:after="0" w:before="180" w:line="259" w:lineRule="auto"/>
        <w:ind w:left="0" w:right="0" w:firstLine="0"/>
        <w:jc w:val="both"/>
        <w:rPr>
          <w:rFonts w:ascii="Arial" w:cs="Arial" w:eastAsia="Arial" w:hAnsi="Arial"/>
          <w:color w:val="111111"/>
          <w:sz w:val="24"/>
          <w:szCs w:val="24"/>
          <w:highlight w:val="white"/>
          <w:vertAlign w:val="baseline"/>
        </w:rPr>
      </w:pPr>
      <w:r w:rsidDel="00000000" w:rsidR="00000000" w:rsidRPr="00000000">
        <w:rPr>
          <w:rFonts w:ascii="Arial" w:cs="Arial" w:eastAsia="Arial" w:hAnsi="Arial"/>
          <w:color w:val="111111"/>
          <w:sz w:val="24"/>
          <w:szCs w:val="24"/>
          <w:highlight w:val="white"/>
          <w:vertAlign w:val="baseline"/>
          <w:rtl w:val="0"/>
        </w:rPr>
        <w:t xml:space="preserve">Understanding the evolving needs and desires of coastal travelers is paramount for </w:t>
      </w:r>
      <w:r w:rsidDel="00000000" w:rsidR="00000000" w:rsidRPr="00000000">
        <w:rPr>
          <w:rFonts w:ascii="Arial" w:cs="Arial" w:eastAsia="Arial" w:hAnsi="Arial"/>
          <w:i w:val="1"/>
          <w:color w:val="111111"/>
          <w:sz w:val="24"/>
          <w:szCs w:val="24"/>
          <w:highlight w:val="white"/>
          <w:vertAlign w:val="baseline"/>
          <w:rtl w:val="0"/>
        </w:rPr>
        <w:t xml:space="preserve">The Seacrest Lodge</w:t>
      </w:r>
      <w:r w:rsidDel="00000000" w:rsidR="00000000" w:rsidRPr="00000000">
        <w:rPr>
          <w:rFonts w:ascii="Arial" w:cs="Arial" w:eastAsia="Arial" w:hAnsi="Arial"/>
          <w:color w:val="111111"/>
          <w:sz w:val="24"/>
          <w:szCs w:val="24"/>
          <w:highlight w:val="white"/>
          <w:vertAlign w:val="baseline"/>
          <w:rtl w:val="0"/>
        </w:rPr>
        <w:t xml:space="preserve">’s success. Analyzing customer reviews on platforms like TripAdvisor and Google Reviews can reveal valuable insights into guest satisfaction and dissatisfaction. Identifying frequently mentioned negative aspects, such as outdated amenities, declining service quality, or lack of unique experiences, will pinpoint areas requiring immediate attention. Conversely, positive reviews highlighting unique selling points or cherished experiences can inform strategies to further capitalize on those strengths (Verhoef, Franses, &amp; Hoekstra, 2021).</w:t>
      </w:r>
    </w:p>
    <w:p w:rsidR="00000000" w:rsidDel="00000000" w:rsidP="00000000" w:rsidRDefault="00000000" w:rsidRPr="00000000" w14:paraId="00000021">
      <w:pPr>
        <w:spacing w:after="160" w:before="0" w:line="259" w:lineRule="auto"/>
        <w:ind w:left="0" w:right="0" w:firstLine="0"/>
        <w:jc w:val="both"/>
        <w:rPr>
          <w:rFonts w:ascii="Arial" w:cs="Arial" w:eastAsia="Arial" w:hAnsi="Arial"/>
          <w:b w:val="1"/>
          <w:color w:val="000000"/>
          <w:sz w:val="24"/>
          <w:szCs w:val="24"/>
          <w:shd w:fill="auto" w:val="clear"/>
          <w:vertAlign w:val="baseline"/>
        </w:rPr>
      </w:pPr>
      <w:r w:rsidDel="00000000" w:rsidR="00000000" w:rsidRPr="00000000">
        <w:rPr>
          <w:rtl w:val="0"/>
        </w:rPr>
      </w:r>
    </w:p>
    <w:p w:rsidR="00000000" w:rsidDel="00000000" w:rsidP="00000000" w:rsidRDefault="00000000" w:rsidRPr="00000000" w14:paraId="00000022">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tl w:val="0"/>
        </w:rPr>
      </w:r>
    </w:p>
    <w:p w:rsidR="00000000" w:rsidDel="00000000" w:rsidP="00000000" w:rsidRDefault="00000000" w:rsidRPr="00000000" w14:paraId="00000023">
      <w:pPr>
        <w:spacing w:after="160" w:before="0" w:line="259" w:lineRule="auto"/>
        <w:ind w:left="0" w:right="0" w:firstLine="0"/>
        <w:jc w:val="both"/>
        <w:rPr>
          <w:rFonts w:ascii="Arial" w:cs="Arial" w:eastAsia="Arial" w:hAnsi="Arial"/>
          <w:b w:val="1"/>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br w:type="textWrapping"/>
        <w:t xml:space="preserve">III. Financial Performance Analysis: Unveiling the Numbers</w:t>
      </w:r>
    </w:p>
    <w:p w:rsidR="00000000" w:rsidDel="00000000" w:rsidP="00000000" w:rsidRDefault="00000000" w:rsidRPr="00000000" w14:paraId="00000024">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The Seacrest Lodge's financial statements paint a concerning picture, revealing a steady decline in profitability and financial health over the past three years. Let's delve deeper into the numbers:</w:t>
      </w:r>
    </w:p>
    <w:p w:rsidR="00000000" w:rsidDel="00000000" w:rsidP="00000000" w:rsidRDefault="00000000" w:rsidRPr="00000000" w14:paraId="00000025">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A. Income Statement Analysis:</w:t>
      </w:r>
      <w:r w:rsidDel="00000000" w:rsidR="00000000" w:rsidRPr="00000000">
        <w:rPr>
          <w:rtl w:val="0"/>
        </w:rPr>
      </w:r>
    </w:p>
    <w:p w:rsidR="00000000" w:rsidDel="00000000" w:rsidP="00000000" w:rsidRDefault="00000000" w:rsidRPr="00000000" w14:paraId="00000026">
      <w:pPr>
        <w:numPr>
          <w:ilvl w:val="0"/>
          <w:numId w:val="16"/>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Revenue:</w:t>
      </w:r>
      <w:r w:rsidDel="00000000" w:rsidR="00000000" w:rsidRPr="00000000">
        <w:rPr>
          <w:rFonts w:ascii="Arial" w:cs="Arial" w:eastAsia="Arial" w:hAnsi="Arial"/>
          <w:color w:val="000000"/>
          <w:sz w:val="24"/>
          <w:szCs w:val="24"/>
          <w:shd w:fill="auto" w:val="clear"/>
          <w:vertAlign w:val="baseline"/>
          <w:rtl w:val="0"/>
        </w:rPr>
        <w:t xml:space="preserve"> A 20% drop in revenue from 2021 to 2023 indicates a significant loss of business. This decline requires further investigation into factors like marketing effectiveness, competitor offerings, and changing customer preferences.</w:t>
      </w:r>
    </w:p>
    <w:p w:rsidR="00000000" w:rsidDel="00000000" w:rsidP="00000000" w:rsidRDefault="00000000" w:rsidRPr="00000000" w14:paraId="00000027">
      <w:pPr>
        <w:numPr>
          <w:ilvl w:val="0"/>
          <w:numId w:val="16"/>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Operating Expenses:</w:t>
      </w:r>
      <w:r w:rsidDel="00000000" w:rsidR="00000000" w:rsidRPr="00000000">
        <w:rPr>
          <w:rFonts w:ascii="Arial" w:cs="Arial" w:eastAsia="Arial" w:hAnsi="Arial"/>
          <w:color w:val="000000"/>
          <w:sz w:val="24"/>
          <w:szCs w:val="24"/>
          <w:shd w:fill="auto" w:val="clear"/>
          <w:vertAlign w:val="baseline"/>
          <w:rtl w:val="0"/>
        </w:rPr>
        <w:t xml:space="preserve"> While expenses increased by 22% from 2021 to 2023, the steeper decline in revenue resulted in a net loss in 2023. Expense control measures need to be implemented to improve profitability.</w:t>
      </w:r>
    </w:p>
    <w:p w:rsidR="00000000" w:rsidDel="00000000" w:rsidP="00000000" w:rsidRDefault="00000000" w:rsidRPr="00000000" w14:paraId="00000028">
      <w:pPr>
        <w:numPr>
          <w:ilvl w:val="0"/>
          <w:numId w:val="16"/>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Net Income:</w:t>
      </w:r>
      <w:r w:rsidDel="00000000" w:rsidR="00000000" w:rsidRPr="00000000">
        <w:rPr>
          <w:rFonts w:ascii="Arial" w:cs="Arial" w:eastAsia="Arial" w:hAnsi="Arial"/>
          <w:color w:val="000000"/>
          <w:sz w:val="24"/>
          <w:szCs w:val="24"/>
          <w:shd w:fill="auto" w:val="clear"/>
          <w:vertAlign w:val="baseline"/>
          <w:rtl w:val="0"/>
        </w:rPr>
        <w:t xml:space="preserve"> The shift from a £300,000 profit in 2021 to a £150,000 loss in 2022 and further decline to a £150,000 loss in 2023 highlights the urgent need for intervention.</w:t>
      </w:r>
    </w:p>
    <w:p w:rsidR="00000000" w:rsidDel="00000000" w:rsidP="00000000" w:rsidRDefault="00000000" w:rsidRPr="00000000" w14:paraId="00000029">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B. Balance Sheet Analysis:</w:t>
      </w:r>
      <w:r w:rsidDel="00000000" w:rsidR="00000000" w:rsidRPr="00000000">
        <w:rPr>
          <w:rtl w:val="0"/>
        </w:rPr>
      </w:r>
    </w:p>
    <w:p w:rsidR="00000000" w:rsidDel="00000000" w:rsidP="00000000" w:rsidRDefault="00000000" w:rsidRPr="00000000" w14:paraId="0000002A">
      <w:pPr>
        <w:numPr>
          <w:ilvl w:val="0"/>
          <w:numId w:val="17"/>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Cash and Equivalents:</w:t>
      </w:r>
      <w:r w:rsidDel="00000000" w:rsidR="00000000" w:rsidRPr="00000000">
        <w:rPr>
          <w:rFonts w:ascii="Arial" w:cs="Arial" w:eastAsia="Arial" w:hAnsi="Arial"/>
          <w:color w:val="000000"/>
          <w:sz w:val="24"/>
          <w:szCs w:val="24"/>
          <w:shd w:fill="auto" w:val="clear"/>
          <w:vertAlign w:val="baseline"/>
          <w:rtl w:val="0"/>
        </w:rPr>
        <w:t xml:space="preserve"> A significant drop from £100,000 in 2021 to £20,000 in 2023 suggests dwindling liquidity, potentially impacting operational capabilities and investment opportunities.</w:t>
      </w:r>
    </w:p>
    <w:p w:rsidR="00000000" w:rsidDel="00000000" w:rsidP="00000000" w:rsidRDefault="00000000" w:rsidRPr="00000000" w14:paraId="0000002B">
      <w:pPr>
        <w:numPr>
          <w:ilvl w:val="0"/>
          <w:numId w:val="17"/>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Property and Equipment:</w:t>
      </w:r>
      <w:r w:rsidDel="00000000" w:rsidR="00000000" w:rsidRPr="00000000">
        <w:rPr>
          <w:rFonts w:ascii="Arial" w:cs="Arial" w:eastAsia="Arial" w:hAnsi="Arial"/>
          <w:color w:val="000000"/>
          <w:sz w:val="24"/>
          <w:szCs w:val="24"/>
          <w:shd w:fill="auto" w:val="clear"/>
          <w:vertAlign w:val="baseline"/>
          <w:rtl w:val="0"/>
        </w:rPr>
        <w:t xml:space="preserve"> While the property value remained stable at £2 million, it's crucial to assess its true market value and potential for renovation or alternative use.</w:t>
      </w:r>
    </w:p>
    <w:p w:rsidR="00000000" w:rsidDel="00000000" w:rsidP="00000000" w:rsidRDefault="00000000" w:rsidRPr="00000000" w14:paraId="0000002C">
      <w:pPr>
        <w:numPr>
          <w:ilvl w:val="0"/>
          <w:numId w:val="17"/>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Equity:</w:t>
      </w:r>
      <w:r w:rsidDel="00000000" w:rsidR="00000000" w:rsidRPr="00000000">
        <w:rPr>
          <w:rFonts w:ascii="Arial" w:cs="Arial" w:eastAsia="Arial" w:hAnsi="Arial"/>
          <w:color w:val="000000"/>
          <w:sz w:val="24"/>
          <w:szCs w:val="24"/>
          <w:shd w:fill="auto" w:val="clear"/>
          <w:vertAlign w:val="baseline"/>
          <w:rtl w:val="0"/>
        </w:rPr>
        <w:t xml:space="preserve"> The sharp decline in equity from £620,000 in 2021 to £300,000 in 2023 indicates erosion of ownership value, raising concerns about the lodge's financial sustainability.</w:t>
      </w:r>
    </w:p>
    <w:p w:rsidR="00000000" w:rsidDel="00000000" w:rsidP="00000000" w:rsidRDefault="00000000" w:rsidRPr="00000000" w14:paraId="0000002D">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C. Additional Metrics:</w:t>
      </w:r>
      <w:r w:rsidDel="00000000" w:rsidR="00000000" w:rsidRPr="00000000">
        <w:rPr>
          <w:rtl w:val="0"/>
        </w:rPr>
      </w:r>
    </w:p>
    <w:p w:rsidR="00000000" w:rsidDel="00000000" w:rsidP="00000000" w:rsidRDefault="00000000" w:rsidRPr="00000000" w14:paraId="0000002E">
      <w:pPr>
        <w:numPr>
          <w:ilvl w:val="0"/>
          <w:numId w:val="1"/>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Average Room Rate (ARR):</w:t>
      </w:r>
      <w:r w:rsidDel="00000000" w:rsidR="00000000" w:rsidRPr="00000000">
        <w:rPr>
          <w:rFonts w:ascii="Arial" w:cs="Arial" w:eastAsia="Arial" w:hAnsi="Arial"/>
          <w:color w:val="000000"/>
          <w:sz w:val="24"/>
          <w:szCs w:val="24"/>
          <w:shd w:fill="auto" w:val="clear"/>
          <w:vertAlign w:val="baseline"/>
          <w:rtl w:val="0"/>
        </w:rPr>
        <w:t xml:space="preserve"> The decrease from £260 in 2021 to £210 in 2023 suggests either declining demand or price reductions to attract customers, impacting overall revenue generation.</w:t>
      </w:r>
    </w:p>
    <w:p w:rsidR="00000000" w:rsidDel="00000000" w:rsidP="00000000" w:rsidRDefault="00000000" w:rsidRPr="00000000" w14:paraId="0000002F">
      <w:pPr>
        <w:numPr>
          <w:ilvl w:val="0"/>
          <w:numId w:val="1"/>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Occupancy Rate:</w:t>
      </w:r>
      <w:r w:rsidDel="00000000" w:rsidR="00000000" w:rsidRPr="00000000">
        <w:rPr>
          <w:rFonts w:ascii="Arial" w:cs="Arial" w:eastAsia="Arial" w:hAnsi="Arial"/>
          <w:color w:val="000000"/>
          <w:sz w:val="24"/>
          <w:szCs w:val="24"/>
          <w:shd w:fill="auto" w:val="clear"/>
          <w:vertAlign w:val="baseline"/>
          <w:rtl w:val="0"/>
        </w:rPr>
        <w:t xml:space="preserve"> The drop from 65% in 2021 to 50% in 2023 signifies a significant decrease in room bookings, further contributing to revenue decline.</w:t>
      </w:r>
    </w:p>
    <w:p w:rsidR="00000000" w:rsidDel="00000000" w:rsidP="00000000" w:rsidRDefault="00000000" w:rsidRPr="00000000" w14:paraId="00000030">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D. Impact and Conclusion:</w:t>
      </w:r>
      <w:r w:rsidDel="00000000" w:rsidR="00000000" w:rsidRPr="00000000">
        <w:rPr>
          <w:rtl w:val="0"/>
        </w:rPr>
      </w:r>
    </w:p>
    <w:p w:rsidR="00000000" w:rsidDel="00000000" w:rsidP="00000000" w:rsidRDefault="00000000" w:rsidRPr="00000000" w14:paraId="00000031">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The combined analysis of income statement, balance sheet, and additional metrics paints a concerning picture. The lodge's financial health is deteriorating, and immediate action is required to reverse the negative trends. The turnaround strategy needs to address declining revenue, operational inefficiencies, and potential cash flow issues while considering the impact of ARR and occupancy rates.</w:t>
      </w:r>
    </w:p>
    <w:p w:rsidR="00000000" w:rsidDel="00000000" w:rsidP="00000000" w:rsidRDefault="00000000" w:rsidRPr="00000000" w14:paraId="00000032">
      <w:pPr>
        <w:spacing w:after="160" w:before="0" w:line="259" w:lineRule="auto"/>
        <w:ind w:left="0" w:right="0" w:firstLine="0"/>
        <w:jc w:val="both"/>
        <w:rPr>
          <w:rFonts w:ascii="Arial" w:cs="Arial" w:eastAsia="Arial" w:hAnsi="Arial"/>
          <w:b w:val="1"/>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br w:type="textWrapping"/>
        <w:t xml:space="preserve">Deeper Dive into Financial Ratios: Unveiling the Lodge's Position</w:t>
      </w:r>
    </w:p>
    <w:p w:rsidR="00000000" w:rsidDel="00000000" w:rsidP="00000000" w:rsidRDefault="00000000" w:rsidRPr="00000000" w14:paraId="00000033">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While the previous analysis provided a broad overview, let's delve deeper into specific financial ratios to gain a more nuanced understanding of The Seacrest Lodge's performance compared to industry benchmarks:</w:t>
      </w:r>
    </w:p>
    <w:p w:rsidR="00000000" w:rsidDel="00000000" w:rsidP="00000000" w:rsidRDefault="00000000" w:rsidRPr="00000000" w14:paraId="00000034">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Profitability Ratios:</w:t>
      </w:r>
      <w:r w:rsidDel="00000000" w:rsidR="00000000" w:rsidRPr="00000000">
        <w:rPr>
          <w:rtl w:val="0"/>
        </w:rPr>
      </w:r>
    </w:p>
    <w:p w:rsidR="00000000" w:rsidDel="00000000" w:rsidP="00000000" w:rsidRDefault="00000000" w:rsidRPr="00000000" w14:paraId="00000035">
      <w:pPr>
        <w:numPr>
          <w:ilvl w:val="0"/>
          <w:numId w:val="2"/>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Net Profit Margin:</w:t>
      </w:r>
      <w:r w:rsidDel="00000000" w:rsidR="00000000" w:rsidRPr="00000000">
        <w:rPr>
          <w:rFonts w:ascii="Arial" w:cs="Arial" w:eastAsia="Arial" w:hAnsi="Arial"/>
          <w:color w:val="000000"/>
          <w:sz w:val="24"/>
          <w:szCs w:val="24"/>
          <w:shd w:fill="auto" w:val="clear"/>
          <w:vertAlign w:val="baseline"/>
          <w:rtl w:val="0"/>
        </w:rPr>
        <w:t xml:space="preserve"> This calculates the percentage of revenue remaining after accounting for all expenses. Compare The Seacrest Lodge's margin to industry averages to assess its efficiency in converting sales into profit.</w:t>
      </w:r>
    </w:p>
    <w:p w:rsidR="00000000" w:rsidDel="00000000" w:rsidP="00000000" w:rsidRDefault="00000000" w:rsidRPr="00000000" w14:paraId="00000036">
      <w:pPr>
        <w:numPr>
          <w:ilvl w:val="0"/>
          <w:numId w:val="2"/>
        </w:numPr>
        <w:spacing w:after="160" w:before="0" w:line="259" w:lineRule="auto"/>
        <w:ind w:left="144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2021: 25% (assuming no profit taxes)</w:t>
      </w:r>
    </w:p>
    <w:p w:rsidR="00000000" w:rsidDel="00000000" w:rsidP="00000000" w:rsidRDefault="00000000" w:rsidRPr="00000000" w14:paraId="00000037">
      <w:pPr>
        <w:numPr>
          <w:ilvl w:val="0"/>
          <w:numId w:val="2"/>
        </w:numPr>
        <w:spacing w:after="160" w:before="0" w:line="259" w:lineRule="auto"/>
        <w:ind w:left="144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2022: 13.6%</w:t>
      </w:r>
    </w:p>
    <w:p w:rsidR="00000000" w:rsidDel="00000000" w:rsidP="00000000" w:rsidRDefault="00000000" w:rsidRPr="00000000" w14:paraId="00000038">
      <w:pPr>
        <w:numPr>
          <w:ilvl w:val="0"/>
          <w:numId w:val="2"/>
        </w:numPr>
        <w:spacing w:after="160" w:before="0" w:line="259" w:lineRule="auto"/>
        <w:ind w:left="144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2023: -15.8% (negative margin indicates a loss)</w:t>
      </w:r>
    </w:p>
    <w:p w:rsidR="00000000" w:rsidDel="00000000" w:rsidP="00000000" w:rsidRDefault="00000000" w:rsidRPr="00000000" w14:paraId="00000039">
      <w:pPr>
        <w:numPr>
          <w:ilvl w:val="0"/>
          <w:numId w:val="2"/>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Return on Equity (ROE):</w:t>
      </w:r>
      <w:r w:rsidDel="00000000" w:rsidR="00000000" w:rsidRPr="00000000">
        <w:rPr>
          <w:rFonts w:ascii="Arial" w:cs="Arial" w:eastAsia="Arial" w:hAnsi="Arial"/>
          <w:color w:val="000000"/>
          <w:sz w:val="24"/>
          <w:szCs w:val="24"/>
          <w:shd w:fill="auto" w:val="clear"/>
          <w:vertAlign w:val="baseline"/>
          <w:rtl w:val="0"/>
        </w:rPr>
        <w:t xml:space="preserve"> Measures how effectively the lodge uses shareholder equity to generate profit. Compare it to the industry average to assess its ability to create returns for investors.</w:t>
      </w:r>
    </w:p>
    <w:p w:rsidR="00000000" w:rsidDel="00000000" w:rsidP="00000000" w:rsidRDefault="00000000" w:rsidRPr="00000000" w14:paraId="0000003A">
      <w:pPr>
        <w:numPr>
          <w:ilvl w:val="0"/>
          <w:numId w:val="2"/>
        </w:numPr>
        <w:spacing w:after="160" w:before="0" w:line="259" w:lineRule="auto"/>
        <w:ind w:left="144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2021: 48.4% (calculated using average shareholder equity over the year)</w:t>
      </w:r>
    </w:p>
    <w:p w:rsidR="00000000" w:rsidDel="00000000" w:rsidP="00000000" w:rsidRDefault="00000000" w:rsidRPr="00000000" w14:paraId="0000003B">
      <w:pPr>
        <w:numPr>
          <w:ilvl w:val="0"/>
          <w:numId w:val="2"/>
        </w:numPr>
        <w:spacing w:after="160" w:before="0" w:line="259" w:lineRule="auto"/>
        <w:ind w:left="144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2022: 25.9%</w:t>
      </w:r>
    </w:p>
    <w:p w:rsidR="00000000" w:rsidDel="00000000" w:rsidP="00000000" w:rsidRDefault="00000000" w:rsidRPr="00000000" w14:paraId="0000003C">
      <w:pPr>
        <w:numPr>
          <w:ilvl w:val="0"/>
          <w:numId w:val="2"/>
        </w:numPr>
        <w:spacing w:after="160" w:before="0" w:line="259" w:lineRule="auto"/>
        <w:ind w:left="144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2023: -50% (negative ROE indicates significant losses)</w:t>
      </w:r>
    </w:p>
    <w:p w:rsidR="00000000" w:rsidDel="00000000" w:rsidP="00000000" w:rsidRDefault="00000000" w:rsidRPr="00000000" w14:paraId="0000003D">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Liquidity Ratios:</w:t>
      </w:r>
      <w:r w:rsidDel="00000000" w:rsidR="00000000" w:rsidRPr="00000000">
        <w:rPr>
          <w:rtl w:val="0"/>
        </w:rPr>
      </w:r>
    </w:p>
    <w:p w:rsidR="00000000" w:rsidDel="00000000" w:rsidP="00000000" w:rsidRDefault="00000000" w:rsidRPr="00000000" w14:paraId="0000003E">
      <w:pPr>
        <w:numPr>
          <w:ilvl w:val="0"/>
          <w:numId w:val="3"/>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Current Ratio:</w:t>
      </w:r>
      <w:r w:rsidDel="00000000" w:rsidR="00000000" w:rsidRPr="00000000">
        <w:rPr>
          <w:rFonts w:ascii="Arial" w:cs="Arial" w:eastAsia="Arial" w:hAnsi="Arial"/>
          <w:color w:val="000000"/>
          <w:sz w:val="24"/>
          <w:szCs w:val="24"/>
          <w:shd w:fill="auto" w:val="clear"/>
          <w:vertAlign w:val="baseline"/>
          <w:rtl w:val="0"/>
        </w:rPr>
        <w:t xml:space="preserve"> Assesses the ability to meet short-term obligations using current assets. Compare it to the industry benchmark to gauge short-term financial health.</w:t>
      </w:r>
    </w:p>
    <w:p w:rsidR="00000000" w:rsidDel="00000000" w:rsidP="00000000" w:rsidRDefault="00000000" w:rsidRPr="00000000" w14:paraId="0000003F">
      <w:pPr>
        <w:numPr>
          <w:ilvl w:val="0"/>
          <w:numId w:val="3"/>
        </w:numPr>
        <w:spacing w:after="160" w:before="0" w:line="259" w:lineRule="auto"/>
        <w:ind w:left="144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2021: 3.33 (calculated using average current assets and liabilities over the year)</w:t>
      </w:r>
    </w:p>
    <w:p w:rsidR="00000000" w:rsidDel="00000000" w:rsidP="00000000" w:rsidRDefault="00000000" w:rsidRPr="00000000" w14:paraId="00000040">
      <w:pPr>
        <w:numPr>
          <w:ilvl w:val="0"/>
          <w:numId w:val="3"/>
        </w:numPr>
        <w:spacing w:after="160" w:before="0" w:line="259" w:lineRule="auto"/>
        <w:ind w:left="144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2022: 2</w:t>
      </w:r>
    </w:p>
    <w:p w:rsidR="00000000" w:rsidDel="00000000" w:rsidP="00000000" w:rsidRDefault="00000000" w:rsidRPr="00000000" w14:paraId="00000041">
      <w:pPr>
        <w:numPr>
          <w:ilvl w:val="0"/>
          <w:numId w:val="3"/>
        </w:numPr>
        <w:spacing w:after="160" w:before="0" w:line="259" w:lineRule="auto"/>
        <w:ind w:left="144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2023: 0.4 (concerningly low, indicating potential difficulty meeting short-term obligations)</w:t>
      </w:r>
    </w:p>
    <w:p w:rsidR="00000000" w:rsidDel="00000000" w:rsidP="00000000" w:rsidRDefault="00000000" w:rsidRPr="00000000" w14:paraId="00000042">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Solvency Ratios:</w:t>
      </w:r>
      <w:r w:rsidDel="00000000" w:rsidR="00000000" w:rsidRPr="00000000">
        <w:rPr>
          <w:rtl w:val="0"/>
        </w:rPr>
      </w:r>
    </w:p>
    <w:p w:rsidR="00000000" w:rsidDel="00000000" w:rsidP="00000000" w:rsidRDefault="00000000" w:rsidRPr="00000000" w14:paraId="00000043">
      <w:pPr>
        <w:numPr>
          <w:ilvl w:val="0"/>
          <w:numId w:val="5"/>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Debt-to-Equity Ratio:</w:t>
      </w:r>
      <w:r w:rsidDel="00000000" w:rsidR="00000000" w:rsidRPr="00000000">
        <w:rPr>
          <w:rFonts w:ascii="Arial" w:cs="Arial" w:eastAsia="Arial" w:hAnsi="Arial"/>
          <w:color w:val="000000"/>
          <w:sz w:val="24"/>
          <w:szCs w:val="24"/>
          <w:shd w:fill="auto" w:val="clear"/>
          <w:vertAlign w:val="baseline"/>
          <w:rtl w:val="0"/>
        </w:rPr>
        <w:t xml:space="preserve"> Indicates the proportion of debt used to finance assets compared to shareholder equity. Compare it to the industry benchmark to understand the lodge's reliance on debt and its financial risk.</w:t>
      </w:r>
    </w:p>
    <w:p w:rsidR="00000000" w:rsidDel="00000000" w:rsidP="00000000" w:rsidRDefault="00000000" w:rsidRPr="00000000" w14:paraId="00000044">
      <w:pPr>
        <w:numPr>
          <w:ilvl w:val="0"/>
          <w:numId w:val="5"/>
        </w:numPr>
        <w:spacing w:after="160" w:before="0" w:line="259" w:lineRule="auto"/>
        <w:ind w:left="144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2021: 2.42 (calculated using average total liabilities and shareholder equity over the year)</w:t>
      </w:r>
    </w:p>
    <w:p w:rsidR="00000000" w:rsidDel="00000000" w:rsidP="00000000" w:rsidRDefault="00000000" w:rsidRPr="00000000" w14:paraId="00000045">
      <w:pPr>
        <w:numPr>
          <w:ilvl w:val="0"/>
          <w:numId w:val="5"/>
        </w:numPr>
        <w:spacing w:after="160" w:before="0" w:line="259" w:lineRule="auto"/>
        <w:ind w:left="144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2022: 2.57</w:t>
      </w:r>
    </w:p>
    <w:p w:rsidR="00000000" w:rsidDel="00000000" w:rsidP="00000000" w:rsidRDefault="00000000" w:rsidRPr="00000000" w14:paraId="00000046">
      <w:pPr>
        <w:numPr>
          <w:ilvl w:val="0"/>
          <w:numId w:val="5"/>
        </w:numPr>
        <w:spacing w:after="160" w:before="0" w:line="259" w:lineRule="auto"/>
        <w:ind w:left="144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2023: 5.17 (significantly higher than the average hospitality industry ratio, indicating high financial risk)</w:t>
      </w:r>
    </w:p>
    <w:p w:rsidR="00000000" w:rsidDel="00000000" w:rsidP="00000000" w:rsidRDefault="00000000" w:rsidRPr="00000000" w14:paraId="00000047">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The deeper analysis reveals concerning trends. The Seacrest Lodge's profitability has significantly declined, raising concerns about its ability to generate sustainable returns. Additionally, its high debt-to-equity ratio and low current ratio raise questions about its financial stability and ability to meet short-term obligations. By addressing these identified weaknesses, the turnaround strategy can aim to improve profitability, manage debt effectively, and enhance overall financial health.</w:t>
      </w:r>
    </w:p>
    <w:p w:rsidR="00000000" w:rsidDel="00000000" w:rsidP="00000000" w:rsidRDefault="00000000" w:rsidRPr="00000000" w14:paraId="00000048">
      <w:pPr>
        <w:spacing w:after="160" w:before="0" w:line="259" w:lineRule="auto"/>
        <w:ind w:left="0" w:right="0" w:firstLine="0"/>
        <w:jc w:val="both"/>
        <w:rPr>
          <w:rFonts w:ascii="Arial" w:cs="Arial" w:eastAsia="Arial" w:hAnsi="Arial"/>
          <w:b w:val="1"/>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IV. Key Challenges</w:t>
      </w:r>
    </w:p>
    <w:p w:rsidR="00000000" w:rsidDel="00000000" w:rsidP="00000000" w:rsidRDefault="00000000" w:rsidRPr="00000000" w14:paraId="00000049">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The Seacrest Lodge's declining profitability and customer satisfaction stem from a confluence of internal and external factors. Let's delve into the primary challenges:</w:t>
      </w:r>
    </w:p>
    <w:p w:rsidR="00000000" w:rsidDel="00000000" w:rsidP="00000000" w:rsidRDefault="00000000" w:rsidRPr="00000000" w14:paraId="0000004A">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A. Internal Challenges:</w:t>
      </w:r>
      <w:r w:rsidDel="00000000" w:rsidR="00000000" w:rsidRPr="00000000">
        <w:rPr>
          <w:rtl w:val="0"/>
        </w:rPr>
      </w:r>
    </w:p>
    <w:p w:rsidR="00000000" w:rsidDel="00000000" w:rsidP="00000000" w:rsidRDefault="00000000" w:rsidRPr="00000000" w14:paraId="0000004B">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1. Outdated Amenities and Lack of Investment:</w:t>
      </w:r>
      <w:r w:rsidDel="00000000" w:rsidR="00000000" w:rsidRPr="00000000">
        <w:rPr>
          <w:rtl w:val="0"/>
        </w:rPr>
      </w:r>
    </w:p>
    <w:p w:rsidR="00000000" w:rsidDel="00000000" w:rsidP="00000000" w:rsidRDefault="00000000" w:rsidRPr="00000000" w14:paraId="0000004C">
      <w:pPr>
        <w:numPr>
          <w:ilvl w:val="0"/>
          <w:numId w:val="8"/>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Customer reviews highlight outdated decor, facilities, and technology, suggesting a failure to keep pace with evolving guest expectations (Kim &amp; Kim, 2022).</w:t>
      </w:r>
    </w:p>
    <w:p w:rsidR="00000000" w:rsidDel="00000000" w:rsidP="00000000" w:rsidRDefault="00000000" w:rsidRPr="00000000" w14:paraId="0000004D">
      <w:pPr>
        <w:numPr>
          <w:ilvl w:val="0"/>
          <w:numId w:val="8"/>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Lack of investment in renovations and upgrades can diminish appeal and competitiveness, impacting both occupancy and revenue.</w:t>
      </w:r>
    </w:p>
    <w:p w:rsidR="00000000" w:rsidDel="00000000" w:rsidP="00000000" w:rsidRDefault="00000000" w:rsidRPr="00000000" w14:paraId="0000004E">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2. Declining Service Quality:</w:t>
      </w:r>
      <w:r w:rsidDel="00000000" w:rsidR="00000000" w:rsidRPr="00000000">
        <w:rPr>
          <w:rtl w:val="0"/>
        </w:rPr>
      </w:r>
    </w:p>
    <w:p w:rsidR="00000000" w:rsidDel="00000000" w:rsidP="00000000" w:rsidRDefault="00000000" w:rsidRPr="00000000" w14:paraId="0000004F">
      <w:pPr>
        <w:numPr>
          <w:ilvl w:val="0"/>
          <w:numId w:val="11"/>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Negative reviews mention issues like limited staff, long wait times, and inconsistent service, indicating potential operational inefficiencies or staff training gaps (Verhoef et al., 2021).</w:t>
      </w:r>
    </w:p>
    <w:p w:rsidR="00000000" w:rsidDel="00000000" w:rsidP="00000000" w:rsidRDefault="00000000" w:rsidRPr="00000000" w14:paraId="00000050">
      <w:pPr>
        <w:numPr>
          <w:ilvl w:val="0"/>
          <w:numId w:val="11"/>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Poor service directly impacts customer satisfaction and loyalty, leading to negative reviews and decreased bookings (Kotler et al., 2020).</w:t>
      </w:r>
    </w:p>
    <w:p w:rsidR="00000000" w:rsidDel="00000000" w:rsidP="00000000" w:rsidRDefault="00000000" w:rsidRPr="00000000" w14:paraId="00000051">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3. Ineffective Marketing and Pricing Strategies:</w:t>
      </w:r>
      <w:r w:rsidDel="00000000" w:rsidR="00000000" w:rsidRPr="00000000">
        <w:rPr>
          <w:rtl w:val="0"/>
        </w:rPr>
      </w:r>
    </w:p>
    <w:p w:rsidR="00000000" w:rsidDel="00000000" w:rsidP="00000000" w:rsidRDefault="00000000" w:rsidRPr="00000000" w14:paraId="00000052">
      <w:pPr>
        <w:numPr>
          <w:ilvl w:val="0"/>
          <w:numId w:val="6"/>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The lodge might not be effectively reaching its target audience or communicating its unique offerings, leading to missed opportunities (Grant, 2023).</w:t>
      </w:r>
    </w:p>
    <w:p w:rsidR="00000000" w:rsidDel="00000000" w:rsidP="00000000" w:rsidRDefault="00000000" w:rsidRPr="00000000" w14:paraId="00000053">
      <w:pPr>
        <w:numPr>
          <w:ilvl w:val="0"/>
          <w:numId w:val="6"/>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Pricing strategies might not be aligned with value offerings, competitor landscape, or changing customer preferences (Kotler et al., 2020).</w:t>
      </w:r>
    </w:p>
    <w:p w:rsidR="00000000" w:rsidDel="00000000" w:rsidP="00000000" w:rsidRDefault="00000000" w:rsidRPr="00000000" w14:paraId="00000054">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B. External Challenges:</w:t>
      </w:r>
      <w:r w:rsidDel="00000000" w:rsidR="00000000" w:rsidRPr="00000000">
        <w:rPr>
          <w:rtl w:val="0"/>
        </w:rPr>
      </w:r>
    </w:p>
    <w:p w:rsidR="00000000" w:rsidDel="00000000" w:rsidP="00000000" w:rsidRDefault="00000000" w:rsidRPr="00000000" w14:paraId="00000055">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1. Economic Downturn:</w:t>
      </w:r>
      <w:r w:rsidDel="00000000" w:rsidR="00000000" w:rsidRPr="00000000">
        <w:rPr>
          <w:rtl w:val="0"/>
        </w:rPr>
      </w:r>
    </w:p>
    <w:p w:rsidR="00000000" w:rsidDel="00000000" w:rsidP="00000000" w:rsidRDefault="00000000" w:rsidRPr="00000000" w14:paraId="00000056">
      <w:pPr>
        <w:numPr>
          <w:ilvl w:val="0"/>
          <w:numId w:val="9"/>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A regional or global economic downturn can lead to decreased tourism spending, impacting overall demand for accommodation (World Tourism Organization, 2023).</w:t>
      </w:r>
    </w:p>
    <w:p w:rsidR="00000000" w:rsidDel="00000000" w:rsidP="00000000" w:rsidRDefault="00000000" w:rsidRPr="00000000" w14:paraId="00000057">
      <w:pPr>
        <w:numPr>
          <w:ilvl w:val="0"/>
          <w:numId w:val="9"/>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The lodge might need to adjust pricing or offerings to remain competitive during challenging economic times.</w:t>
      </w:r>
    </w:p>
    <w:p w:rsidR="00000000" w:rsidDel="00000000" w:rsidP="00000000" w:rsidRDefault="00000000" w:rsidRPr="00000000" w14:paraId="00000058">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2. Changing Traveler Preferences:</w:t>
      </w:r>
      <w:r w:rsidDel="00000000" w:rsidR="00000000" w:rsidRPr="00000000">
        <w:rPr>
          <w:rtl w:val="0"/>
        </w:rPr>
      </w:r>
    </w:p>
    <w:p w:rsidR="00000000" w:rsidDel="00000000" w:rsidP="00000000" w:rsidRDefault="00000000" w:rsidRPr="00000000" w14:paraId="00000059">
      <w:pPr>
        <w:numPr>
          <w:ilvl w:val="0"/>
          <w:numId w:val="12"/>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Emerging trends like sustainable travel, experiential tourism, and digitalization might necessitate adaptation to remain relevant.</w:t>
      </w:r>
    </w:p>
    <w:p w:rsidR="00000000" w:rsidDel="00000000" w:rsidP="00000000" w:rsidRDefault="00000000" w:rsidRPr="00000000" w14:paraId="0000005A">
      <w:pPr>
        <w:numPr>
          <w:ilvl w:val="0"/>
          <w:numId w:val="12"/>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The lodge can miss out on potential customers if it fails to cater to evolving preferences and expectations.</w:t>
      </w:r>
    </w:p>
    <w:p w:rsidR="00000000" w:rsidDel="00000000" w:rsidP="00000000" w:rsidRDefault="00000000" w:rsidRPr="00000000" w14:paraId="0000005B">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3. Competitive Landscape:</w:t>
      </w:r>
      <w:r w:rsidDel="00000000" w:rsidR="00000000" w:rsidRPr="00000000">
        <w:rPr>
          <w:rtl w:val="0"/>
        </w:rPr>
      </w:r>
    </w:p>
    <w:p w:rsidR="00000000" w:rsidDel="00000000" w:rsidP="00000000" w:rsidRDefault="00000000" w:rsidRPr="00000000" w14:paraId="0000005C">
      <w:pPr>
        <w:numPr>
          <w:ilvl w:val="0"/>
          <w:numId w:val="13"/>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Increased competition from new entrants or established players offering unique experiences can put pressure on occupancy rates and pricing (Grant, 2023).</w:t>
      </w:r>
    </w:p>
    <w:p w:rsidR="00000000" w:rsidDel="00000000" w:rsidP="00000000" w:rsidRDefault="00000000" w:rsidRPr="00000000" w14:paraId="0000005D">
      <w:pPr>
        <w:numPr>
          <w:ilvl w:val="0"/>
          <w:numId w:val="13"/>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Analyzing competitor strategies and identifying areas for differentiation will be crucial for the lodge's success.</w:t>
      </w:r>
    </w:p>
    <w:p w:rsidR="00000000" w:rsidDel="00000000" w:rsidP="00000000" w:rsidRDefault="00000000" w:rsidRPr="00000000" w14:paraId="0000005E">
      <w:pPr>
        <w:spacing w:after="160" w:before="0" w:line="259" w:lineRule="auto"/>
        <w:ind w:left="0" w:right="0" w:firstLine="0"/>
        <w:jc w:val="both"/>
        <w:rPr>
          <w:rFonts w:ascii="Arial" w:cs="Arial" w:eastAsia="Arial" w:hAnsi="Arial"/>
          <w:b w:val="1"/>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V. Turnaround Strategy: Breathing New Life into The Seacrest Lodge</w:t>
      </w:r>
    </w:p>
    <w:p w:rsidR="00000000" w:rsidDel="00000000" w:rsidP="00000000" w:rsidRDefault="00000000" w:rsidRPr="00000000" w14:paraId="0000005F">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The decline of The Seacrest Lodge demands a comprehensive strategy revitalizing its appeal, strengthening its finances, and navigating the competitive landscape. Here's a practical approach with short and long-term initiatives, addressing operational inefficiencies, enhancing the guest experience, and standing out amidst competitors.</w:t>
      </w:r>
    </w:p>
    <w:p w:rsidR="00000000" w:rsidDel="00000000" w:rsidP="00000000" w:rsidRDefault="00000000" w:rsidRPr="00000000" w14:paraId="00000060">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A. Rekindling the Lodge's Charm:</w:t>
      </w:r>
      <w:r w:rsidDel="00000000" w:rsidR="00000000" w:rsidRPr="00000000">
        <w:rPr>
          <w:rtl w:val="0"/>
        </w:rPr>
      </w:r>
    </w:p>
    <w:p w:rsidR="00000000" w:rsidDel="00000000" w:rsidP="00000000" w:rsidRDefault="00000000" w:rsidRPr="00000000" w14:paraId="00000061">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Short-term:</w:t>
      </w:r>
      <w:r w:rsidDel="00000000" w:rsidR="00000000" w:rsidRPr="00000000">
        <w:rPr>
          <w:rtl w:val="0"/>
        </w:rPr>
      </w:r>
    </w:p>
    <w:p w:rsidR="00000000" w:rsidDel="00000000" w:rsidP="00000000" w:rsidRDefault="00000000" w:rsidRPr="00000000" w14:paraId="00000062">
      <w:pPr>
        <w:numPr>
          <w:ilvl w:val="0"/>
          <w:numId w:val="14"/>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Revamp common spaces:</w:t>
      </w:r>
      <w:r w:rsidDel="00000000" w:rsidR="00000000" w:rsidRPr="00000000">
        <w:rPr>
          <w:rFonts w:ascii="Arial" w:cs="Arial" w:eastAsia="Arial" w:hAnsi="Arial"/>
          <w:color w:val="000000"/>
          <w:sz w:val="24"/>
          <w:szCs w:val="24"/>
          <w:shd w:fill="auto" w:val="clear"/>
          <w:vertAlign w:val="baseline"/>
          <w:rtl w:val="0"/>
        </w:rPr>
        <w:t xml:space="preserve"> Partner with local artisans to refresh lobbies and terraces with coastal accents. Offer "renovation reveals" on social media to generate buzz.</w:t>
      </w:r>
    </w:p>
    <w:p w:rsidR="00000000" w:rsidDel="00000000" w:rsidP="00000000" w:rsidRDefault="00000000" w:rsidRPr="00000000" w14:paraId="00000063">
      <w:pPr>
        <w:numPr>
          <w:ilvl w:val="0"/>
          <w:numId w:val="14"/>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Curate unique experiences:</w:t>
      </w:r>
      <w:r w:rsidDel="00000000" w:rsidR="00000000" w:rsidRPr="00000000">
        <w:rPr>
          <w:rFonts w:ascii="Arial" w:cs="Arial" w:eastAsia="Arial" w:hAnsi="Arial"/>
          <w:color w:val="000000"/>
          <w:sz w:val="24"/>
          <w:szCs w:val="24"/>
          <w:shd w:fill="auto" w:val="clear"/>
          <w:vertAlign w:val="baseline"/>
          <w:rtl w:val="0"/>
        </w:rPr>
        <w:t xml:space="preserve"> Host sunset yoga sessions with local instructors, partner with fishermen for "catch-and-cook" evenings, or offer guided nature walks to nearby lighthouses.</w:t>
      </w:r>
    </w:p>
    <w:p w:rsidR="00000000" w:rsidDel="00000000" w:rsidP="00000000" w:rsidRDefault="00000000" w:rsidRPr="00000000" w14:paraId="00000064">
      <w:pPr>
        <w:numPr>
          <w:ilvl w:val="0"/>
          <w:numId w:val="14"/>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Invest in staff training:</w:t>
      </w:r>
      <w:r w:rsidDel="00000000" w:rsidR="00000000" w:rsidRPr="00000000">
        <w:rPr>
          <w:rFonts w:ascii="Arial" w:cs="Arial" w:eastAsia="Arial" w:hAnsi="Arial"/>
          <w:color w:val="000000"/>
          <w:sz w:val="24"/>
          <w:szCs w:val="24"/>
          <w:shd w:fill="auto" w:val="clear"/>
          <w:vertAlign w:val="baseline"/>
          <w:rtl w:val="0"/>
        </w:rPr>
        <w:t xml:space="preserve"> Implement role-playing scenarios to practice personalized greetings, anticipate guest needs, and go the extra mile (e.g., remembering preferences, offering local recommendations).</w:t>
      </w:r>
    </w:p>
    <w:p w:rsidR="00000000" w:rsidDel="00000000" w:rsidP="00000000" w:rsidRDefault="00000000" w:rsidRPr="00000000" w14:paraId="00000065">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Long-term:</w:t>
      </w:r>
      <w:r w:rsidDel="00000000" w:rsidR="00000000" w:rsidRPr="00000000">
        <w:rPr>
          <w:rtl w:val="0"/>
        </w:rPr>
      </w:r>
    </w:p>
    <w:p w:rsidR="00000000" w:rsidDel="00000000" w:rsidP="00000000" w:rsidRDefault="00000000" w:rsidRPr="00000000" w14:paraId="00000066">
      <w:pPr>
        <w:numPr>
          <w:ilvl w:val="0"/>
          <w:numId w:val="18"/>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Sustainable practices:</w:t>
      </w:r>
      <w:r w:rsidDel="00000000" w:rsidR="00000000" w:rsidRPr="00000000">
        <w:rPr>
          <w:rFonts w:ascii="Arial" w:cs="Arial" w:eastAsia="Arial" w:hAnsi="Arial"/>
          <w:color w:val="000000"/>
          <w:sz w:val="24"/>
          <w:szCs w:val="24"/>
          <w:shd w:fill="auto" w:val="clear"/>
          <w:vertAlign w:val="baseline"/>
          <w:rtl w:val="0"/>
        </w:rPr>
        <w:t xml:space="preserve"> Install energy-efficient appliances, offer local organic breakfast options, and partner with sustainability initiatives to showcase eco-conscious efforts.</w:t>
      </w:r>
    </w:p>
    <w:p w:rsidR="00000000" w:rsidDel="00000000" w:rsidP="00000000" w:rsidRDefault="00000000" w:rsidRPr="00000000" w14:paraId="00000067">
      <w:pPr>
        <w:numPr>
          <w:ilvl w:val="0"/>
          <w:numId w:val="18"/>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Digital transformation:</w:t>
      </w:r>
      <w:r w:rsidDel="00000000" w:rsidR="00000000" w:rsidRPr="00000000">
        <w:rPr>
          <w:rFonts w:ascii="Arial" w:cs="Arial" w:eastAsia="Arial" w:hAnsi="Arial"/>
          <w:color w:val="000000"/>
          <w:sz w:val="24"/>
          <w:szCs w:val="24"/>
          <w:shd w:fill="auto" w:val="clear"/>
          <w:vertAlign w:val="baseline"/>
          <w:rtl w:val="0"/>
        </w:rPr>
        <w:t xml:space="preserve"> Develop a user-friendly mobile app for booking, contactless check-in, and on-site ordering. Leverage targeted social media ads and influencer partnerships to reach new audiences.</w:t>
      </w:r>
    </w:p>
    <w:p w:rsidR="00000000" w:rsidDel="00000000" w:rsidP="00000000" w:rsidRDefault="00000000" w:rsidRPr="00000000" w14:paraId="00000068">
      <w:pPr>
        <w:numPr>
          <w:ilvl w:val="0"/>
          <w:numId w:val="18"/>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Embrace data analytics:</w:t>
      </w:r>
      <w:r w:rsidDel="00000000" w:rsidR="00000000" w:rsidRPr="00000000">
        <w:rPr>
          <w:rFonts w:ascii="Arial" w:cs="Arial" w:eastAsia="Arial" w:hAnsi="Arial"/>
          <w:color w:val="000000"/>
          <w:sz w:val="24"/>
          <w:szCs w:val="24"/>
          <w:shd w:fill="auto" w:val="clear"/>
          <w:vertAlign w:val="baseline"/>
          <w:rtl w:val="0"/>
        </w:rPr>
        <w:t xml:space="preserve"> Track guest reviews, booking patterns, and competitor strategies. Use insights to tailor offerings, personalize marketing campaigns, and optimize pricing dynamically.</w:t>
      </w:r>
    </w:p>
    <w:p w:rsidR="00000000" w:rsidDel="00000000" w:rsidP="00000000" w:rsidRDefault="00000000" w:rsidRPr="00000000" w14:paraId="00000069">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B. Financial Fortitude:</w:t>
      </w:r>
      <w:r w:rsidDel="00000000" w:rsidR="00000000" w:rsidRPr="00000000">
        <w:rPr>
          <w:rtl w:val="0"/>
        </w:rPr>
      </w:r>
    </w:p>
    <w:p w:rsidR="00000000" w:rsidDel="00000000" w:rsidP="00000000" w:rsidRDefault="00000000" w:rsidRPr="00000000" w14:paraId="0000006A">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Short-term:</w:t>
      </w:r>
      <w:r w:rsidDel="00000000" w:rsidR="00000000" w:rsidRPr="00000000">
        <w:rPr>
          <w:rtl w:val="0"/>
        </w:rPr>
      </w:r>
    </w:p>
    <w:p w:rsidR="00000000" w:rsidDel="00000000" w:rsidP="00000000" w:rsidRDefault="00000000" w:rsidRPr="00000000" w14:paraId="0000006B">
      <w:pPr>
        <w:numPr>
          <w:ilvl w:val="0"/>
          <w:numId w:val="19"/>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Cost optimization:</w:t>
      </w:r>
      <w:r w:rsidDel="00000000" w:rsidR="00000000" w:rsidRPr="00000000">
        <w:rPr>
          <w:rFonts w:ascii="Arial" w:cs="Arial" w:eastAsia="Arial" w:hAnsi="Arial"/>
          <w:color w:val="000000"/>
          <w:sz w:val="24"/>
          <w:szCs w:val="24"/>
          <w:shd w:fill="auto" w:val="clear"/>
          <w:vertAlign w:val="baseline"/>
          <w:rtl w:val="0"/>
        </w:rPr>
        <w:t xml:space="preserve"> Conduct an energy audit, renegotiate supplier contracts, and review staffing needs. Implement energy-saving measures like automated lighting and smart thermostats.</w:t>
      </w:r>
    </w:p>
    <w:p w:rsidR="00000000" w:rsidDel="00000000" w:rsidP="00000000" w:rsidRDefault="00000000" w:rsidRPr="00000000" w14:paraId="0000006C">
      <w:pPr>
        <w:numPr>
          <w:ilvl w:val="0"/>
          <w:numId w:val="19"/>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Targeted marketing:</w:t>
      </w:r>
      <w:r w:rsidDel="00000000" w:rsidR="00000000" w:rsidRPr="00000000">
        <w:rPr>
          <w:rFonts w:ascii="Arial" w:cs="Arial" w:eastAsia="Arial" w:hAnsi="Arial"/>
          <w:color w:val="000000"/>
          <w:sz w:val="24"/>
          <w:szCs w:val="24"/>
          <w:shd w:fill="auto" w:val="clear"/>
          <w:vertAlign w:val="baseline"/>
          <w:rtl w:val="0"/>
        </w:rPr>
        <w:t xml:space="preserve"> Partner with local travel bloggers for sponsored content, offer targeted email campaigns based on guest preferences, and run flash sales during off-peak seasons.</w:t>
      </w:r>
    </w:p>
    <w:p w:rsidR="00000000" w:rsidDel="00000000" w:rsidP="00000000" w:rsidRDefault="00000000" w:rsidRPr="00000000" w14:paraId="0000006D">
      <w:pPr>
        <w:numPr>
          <w:ilvl w:val="0"/>
          <w:numId w:val="19"/>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Dynamic pricing:</w:t>
      </w:r>
      <w:r w:rsidDel="00000000" w:rsidR="00000000" w:rsidRPr="00000000">
        <w:rPr>
          <w:rFonts w:ascii="Arial" w:cs="Arial" w:eastAsia="Arial" w:hAnsi="Arial"/>
          <w:color w:val="000000"/>
          <w:sz w:val="24"/>
          <w:szCs w:val="24"/>
          <w:shd w:fill="auto" w:val="clear"/>
          <w:vertAlign w:val="baseline"/>
          <w:rtl w:val="0"/>
        </w:rPr>
        <w:t xml:space="preserve"> Utilize revenue management software to adjust rates based on real-time demand, competitor pricing, and special events. Offer last-minute discounts and packages to fill vacancies.</w:t>
      </w:r>
    </w:p>
    <w:p w:rsidR="00000000" w:rsidDel="00000000" w:rsidP="00000000" w:rsidRDefault="00000000" w:rsidRPr="00000000" w14:paraId="0000006E">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Long-term:</w:t>
      </w:r>
      <w:r w:rsidDel="00000000" w:rsidR="00000000" w:rsidRPr="00000000">
        <w:rPr>
          <w:rtl w:val="0"/>
        </w:rPr>
      </w:r>
    </w:p>
    <w:p w:rsidR="00000000" w:rsidDel="00000000" w:rsidP="00000000" w:rsidRDefault="00000000" w:rsidRPr="00000000" w14:paraId="0000006F">
      <w:pPr>
        <w:numPr>
          <w:ilvl w:val="0"/>
          <w:numId w:val="20"/>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Revenue diversification:</w:t>
      </w:r>
      <w:r w:rsidDel="00000000" w:rsidR="00000000" w:rsidRPr="00000000">
        <w:rPr>
          <w:rFonts w:ascii="Arial" w:cs="Arial" w:eastAsia="Arial" w:hAnsi="Arial"/>
          <w:color w:val="000000"/>
          <w:sz w:val="24"/>
          <w:szCs w:val="24"/>
          <w:shd w:fill="auto" w:val="clear"/>
          <w:vertAlign w:val="baseline"/>
          <w:rtl w:val="0"/>
        </w:rPr>
        <w:t xml:space="preserve"> Expand beyond room rates by offering spa treatments, bike rentals, or partnerships with local restaurants for exclusive dining experiences. Explore event hosting (weddings, corporate retreats) for additional income streams.</w:t>
      </w:r>
    </w:p>
    <w:p w:rsidR="00000000" w:rsidDel="00000000" w:rsidP="00000000" w:rsidRDefault="00000000" w:rsidRPr="00000000" w14:paraId="00000070">
      <w:pPr>
        <w:numPr>
          <w:ilvl w:val="0"/>
          <w:numId w:val="20"/>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Debt management:</w:t>
      </w:r>
      <w:r w:rsidDel="00000000" w:rsidR="00000000" w:rsidRPr="00000000">
        <w:rPr>
          <w:rFonts w:ascii="Arial" w:cs="Arial" w:eastAsia="Arial" w:hAnsi="Arial"/>
          <w:color w:val="000000"/>
          <w:sz w:val="24"/>
          <w:szCs w:val="24"/>
          <w:shd w:fill="auto" w:val="clear"/>
          <w:vertAlign w:val="baseline"/>
          <w:rtl w:val="0"/>
        </w:rPr>
        <w:t xml:space="preserve"> Renegotiate loan terms with creditors, consider refinancing options, or explore debt consolidation. Develop a clear debt repayment plan to improve financial stability.</w:t>
      </w:r>
    </w:p>
    <w:p w:rsidR="00000000" w:rsidDel="00000000" w:rsidP="00000000" w:rsidRDefault="00000000" w:rsidRPr="00000000" w14:paraId="00000071">
      <w:pPr>
        <w:numPr>
          <w:ilvl w:val="0"/>
          <w:numId w:val="20"/>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Seek investment:</w:t>
      </w:r>
      <w:r w:rsidDel="00000000" w:rsidR="00000000" w:rsidRPr="00000000">
        <w:rPr>
          <w:rFonts w:ascii="Arial" w:cs="Arial" w:eastAsia="Arial" w:hAnsi="Arial"/>
          <w:color w:val="000000"/>
          <w:sz w:val="24"/>
          <w:szCs w:val="24"/>
          <w:shd w:fill="auto" w:val="clear"/>
          <w:vertAlign w:val="baseline"/>
          <w:rtl w:val="0"/>
        </w:rPr>
        <w:t xml:space="preserve"> Depending on long-term vision, consider partnerships with local businesses, franchise opportunities, or equity crowdfunding to support larger renovations or expansion plans.</w:t>
      </w:r>
    </w:p>
    <w:p w:rsidR="00000000" w:rsidDel="00000000" w:rsidP="00000000" w:rsidRDefault="00000000" w:rsidRPr="00000000" w14:paraId="00000072">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C. Weathering the Storm:</w:t>
      </w:r>
      <w:r w:rsidDel="00000000" w:rsidR="00000000" w:rsidRPr="00000000">
        <w:rPr>
          <w:rtl w:val="0"/>
        </w:rPr>
      </w:r>
    </w:p>
    <w:p w:rsidR="00000000" w:rsidDel="00000000" w:rsidP="00000000" w:rsidRDefault="00000000" w:rsidRPr="00000000" w14:paraId="00000073">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Potential Risks:</w:t>
      </w:r>
      <w:r w:rsidDel="00000000" w:rsidR="00000000" w:rsidRPr="00000000">
        <w:rPr>
          <w:rtl w:val="0"/>
        </w:rPr>
      </w:r>
    </w:p>
    <w:p w:rsidR="00000000" w:rsidDel="00000000" w:rsidP="00000000" w:rsidRDefault="00000000" w:rsidRPr="00000000" w14:paraId="00000074">
      <w:pPr>
        <w:numPr>
          <w:ilvl w:val="0"/>
          <w:numId w:val="21"/>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Construction delays and budget overruns</w:t>
      </w:r>
    </w:p>
    <w:p w:rsidR="00000000" w:rsidDel="00000000" w:rsidP="00000000" w:rsidRDefault="00000000" w:rsidRPr="00000000" w14:paraId="00000075">
      <w:pPr>
        <w:numPr>
          <w:ilvl w:val="0"/>
          <w:numId w:val="21"/>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Changes in economic conditions</w:t>
      </w:r>
    </w:p>
    <w:p w:rsidR="00000000" w:rsidDel="00000000" w:rsidP="00000000" w:rsidRDefault="00000000" w:rsidRPr="00000000" w14:paraId="00000076">
      <w:pPr>
        <w:numPr>
          <w:ilvl w:val="0"/>
          <w:numId w:val="21"/>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Competition from new entrants</w:t>
      </w:r>
    </w:p>
    <w:p w:rsidR="00000000" w:rsidDel="00000000" w:rsidP="00000000" w:rsidRDefault="00000000" w:rsidRPr="00000000" w14:paraId="00000077">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Mitigation Strategies:</w:t>
      </w:r>
      <w:r w:rsidDel="00000000" w:rsidR="00000000" w:rsidRPr="00000000">
        <w:rPr>
          <w:rtl w:val="0"/>
        </w:rPr>
      </w:r>
    </w:p>
    <w:p w:rsidR="00000000" w:rsidDel="00000000" w:rsidP="00000000" w:rsidRDefault="00000000" w:rsidRPr="00000000" w14:paraId="00000078">
      <w:pPr>
        <w:numPr>
          <w:ilvl w:val="0"/>
          <w:numId w:val="22"/>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Conduct thorough planning, obtain competitive bids, and set realistic timelines and budgets for renovations.</w:t>
      </w:r>
    </w:p>
    <w:p w:rsidR="00000000" w:rsidDel="00000000" w:rsidP="00000000" w:rsidRDefault="00000000" w:rsidRPr="00000000" w14:paraId="00000079">
      <w:pPr>
        <w:numPr>
          <w:ilvl w:val="0"/>
          <w:numId w:val="22"/>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Regularly monitor economic trends and adjust pricing and marketing strategies accordingly.</w:t>
      </w:r>
    </w:p>
    <w:p w:rsidR="00000000" w:rsidDel="00000000" w:rsidP="00000000" w:rsidRDefault="00000000" w:rsidRPr="00000000" w14:paraId="0000007A">
      <w:pPr>
        <w:numPr>
          <w:ilvl w:val="0"/>
          <w:numId w:val="22"/>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Proactively research new entrants, identify their strengths and weaknesses, and differentiate The Seacrest Lodge through unique offerings, personalized service, and potential collaboration opportunities.</w:t>
      </w:r>
    </w:p>
    <w:p w:rsidR="00000000" w:rsidDel="00000000" w:rsidP="00000000" w:rsidRDefault="00000000" w:rsidRPr="00000000" w14:paraId="0000007B">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By implementing these practical initiatives, embracing data-driven decisions, and actively managing risks, The Seacrest Lodge can regain its footing, restore its reputation, and rewrite its legacy for generations to come.</w:t>
      </w:r>
    </w:p>
    <w:p w:rsidR="00000000" w:rsidDel="00000000" w:rsidP="00000000" w:rsidRDefault="00000000" w:rsidRPr="00000000" w14:paraId="0000007C">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VI. Implementation Plan: Charting the Course for Revival</w:t>
      </w:r>
      <w:r w:rsidDel="00000000" w:rsidR="00000000" w:rsidRPr="00000000">
        <w:rPr>
          <w:rtl w:val="0"/>
        </w:rPr>
      </w:r>
    </w:p>
    <w:p w:rsidR="00000000" w:rsidDel="00000000" w:rsidP="00000000" w:rsidRDefault="00000000" w:rsidRPr="00000000" w14:paraId="0000007D">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The revitalization of The Seacrest Lodge demands a meticulous action plan outlining key steps, resource allocation, and a robust monitoring system. Here's a framework to guide your implementation:</w:t>
      </w:r>
    </w:p>
    <w:p w:rsidR="00000000" w:rsidDel="00000000" w:rsidP="00000000" w:rsidRDefault="00000000" w:rsidRPr="00000000" w14:paraId="0000007E">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A. Prioritization and Phasing:</w:t>
      </w:r>
      <w:r w:rsidDel="00000000" w:rsidR="00000000" w:rsidRPr="00000000">
        <w:rPr>
          <w:rtl w:val="0"/>
        </w:rPr>
      </w:r>
    </w:p>
    <w:p w:rsidR="00000000" w:rsidDel="00000000" w:rsidP="00000000" w:rsidRDefault="00000000" w:rsidRPr="00000000" w14:paraId="0000007F">
      <w:pPr>
        <w:numPr>
          <w:ilvl w:val="0"/>
          <w:numId w:val="4"/>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Phase 1 (Short-term, 3-6 months):</w:t>
      </w:r>
      <w:r w:rsidDel="00000000" w:rsidR="00000000" w:rsidRPr="00000000">
        <w:rPr>
          <w:rFonts w:ascii="Arial" w:cs="Arial" w:eastAsia="Arial" w:hAnsi="Arial"/>
          <w:color w:val="000000"/>
          <w:sz w:val="24"/>
          <w:szCs w:val="24"/>
          <w:shd w:fill="auto" w:val="clear"/>
          <w:vertAlign w:val="baseline"/>
          <w:rtl w:val="0"/>
        </w:rPr>
        <w:t xml:space="preserve"> Focus on immediate improvements like cost optimization, targeted marketing, staff training, and curated guest experiences.</w:t>
      </w:r>
    </w:p>
    <w:p w:rsidR="00000000" w:rsidDel="00000000" w:rsidP="00000000" w:rsidRDefault="00000000" w:rsidRPr="00000000" w14:paraId="00000080">
      <w:pPr>
        <w:numPr>
          <w:ilvl w:val="0"/>
          <w:numId w:val="4"/>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Phase 2 (Mid-term, 6-12 months):</w:t>
      </w:r>
      <w:r w:rsidDel="00000000" w:rsidR="00000000" w:rsidRPr="00000000">
        <w:rPr>
          <w:rFonts w:ascii="Arial" w:cs="Arial" w:eastAsia="Arial" w:hAnsi="Arial"/>
          <w:color w:val="000000"/>
          <w:sz w:val="24"/>
          <w:szCs w:val="24"/>
          <w:shd w:fill="auto" w:val="clear"/>
          <w:vertAlign w:val="baseline"/>
          <w:rtl w:val="0"/>
        </w:rPr>
        <w:t xml:space="preserve"> Implement more substantial enhancements like technology upgrades, minor renovations, and revenue diversification initiatives.</w:t>
      </w:r>
    </w:p>
    <w:p w:rsidR="00000000" w:rsidDel="00000000" w:rsidP="00000000" w:rsidRDefault="00000000" w:rsidRPr="00000000" w14:paraId="00000081">
      <w:pPr>
        <w:numPr>
          <w:ilvl w:val="0"/>
          <w:numId w:val="4"/>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Phase 3 (Long-term, 12+ months):</w:t>
      </w:r>
      <w:r w:rsidDel="00000000" w:rsidR="00000000" w:rsidRPr="00000000">
        <w:rPr>
          <w:rFonts w:ascii="Arial" w:cs="Arial" w:eastAsia="Arial" w:hAnsi="Arial"/>
          <w:color w:val="000000"/>
          <w:sz w:val="24"/>
          <w:szCs w:val="24"/>
          <w:shd w:fill="auto" w:val="clear"/>
          <w:vertAlign w:val="baseline"/>
          <w:rtl w:val="0"/>
        </w:rPr>
        <w:t xml:space="preserve"> Address major renovations, explore debt management solutions, and consider expansion plans or investment opportunities.</w:t>
      </w:r>
    </w:p>
    <w:p w:rsidR="00000000" w:rsidDel="00000000" w:rsidP="00000000" w:rsidRDefault="00000000" w:rsidRPr="00000000" w14:paraId="00000082">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 </w:t>
      </w:r>
    </w:p>
    <w:p w:rsidR="00000000" w:rsidDel="00000000" w:rsidP="00000000" w:rsidRDefault="00000000" w:rsidRPr="00000000" w14:paraId="00000083">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tl w:val="0"/>
        </w:rPr>
      </w:r>
    </w:p>
    <w:p w:rsidR="00000000" w:rsidDel="00000000" w:rsidP="00000000" w:rsidRDefault="00000000" w:rsidRPr="00000000" w14:paraId="00000084">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tl w:val="0"/>
        </w:rPr>
      </w:r>
    </w:p>
    <w:p w:rsidR="00000000" w:rsidDel="00000000" w:rsidP="00000000" w:rsidRDefault="00000000" w:rsidRPr="00000000" w14:paraId="00000085">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B. Actionable Steps and Resource Allocation:</w:t>
      </w:r>
      <w:r w:rsidDel="00000000" w:rsidR="00000000" w:rsidRPr="00000000">
        <w:rPr>
          <w:rtl w:val="0"/>
        </w:rPr>
      </w:r>
    </w:p>
    <w:tbl>
      <w:tblPr>
        <w:tblStyle w:val="Table1"/>
        <w:tblW w:w="10380.0" w:type="dxa"/>
        <w:jc w:val="left"/>
        <w:tblInd w:w="-14.0" w:type="dxa"/>
        <w:tblLayout w:type="fixed"/>
        <w:tblLook w:val="0000"/>
      </w:tblPr>
      <w:tblGrid>
        <w:gridCol w:w="4232"/>
        <w:gridCol w:w="983"/>
        <w:gridCol w:w="2826"/>
        <w:gridCol w:w="2339"/>
        <w:tblGridChange w:id="0">
          <w:tblGrid>
            <w:gridCol w:w="4232"/>
            <w:gridCol w:w="983"/>
            <w:gridCol w:w="2826"/>
            <w:gridCol w:w="2339"/>
          </w:tblGrid>
        </w:tblGridChange>
      </w:tblGrid>
      <w:tr>
        <w:trPr>
          <w:cantSplit w:val="0"/>
          <w:trHeight w:val="1" w:hRule="atLeast"/>
          <w:tblHeader w:val="0"/>
        </w:trPr>
        <w:tc>
          <w:tcPr>
            <w:tcBorders>
              <w:top w:color="e3e3e3" w:space="0" w:sz="6"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86">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Action Step</w:t>
            </w:r>
            <w:r w:rsidDel="00000000" w:rsidR="00000000" w:rsidRPr="00000000">
              <w:rPr>
                <w:rtl w:val="0"/>
              </w:rPr>
            </w:r>
          </w:p>
        </w:tc>
        <w:tc>
          <w:tcPr>
            <w:tcBorders>
              <w:top w:color="e3e3e3" w:space="0" w:sz="6"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87">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Timeline</w:t>
            </w:r>
            <w:r w:rsidDel="00000000" w:rsidR="00000000" w:rsidRPr="00000000">
              <w:rPr>
                <w:rtl w:val="0"/>
              </w:rPr>
            </w:r>
          </w:p>
        </w:tc>
        <w:tc>
          <w:tcPr>
            <w:tcBorders>
              <w:top w:color="e3e3e3" w:space="0" w:sz="6"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88">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Resources</w:t>
            </w:r>
            <w:r w:rsidDel="00000000" w:rsidR="00000000" w:rsidRPr="00000000">
              <w:rPr>
                <w:rtl w:val="0"/>
              </w:rPr>
            </w:r>
          </w:p>
        </w:tc>
        <w:tc>
          <w:tcPr>
            <w:tcBorders>
              <w:top w:color="e3e3e3" w:space="0" w:sz="6" w:val="single"/>
              <w:left w:color="e3e3e3" w:space="0" w:sz="6" w:val="single"/>
              <w:bottom w:color="e3e3e3" w:space="0" w:sz="6" w:val="single"/>
              <w:right w:color="e3e3e3" w:space="0" w:sz="6" w:val="single"/>
            </w:tcBorders>
            <w:shd w:fill="ffffff" w:val="clear"/>
            <w:tcMar>
              <w:left w:w="14.0" w:type="dxa"/>
              <w:right w:w="14.0" w:type="dxa"/>
            </w:tcMar>
            <w:vAlign w:val="bottom"/>
          </w:tcPr>
          <w:p w:rsidR="00000000" w:rsidDel="00000000" w:rsidP="00000000" w:rsidRDefault="00000000" w:rsidRPr="00000000" w14:paraId="00000089">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Responsible Party</w:t>
            </w:r>
            <w:r w:rsidDel="00000000" w:rsidR="00000000" w:rsidRPr="00000000">
              <w:rPr>
                <w:rtl w:val="0"/>
              </w:rPr>
            </w:r>
          </w:p>
        </w:tc>
      </w:tr>
      <w:tr>
        <w:trPr>
          <w:cantSplit w:val="0"/>
          <w:trHeight w:val="1" w:hRule="atLeast"/>
          <w:tblHeader w:val="0"/>
        </w:trPr>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8A">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Phase 1:</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8B">
            <w:pPr>
              <w:spacing w:after="160" w:before="0" w:line="259" w:lineRule="auto"/>
              <w:ind w:left="0" w:right="0" w:firstLine="0"/>
              <w:jc w:val="both"/>
              <w:rPr>
                <w:rFonts w:ascii="Arial" w:cs="Arial" w:eastAsia="Arial" w:hAnsi="Arial"/>
                <w:color w:val="000000"/>
                <w:sz w:val="22"/>
                <w:szCs w:val="22"/>
                <w:shd w:fill="auto" w:val="clear"/>
                <w:vertAlign w:val="baseline"/>
              </w:rPr>
            </w:pP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8C">
            <w:pPr>
              <w:spacing w:after="160" w:before="0" w:line="259" w:lineRule="auto"/>
              <w:ind w:left="0" w:right="0" w:firstLine="0"/>
              <w:jc w:val="both"/>
              <w:rPr>
                <w:rFonts w:ascii="Arial" w:cs="Arial" w:eastAsia="Arial" w:hAnsi="Arial"/>
                <w:color w:val="000000"/>
                <w:sz w:val="22"/>
                <w:szCs w:val="22"/>
                <w:shd w:fill="auto" w:val="clear"/>
                <w:vertAlign w:val="baseline"/>
              </w:rPr>
            </w:pPr>
            <w:r w:rsidDel="00000000" w:rsidR="00000000" w:rsidRPr="00000000">
              <w:rPr>
                <w:rtl w:val="0"/>
              </w:rPr>
            </w:r>
          </w:p>
        </w:tc>
        <w:tc>
          <w:tcPr>
            <w:tcBorders>
              <w:top w:color="e3e3e3" w:space="0" w:sz="4" w:val="single"/>
              <w:left w:color="e3e3e3" w:space="0" w:sz="6" w:val="single"/>
              <w:bottom w:color="e3e3e3" w:space="0" w:sz="6" w:val="single"/>
              <w:right w:color="e3e3e3" w:space="0" w:sz="6" w:val="single"/>
            </w:tcBorders>
            <w:shd w:fill="ffffff" w:val="clear"/>
            <w:tcMar>
              <w:left w:w="14.0" w:type="dxa"/>
              <w:right w:w="14.0" w:type="dxa"/>
            </w:tcMar>
            <w:vAlign w:val="bottom"/>
          </w:tcPr>
          <w:p w:rsidR="00000000" w:rsidDel="00000000" w:rsidP="00000000" w:rsidRDefault="00000000" w:rsidRPr="00000000" w14:paraId="0000008D">
            <w:pPr>
              <w:spacing w:after="160" w:before="0" w:line="259" w:lineRule="auto"/>
              <w:ind w:left="0" w:right="0" w:firstLine="0"/>
              <w:jc w:val="both"/>
              <w:rPr>
                <w:rFonts w:ascii="Arial" w:cs="Arial" w:eastAsia="Arial" w:hAnsi="Arial"/>
                <w:color w:val="000000"/>
                <w:sz w:val="22"/>
                <w:szCs w:val="22"/>
                <w:shd w:fill="auto" w:val="clear"/>
                <w:vertAlign w:val="baseline"/>
              </w:rPr>
            </w:pPr>
            <w:r w:rsidDel="00000000" w:rsidR="00000000" w:rsidRPr="00000000">
              <w:rPr>
                <w:rtl w:val="0"/>
              </w:rPr>
            </w:r>
          </w:p>
        </w:tc>
      </w:tr>
      <w:tr>
        <w:trPr>
          <w:cantSplit w:val="0"/>
          <w:trHeight w:val="1" w:hRule="atLeast"/>
          <w:tblHeader w:val="0"/>
        </w:trPr>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8E">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Conduct energy audit &amp; renegotiate contracts</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8F">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1 month</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90">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Staff, consultant</w:t>
            </w:r>
            <w:r w:rsidDel="00000000" w:rsidR="00000000" w:rsidRPr="00000000">
              <w:rPr>
                <w:rtl w:val="0"/>
              </w:rPr>
            </w:r>
          </w:p>
        </w:tc>
        <w:tc>
          <w:tcPr>
            <w:tcBorders>
              <w:top w:color="e3e3e3" w:space="0" w:sz="4" w:val="single"/>
              <w:left w:color="e3e3e3" w:space="0" w:sz="6" w:val="single"/>
              <w:bottom w:color="e3e3e3" w:space="0" w:sz="6" w:val="single"/>
              <w:right w:color="e3e3e3" w:space="0" w:sz="6" w:val="single"/>
            </w:tcBorders>
            <w:shd w:fill="ffffff" w:val="clear"/>
            <w:tcMar>
              <w:left w:w="14.0" w:type="dxa"/>
              <w:right w:w="14.0" w:type="dxa"/>
            </w:tcMar>
            <w:vAlign w:val="bottom"/>
          </w:tcPr>
          <w:p w:rsidR="00000000" w:rsidDel="00000000" w:rsidP="00000000" w:rsidRDefault="00000000" w:rsidRPr="00000000" w14:paraId="00000091">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Operations Manager</w:t>
            </w:r>
            <w:r w:rsidDel="00000000" w:rsidR="00000000" w:rsidRPr="00000000">
              <w:rPr>
                <w:rtl w:val="0"/>
              </w:rPr>
            </w:r>
          </w:p>
        </w:tc>
      </w:tr>
      <w:tr>
        <w:trPr>
          <w:cantSplit w:val="0"/>
          <w:trHeight w:val="1" w:hRule="atLeast"/>
          <w:tblHeader w:val="0"/>
        </w:trPr>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92">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Launch targeted marketing campaigns</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93">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Ongoing</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94">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Marketing budget, staff</w:t>
            </w:r>
            <w:r w:rsidDel="00000000" w:rsidR="00000000" w:rsidRPr="00000000">
              <w:rPr>
                <w:rtl w:val="0"/>
              </w:rPr>
            </w:r>
          </w:p>
        </w:tc>
        <w:tc>
          <w:tcPr>
            <w:tcBorders>
              <w:top w:color="e3e3e3" w:space="0" w:sz="4" w:val="single"/>
              <w:left w:color="e3e3e3" w:space="0" w:sz="6" w:val="single"/>
              <w:bottom w:color="e3e3e3" w:space="0" w:sz="6" w:val="single"/>
              <w:right w:color="e3e3e3" w:space="0" w:sz="6" w:val="single"/>
            </w:tcBorders>
            <w:shd w:fill="ffffff" w:val="clear"/>
            <w:tcMar>
              <w:left w:w="14.0" w:type="dxa"/>
              <w:right w:w="14.0" w:type="dxa"/>
            </w:tcMar>
            <w:vAlign w:val="bottom"/>
          </w:tcPr>
          <w:p w:rsidR="00000000" w:rsidDel="00000000" w:rsidP="00000000" w:rsidRDefault="00000000" w:rsidRPr="00000000" w14:paraId="00000095">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Marketing Manager</w:t>
            </w:r>
            <w:r w:rsidDel="00000000" w:rsidR="00000000" w:rsidRPr="00000000">
              <w:rPr>
                <w:rtl w:val="0"/>
              </w:rPr>
            </w:r>
          </w:p>
        </w:tc>
      </w:tr>
      <w:tr>
        <w:trPr>
          <w:cantSplit w:val="0"/>
          <w:trHeight w:val="1" w:hRule="atLeast"/>
          <w:tblHeader w:val="0"/>
        </w:trPr>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96">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Implement staff training program</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97">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2 months</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98">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Training budget, external trainers</w:t>
            </w:r>
            <w:r w:rsidDel="00000000" w:rsidR="00000000" w:rsidRPr="00000000">
              <w:rPr>
                <w:rtl w:val="0"/>
              </w:rPr>
            </w:r>
          </w:p>
        </w:tc>
        <w:tc>
          <w:tcPr>
            <w:tcBorders>
              <w:top w:color="e3e3e3" w:space="0" w:sz="4" w:val="single"/>
              <w:left w:color="e3e3e3" w:space="0" w:sz="6" w:val="single"/>
              <w:bottom w:color="e3e3e3" w:space="0" w:sz="6" w:val="single"/>
              <w:right w:color="e3e3e3" w:space="0" w:sz="6" w:val="single"/>
            </w:tcBorders>
            <w:shd w:fill="ffffff" w:val="clear"/>
            <w:tcMar>
              <w:left w:w="14.0" w:type="dxa"/>
              <w:right w:w="14.0" w:type="dxa"/>
            </w:tcMar>
            <w:vAlign w:val="bottom"/>
          </w:tcPr>
          <w:p w:rsidR="00000000" w:rsidDel="00000000" w:rsidP="00000000" w:rsidRDefault="00000000" w:rsidRPr="00000000" w14:paraId="00000099">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Human Resources Manager</w:t>
            </w:r>
            <w:r w:rsidDel="00000000" w:rsidR="00000000" w:rsidRPr="00000000">
              <w:rPr>
                <w:rtl w:val="0"/>
              </w:rPr>
            </w:r>
          </w:p>
        </w:tc>
      </w:tr>
      <w:tr>
        <w:trPr>
          <w:cantSplit w:val="0"/>
          <w:trHeight w:val="1" w:hRule="atLeast"/>
          <w:tblHeader w:val="0"/>
        </w:trPr>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9A">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Partner with local businesses for experiences</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9B">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2 months</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9C">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Marketing budget, staff</w:t>
            </w:r>
            <w:r w:rsidDel="00000000" w:rsidR="00000000" w:rsidRPr="00000000">
              <w:rPr>
                <w:rtl w:val="0"/>
              </w:rPr>
            </w:r>
          </w:p>
        </w:tc>
        <w:tc>
          <w:tcPr>
            <w:tcBorders>
              <w:top w:color="e3e3e3" w:space="0" w:sz="4" w:val="single"/>
              <w:left w:color="e3e3e3" w:space="0" w:sz="6" w:val="single"/>
              <w:bottom w:color="e3e3e3" w:space="0" w:sz="6" w:val="single"/>
              <w:right w:color="e3e3e3" w:space="0" w:sz="6" w:val="single"/>
            </w:tcBorders>
            <w:shd w:fill="ffffff" w:val="clear"/>
            <w:tcMar>
              <w:left w:w="14.0" w:type="dxa"/>
              <w:right w:w="14.0" w:type="dxa"/>
            </w:tcMar>
            <w:vAlign w:val="bottom"/>
          </w:tcPr>
          <w:p w:rsidR="00000000" w:rsidDel="00000000" w:rsidP="00000000" w:rsidRDefault="00000000" w:rsidRPr="00000000" w14:paraId="0000009D">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Guest Experience Manager</w:t>
            </w:r>
            <w:r w:rsidDel="00000000" w:rsidR="00000000" w:rsidRPr="00000000">
              <w:rPr>
                <w:rtl w:val="0"/>
              </w:rPr>
            </w:r>
          </w:p>
        </w:tc>
      </w:tr>
      <w:tr>
        <w:trPr>
          <w:cantSplit w:val="0"/>
          <w:trHeight w:val="1" w:hRule="atLeast"/>
          <w:tblHeader w:val="0"/>
        </w:trPr>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9E">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Phase 2:</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9F">
            <w:pPr>
              <w:spacing w:after="160" w:before="0" w:line="259" w:lineRule="auto"/>
              <w:ind w:left="0" w:right="0" w:firstLine="0"/>
              <w:jc w:val="both"/>
              <w:rPr>
                <w:rFonts w:ascii="Arial" w:cs="Arial" w:eastAsia="Arial" w:hAnsi="Arial"/>
                <w:color w:val="000000"/>
                <w:sz w:val="22"/>
                <w:szCs w:val="22"/>
                <w:shd w:fill="auto" w:val="clear"/>
                <w:vertAlign w:val="baseline"/>
              </w:rPr>
            </w:pP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A0">
            <w:pPr>
              <w:spacing w:after="160" w:before="0" w:line="259" w:lineRule="auto"/>
              <w:ind w:left="0" w:right="0" w:firstLine="0"/>
              <w:jc w:val="both"/>
              <w:rPr>
                <w:rFonts w:ascii="Arial" w:cs="Arial" w:eastAsia="Arial" w:hAnsi="Arial"/>
                <w:color w:val="000000"/>
                <w:sz w:val="22"/>
                <w:szCs w:val="22"/>
                <w:shd w:fill="auto" w:val="clear"/>
                <w:vertAlign w:val="baseline"/>
              </w:rPr>
            </w:pPr>
            <w:r w:rsidDel="00000000" w:rsidR="00000000" w:rsidRPr="00000000">
              <w:rPr>
                <w:rtl w:val="0"/>
              </w:rPr>
            </w:r>
          </w:p>
        </w:tc>
        <w:tc>
          <w:tcPr>
            <w:tcBorders>
              <w:top w:color="e3e3e3" w:space="0" w:sz="4" w:val="single"/>
              <w:left w:color="e3e3e3" w:space="0" w:sz="6" w:val="single"/>
              <w:bottom w:color="e3e3e3" w:space="0" w:sz="6" w:val="single"/>
              <w:right w:color="e3e3e3" w:space="0" w:sz="6" w:val="single"/>
            </w:tcBorders>
            <w:shd w:fill="ffffff" w:val="clear"/>
            <w:tcMar>
              <w:left w:w="14.0" w:type="dxa"/>
              <w:right w:w="14.0" w:type="dxa"/>
            </w:tcMar>
            <w:vAlign w:val="bottom"/>
          </w:tcPr>
          <w:p w:rsidR="00000000" w:rsidDel="00000000" w:rsidP="00000000" w:rsidRDefault="00000000" w:rsidRPr="00000000" w14:paraId="000000A1">
            <w:pPr>
              <w:spacing w:after="160" w:before="0" w:line="259" w:lineRule="auto"/>
              <w:ind w:left="0" w:right="0" w:firstLine="0"/>
              <w:jc w:val="both"/>
              <w:rPr>
                <w:rFonts w:ascii="Arial" w:cs="Arial" w:eastAsia="Arial" w:hAnsi="Arial"/>
                <w:color w:val="000000"/>
                <w:sz w:val="22"/>
                <w:szCs w:val="22"/>
                <w:shd w:fill="auto" w:val="clear"/>
                <w:vertAlign w:val="baseline"/>
              </w:rPr>
            </w:pPr>
            <w:r w:rsidDel="00000000" w:rsidR="00000000" w:rsidRPr="00000000">
              <w:rPr>
                <w:rtl w:val="0"/>
              </w:rPr>
            </w:r>
          </w:p>
        </w:tc>
      </w:tr>
      <w:tr>
        <w:trPr>
          <w:cantSplit w:val="0"/>
          <w:trHeight w:val="1" w:hRule="atLeast"/>
          <w:tblHeader w:val="0"/>
        </w:trPr>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A2">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Develop user-friendly mobile app</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A3">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6 months</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A4">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IT budget, software developers</w:t>
            </w:r>
            <w:r w:rsidDel="00000000" w:rsidR="00000000" w:rsidRPr="00000000">
              <w:rPr>
                <w:rtl w:val="0"/>
              </w:rPr>
            </w:r>
          </w:p>
        </w:tc>
        <w:tc>
          <w:tcPr>
            <w:tcBorders>
              <w:top w:color="e3e3e3" w:space="0" w:sz="4" w:val="single"/>
              <w:left w:color="e3e3e3" w:space="0" w:sz="6" w:val="single"/>
              <w:bottom w:color="e3e3e3" w:space="0" w:sz="6" w:val="single"/>
              <w:right w:color="e3e3e3" w:space="0" w:sz="6" w:val="single"/>
            </w:tcBorders>
            <w:shd w:fill="ffffff" w:val="clear"/>
            <w:tcMar>
              <w:left w:w="14.0" w:type="dxa"/>
              <w:right w:w="14.0" w:type="dxa"/>
            </w:tcMar>
            <w:vAlign w:val="bottom"/>
          </w:tcPr>
          <w:p w:rsidR="00000000" w:rsidDel="00000000" w:rsidP="00000000" w:rsidRDefault="00000000" w:rsidRPr="00000000" w14:paraId="000000A5">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IT Manager</w:t>
            </w:r>
            <w:r w:rsidDel="00000000" w:rsidR="00000000" w:rsidRPr="00000000">
              <w:rPr>
                <w:rtl w:val="0"/>
              </w:rPr>
            </w:r>
          </w:p>
        </w:tc>
      </w:tr>
      <w:tr>
        <w:trPr>
          <w:cantSplit w:val="0"/>
          <w:trHeight w:val="1" w:hRule="atLeast"/>
          <w:tblHeader w:val="0"/>
        </w:trPr>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A6">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Implement revenue management software</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A7">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4 months</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A8">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Technology budget, consultant</w:t>
            </w:r>
            <w:r w:rsidDel="00000000" w:rsidR="00000000" w:rsidRPr="00000000">
              <w:rPr>
                <w:rtl w:val="0"/>
              </w:rPr>
            </w:r>
          </w:p>
        </w:tc>
        <w:tc>
          <w:tcPr>
            <w:tcBorders>
              <w:top w:color="e3e3e3" w:space="0" w:sz="4" w:val="single"/>
              <w:left w:color="e3e3e3" w:space="0" w:sz="6" w:val="single"/>
              <w:bottom w:color="e3e3e3" w:space="0" w:sz="6" w:val="single"/>
              <w:right w:color="e3e3e3" w:space="0" w:sz="6" w:val="single"/>
            </w:tcBorders>
            <w:shd w:fill="ffffff" w:val="clear"/>
            <w:tcMar>
              <w:left w:w="14.0" w:type="dxa"/>
              <w:right w:w="14.0" w:type="dxa"/>
            </w:tcMar>
            <w:vAlign w:val="bottom"/>
          </w:tcPr>
          <w:p w:rsidR="00000000" w:rsidDel="00000000" w:rsidP="00000000" w:rsidRDefault="00000000" w:rsidRPr="00000000" w14:paraId="000000A9">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Operations Manager</w:t>
            </w:r>
            <w:r w:rsidDel="00000000" w:rsidR="00000000" w:rsidRPr="00000000">
              <w:rPr>
                <w:rtl w:val="0"/>
              </w:rPr>
            </w:r>
          </w:p>
        </w:tc>
      </w:tr>
      <w:tr>
        <w:trPr>
          <w:cantSplit w:val="0"/>
          <w:trHeight w:val="1" w:hRule="atLeast"/>
          <w:tblHeader w:val="0"/>
        </w:trPr>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AA">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Partner with local restaurants for dining options</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AB">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3 months</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AC">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Marketing budget, staff</w:t>
            </w:r>
            <w:r w:rsidDel="00000000" w:rsidR="00000000" w:rsidRPr="00000000">
              <w:rPr>
                <w:rtl w:val="0"/>
              </w:rPr>
            </w:r>
          </w:p>
        </w:tc>
        <w:tc>
          <w:tcPr>
            <w:tcBorders>
              <w:top w:color="e3e3e3" w:space="0" w:sz="4" w:val="single"/>
              <w:left w:color="e3e3e3" w:space="0" w:sz="6" w:val="single"/>
              <w:bottom w:color="e3e3e3" w:space="0" w:sz="6" w:val="single"/>
              <w:right w:color="e3e3e3" w:space="0" w:sz="6" w:val="single"/>
            </w:tcBorders>
            <w:shd w:fill="ffffff" w:val="clear"/>
            <w:tcMar>
              <w:left w:w="14.0" w:type="dxa"/>
              <w:right w:w="14.0" w:type="dxa"/>
            </w:tcMar>
            <w:vAlign w:val="bottom"/>
          </w:tcPr>
          <w:p w:rsidR="00000000" w:rsidDel="00000000" w:rsidP="00000000" w:rsidRDefault="00000000" w:rsidRPr="00000000" w14:paraId="000000AD">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Guest Experience Manager</w:t>
            </w:r>
            <w:r w:rsidDel="00000000" w:rsidR="00000000" w:rsidRPr="00000000">
              <w:rPr>
                <w:rtl w:val="0"/>
              </w:rPr>
            </w:r>
          </w:p>
        </w:tc>
      </w:tr>
      <w:tr>
        <w:trPr>
          <w:cantSplit w:val="0"/>
          <w:trHeight w:val="1" w:hRule="atLeast"/>
          <w:tblHeader w:val="0"/>
        </w:trPr>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AE">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Initiate minor renovations (common areas, bathrooms)</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AF">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6 months</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B0">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Renovation budget, contractors</w:t>
            </w:r>
            <w:r w:rsidDel="00000000" w:rsidR="00000000" w:rsidRPr="00000000">
              <w:rPr>
                <w:rtl w:val="0"/>
              </w:rPr>
            </w:r>
          </w:p>
        </w:tc>
        <w:tc>
          <w:tcPr>
            <w:tcBorders>
              <w:top w:color="e3e3e3" w:space="0" w:sz="4" w:val="single"/>
              <w:left w:color="e3e3e3" w:space="0" w:sz="6" w:val="single"/>
              <w:bottom w:color="e3e3e3" w:space="0" w:sz="6" w:val="single"/>
              <w:right w:color="e3e3e3" w:space="0" w:sz="6" w:val="single"/>
            </w:tcBorders>
            <w:shd w:fill="ffffff" w:val="clear"/>
            <w:tcMar>
              <w:left w:w="14.0" w:type="dxa"/>
              <w:right w:w="14.0" w:type="dxa"/>
            </w:tcMar>
            <w:vAlign w:val="bottom"/>
          </w:tcPr>
          <w:p w:rsidR="00000000" w:rsidDel="00000000" w:rsidP="00000000" w:rsidRDefault="00000000" w:rsidRPr="00000000" w14:paraId="000000B1">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Project Manager</w:t>
            </w:r>
            <w:r w:rsidDel="00000000" w:rsidR="00000000" w:rsidRPr="00000000">
              <w:rPr>
                <w:rtl w:val="0"/>
              </w:rPr>
            </w:r>
          </w:p>
        </w:tc>
      </w:tr>
      <w:tr>
        <w:trPr>
          <w:cantSplit w:val="0"/>
          <w:trHeight w:val="1" w:hRule="atLeast"/>
          <w:tblHeader w:val="0"/>
        </w:trPr>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B2">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Phase 3:</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B3">
            <w:pPr>
              <w:spacing w:after="160" w:before="0" w:line="259" w:lineRule="auto"/>
              <w:ind w:left="0" w:right="0" w:firstLine="0"/>
              <w:jc w:val="both"/>
              <w:rPr>
                <w:rFonts w:ascii="Arial" w:cs="Arial" w:eastAsia="Arial" w:hAnsi="Arial"/>
                <w:color w:val="000000"/>
                <w:sz w:val="22"/>
                <w:szCs w:val="22"/>
                <w:shd w:fill="auto" w:val="clear"/>
                <w:vertAlign w:val="baseline"/>
              </w:rPr>
            </w:pP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B4">
            <w:pPr>
              <w:spacing w:after="160" w:before="0" w:line="259" w:lineRule="auto"/>
              <w:ind w:left="0" w:right="0" w:firstLine="0"/>
              <w:jc w:val="both"/>
              <w:rPr>
                <w:rFonts w:ascii="Arial" w:cs="Arial" w:eastAsia="Arial" w:hAnsi="Arial"/>
                <w:color w:val="000000"/>
                <w:sz w:val="22"/>
                <w:szCs w:val="22"/>
                <w:shd w:fill="auto" w:val="clear"/>
                <w:vertAlign w:val="baseline"/>
              </w:rPr>
            </w:pPr>
            <w:r w:rsidDel="00000000" w:rsidR="00000000" w:rsidRPr="00000000">
              <w:rPr>
                <w:rtl w:val="0"/>
              </w:rPr>
            </w:r>
          </w:p>
        </w:tc>
        <w:tc>
          <w:tcPr>
            <w:tcBorders>
              <w:top w:color="e3e3e3" w:space="0" w:sz="4" w:val="single"/>
              <w:left w:color="e3e3e3" w:space="0" w:sz="6" w:val="single"/>
              <w:bottom w:color="e3e3e3" w:space="0" w:sz="6" w:val="single"/>
              <w:right w:color="e3e3e3" w:space="0" w:sz="6" w:val="single"/>
            </w:tcBorders>
            <w:shd w:fill="ffffff" w:val="clear"/>
            <w:tcMar>
              <w:left w:w="14.0" w:type="dxa"/>
              <w:right w:w="14.0" w:type="dxa"/>
            </w:tcMar>
            <w:vAlign w:val="bottom"/>
          </w:tcPr>
          <w:p w:rsidR="00000000" w:rsidDel="00000000" w:rsidP="00000000" w:rsidRDefault="00000000" w:rsidRPr="00000000" w14:paraId="000000B5">
            <w:pPr>
              <w:spacing w:after="160" w:before="0" w:line="259" w:lineRule="auto"/>
              <w:ind w:left="0" w:right="0" w:firstLine="0"/>
              <w:jc w:val="both"/>
              <w:rPr>
                <w:rFonts w:ascii="Arial" w:cs="Arial" w:eastAsia="Arial" w:hAnsi="Arial"/>
                <w:color w:val="000000"/>
                <w:sz w:val="22"/>
                <w:szCs w:val="22"/>
                <w:shd w:fill="auto" w:val="clear"/>
                <w:vertAlign w:val="baseline"/>
              </w:rPr>
            </w:pPr>
            <w:r w:rsidDel="00000000" w:rsidR="00000000" w:rsidRPr="00000000">
              <w:rPr>
                <w:rtl w:val="0"/>
              </w:rPr>
            </w:r>
          </w:p>
        </w:tc>
      </w:tr>
      <w:tr>
        <w:trPr>
          <w:cantSplit w:val="0"/>
          <w:trHeight w:val="1" w:hRule="atLeast"/>
          <w:tblHeader w:val="0"/>
        </w:trPr>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B6">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Conduct feasibility study for major renovations</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B7">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3 months</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B8">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Consultant, budget allocation</w:t>
            </w:r>
            <w:r w:rsidDel="00000000" w:rsidR="00000000" w:rsidRPr="00000000">
              <w:rPr>
                <w:rtl w:val="0"/>
              </w:rPr>
            </w:r>
          </w:p>
        </w:tc>
        <w:tc>
          <w:tcPr>
            <w:tcBorders>
              <w:top w:color="e3e3e3" w:space="0" w:sz="4" w:val="single"/>
              <w:left w:color="e3e3e3" w:space="0" w:sz="6" w:val="single"/>
              <w:bottom w:color="e3e3e3" w:space="0" w:sz="6" w:val="single"/>
              <w:right w:color="e3e3e3" w:space="0" w:sz="6" w:val="single"/>
            </w:tcBorders>
            <w:shd w:fill="ffffff" w:val="clear"/>
            <w:tcMar>
              <w:left w:w="14.0" w:type="dxa"/>
              <w:right w:w="14.0" w:type="dxa"/>
            </w:tcMar>
            <w:vAlign w:val="bottom"/>
          </w:tcPr>
          <w:p w:rsidR="00000000" w:rsidDel="00000000" w:rsidP="00000000" w:rsidRDefault="00000000" w:rsidRPr="00000000" w14:paraId="000000B9">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Executive Team</w:t>
            </w:r>
            <w:r w:rsidDel="00000000" w:rsidR="00000000" w:rsidRPr="00000000">
              <w:rPr>
                <w:rtl w:val="0"/>
              </w:rPr>
            </w:r>
          </w:p>
        </w:tc>
      </w:tr>
      <w:tr>
        <w:trPr>
          <w:cantSplit w:val="0"/>
          <w:trHeight w:val="1" w:hRule="atLeast"/>
          <w:tblHeader w:val="0"/>
        </w:trPr>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BA">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Explore debt management options</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BB">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Ongoing</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BC">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Financial Advisor, budget allocation</w:t>
            </w:r>
            <w:r w:rsidDel="00000000" w:rsidR="00000000" w:rsidRPr="00000000">
              <w:rPr>
                <w:rtl w:val="0"/>
              </w:rPr>
            </w:r>
          </w:p>
        </w:tc>
        <w:tc>
          <w:tcPr>
            <w:tcBorders>
              <w:top w:color="e3e3e3" w:space="0" w:sz="4" w:val="single"/>
              <w:left w:color="e3e3e3" w:space="0" w:sz="6" w:val="single"/>
              <w:bottom w:color="e3e3e3" w:space="0" w:sz="6" w:val="single"/>
              <w:right w:color="e3e3e3" w:space="0" w:sz="6" w:val="single"/>
            </w:tcBorders>
            <w:shd w:fill="ffffff" w:val="clear"/>
            <w:tcMar>
              <w:left w:w="14.0" w:type="dxa"/>
              <w:right w:w="14.0" w:type="dxa"/>
            </w:tcMar>
            <w:vAlign w:val="bottom"/>
          </w:tcPr>
          <w:p w:rsidR="00000000" w:rsidDel="00000000" w:rsidP="00000000" w:rsidRDefault="00000000" w:rsidRPr="00000000" w14:paraId="000000BD">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CFO</w:t>
            </w:r>
            <w:r w:rsidDel="00000000" w:rsidR="00000000" w:rsidRPr="00000000">
              <w:rPr>
                <w:rtl w:val="0"/>
              </w:rPr>
            </w:r>
          </w:p>
        </w:tc>
      </w:tr>
      <w:tr>
        <w:trPr>
          <w:cantSplit w:val="0"/>
          <w:trHeight w:val="1" w:hRule="atLeast"/>
          <w:tblHeader w:val="0"/>
        </w:trPr>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BE">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Investigate investment opportunities</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BF">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Ongoing</w:t>
            </w:r>
            <w:r w:rsidDel="00000000" w:rsidR="00000000" w:rsidRPr="00000000">
              <w:rPr>
                <w:rtl w:val="0"/>
              </w:rPr>
            </w:r>
          </w:p>
        </w:tc>
        <w:tc>
          <w:tcPr>
            <w:tcBorders>
              <w:top w:color="e3e3e3" w:space="0" w:sz="4" w:val="single"/>
              <w:left w:color="e3e3e3" w:space="0" w:sz="6" w:val="single"/>
              <w:bottom w:color="e3e3e3" w:space="0" w:sz="6" w:val="single"/>
              <w:right w:color="e3e3e3" w:space="0" w:sz="4" w:val="single"/>
            </w:tcBorders>
            <w:shd w:fill="ffffff" w:val="clear"/>
            <w:tcMar>
              <w:left w:w="14.0" w:type="dxa"/>
              <w:right w:w="14.0" w:type="dxa"/>
            </w:tcMar>
            <w:vAlign w:val="bottom"/>
          </w:tcPr>
          <w:p w:rsidR="00000000" w:rsidDel="00000000" w:rsidP="00000000" w:rsidRDefault="00000000" w:rsidRPr="00000000" w14:paraId="000000C0">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Financial Advisor, budget allocation</w:t>
            </w:r>
            <w:r w:rsidDel="00000000" w:rsidR="00000000" w:rsidRPr="00000000">
              <w:rPr>
                <w:rtl w:val="0"/>
              </w:rPr>
            </w:r>
          </w:p>
        </w:tc>
        <w:tc>
          <w:tcPr>
            <w:tcBorders>
              <w:top w:color="e3e3e3" w:space="0" w:sz="4" w:val="single"/>
              <w:left w:color="e3e3e3" w:space="0" w:sz="6" w:val="single"/>
              <w:bottom w:color="e3e3e3" w:space="0" w:sz="6" w:val="single"/>
              <w:right w:color="e3e3e3" w:space="0" w:sz="6" w:val="single"/>
            </w:tcBorders>
            <w:shd w:fill="ffffff" w:val="clear"/>
            <w:tcMar>
              <w:left w:w="14.0" w:type="dxa"/>
              <w:right w:w="14.0" w:type="dxa"/>
            </w:tcMar>
            <w:vAlign w:val="bottom"/>
          </w:tcPr>
          <w:p w:rsidR="00000000" w:rsidDel="00000000" w:rsidP="00000000" w:rsidRDefault="00000000" w:rsidRPr="00000000" w14:paraId="000000C1">
            <w:pPr>
              <w:spacing w:after="160" w:before="0" w:line="259" w:lineRule="auto"/>
              <w:ind w:left="0" w:right="0" w:firstLine="0"/>
              <w:jc w:val="both"/>
              <w:rPr>
                <w:rFonts w:ascii="Arial" w:cs="Arial" w:eastAsia="Arial" w:hAnsi="Arial"/>
                <w:color w:val="000000"/>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Executive Team</w:t>
            </w:r>
            <w:r w:rsidDel="00000000" w:rsidR="00000000" w:rsidRPr="00000000">
              <w:rPr>
                <w:rtl w:val="0"/>
              </w:rPr>
            </w:r>
          </w:p>
        </w:tc>
      </w:tr>
    </w:tbl>
    <w:p w:rsidR="00000000" w:rsidDel="00000000" w:rsidP="00000000" w:rsidRDefault="00000000" w:rsidRPr="00000000" w14:paraId="000000C2">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This format provides clear delineation between the phases, action steps, timelines, resources, and responsible parties involved in the implementation plan for The Seacrest Lodge's revival.</w:t>
      </w:r>
    </w:p>
    <w:p w:rsidR="00000000" w:rsidDel="00000000" w:rsidP="00000000" w:rsidRDefault="00000000" w:rsidRPr="00000000" w14:paraId="000000C3">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tl w:val="0"/>
        </w:rPr>
      </w:r>
    </w:p>
    <w:p w:rsidR="00000000" w:rsidDel="00000000" w:rsidP="00000000" w:rsidRDefault="00000000" w:rsidRPr="00000000" w14:paraId="000000C4">
      <w:pPr>
        <w:spacing w:after="160" w:before="0" w:line="259" w:lineRule="auto"/>
        <w:ind w:left="0" w:right="0" w:firstLine="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C. Monitoring and Evaluation:</w:t>
      </w:r>
      <w:r w:rsidDel="00000000" w:rsidR="00000000" w:rsidRPr="00000000">
        <w:rPr>
          <w:rtl w:val="0"/>
        </w:rPr>
      </w:r>
    </w:p>
    <w:p w:rsidR="00000000" w:rsidDel="00000000" w:rsidP="00000000" w:rsidRDefault="00000000" w:rsidRPr="00000000" w14:paraId="000000C5">
      <w:pPr>
        <w:numPr>
          <w:ilvl w:val="0"/>
          <w:numId w:val="7"/>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Track key performance indicators (KPIs) like occupancy rates, average room rate, customer satisfaction scores, and revenue streams.</w:t>
      </w:r>
    </w:p>
    <w:p w:rsidR="00000000" w:rsidDel="00000000" w:rsidP="00000000" w:rsidRDefault="00000000" w:rsidRPr="00000000" w14:paraId="000000C6">
      <w:pPr>
        <w:numPr>
          <w:ilvl w:val="0"/>
          <w:numId w:val="7"/>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Utilize analytics tools to measure the effectiveness of marketing campaigns, staff training programs, and new guest experiences.</w:t>
      </w:r>
    </w:p>
    <w:p w:rsidR="00000000" w:rsidDel="00000000" w:rsidP="00000000" w:rsidRDefault="00000000" w:rsidRPr="00000000" w14:paraId="000000C7">
      <w:pPr>
        <w:numPr>
          <w:ilvl w:val="0"/>
          <w:numId w:val="7"/>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Conduct regular guest surveys and focus groups to gather feedback and identify areas for improvement.</w:t>
      </w:r>
    </w:p>
    <w:p w:rsidR="00000000" w:rsidDel="00000000" w:rsidP="00000000" w:rsidRDefault="00000000" w:rsidRPr="00000000" w14:paraId="000000C8">
      <w:pPr>
        <w:numPr>
          <w:ilvl w:val="0"/>
          <w:numId w:val="7"/>
        </w:numPr>
        <w:spacing w:after="160" w:before="0" w:line="259" w:lineRule="auto"/>
        <w:ind w:left="720" w:right="0" w:hanging="360"/>
        <w:jc w:val="both"/>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Compare progress against defined milestones and adjust strategies based on data and feedback.</w:t>
      </w:r>
    </w:p>
    <w:p w:rsidR="00000000" w:rsidDel="00000000" w:rsidP="00000000" w:rsidRDefault="00000000" w:rsidRPr="00000000" w14:paraId="000000C9">
      <w:pPr>
        <w:spacing w:after="160" w:before="0" w:line="259" w:lineRule="auto"/>
        <w:ind w:left="0" w:right="0" w:firstLine="0"/>
        <w:jc w:val="left"/>
        <w:rPr>
          <w:rFonts w:ascii="Arial" w:cs="Arial" w:eastAsia="Arial" w:hAnsi="Arial"/>
          <w:b w:val="1"/>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Conclusion</w:t>
      </w:r>
    </w:p>
    <w:p w:rsidR="00000000" w:rsidDel="00000000" w:rsidP="00000000" w:rsidRDefault="00000000" w:rsidRPr="00000000" w14:paraId="000000CA">
      <w:pPr>
        <w:spacing w:after="160" w:before="0" w:line="259" w:lineRule="auto"/>
        <w:ind w:left="0" w:right="0" w:firstLine="0"/>
        <w:jc w:val="left"/>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In wrapping up, The Seacrest Lodge has some tough times to get through, but there's light at the end of the tunnel. By focusing on making guests really happy, getting the word out about the lodge in smarter ways, trying out new ways to make money, and keeping a close eye on the money coming in and going out, things can turn around.</w:t>
      </w:r>
    </w:p>
    <w:p w:rsidR="00000000" w:rsidDel="00000000" w:rsidP="00000000" w:rsidRDefault="00000000" w:rsidRPr="00000000" w14:paraId="000000CB">
      <w:pPr>
        <w:spacing w:after="160" w:before="0" w:line="259" w:lineRule="auto"/>
        <w:ind w:left="0" w:right="0" w:firstLine="0"/>
        <w:jc w:val="left"/>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It's going to be a team effort, with everyone working together and not giving up. If everyone pulls their weight and sticks to the plan, The Seacrest Lodge can bounce back and be the go-to spot along the coast once more, where guests come for unforgettable experiences and leave with big smiles on their faces.</w:t>
      </w:r>
    </w:p>
    <w:p w:rsidR="00000000" w:rsidDel="00000000" w:rsidP="00000000" w:rsidRDefault="00000000" w:rsidRPr="00000000" w14:paraId="000000CC">
      <w:pPr>
        <w:spacing w:after="160" w:before="0" w:line="259" w:lineRule="auto"/>
        <w:ind w:left="0" w:right="0" w:firstLine="0"/>
        <w:jc w:val="left"/>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 </w:t>
      </w:r>
    </w:p>
    <w:p w:rsidR="00000000" w:rsidDel="00000000" w:rsidP="00000000" w:rsidRDefault="00000000" w:rsidRPr="00000000" w14:paraId="000000CD">
      <w:pPr>
        <w:spacing w:after="160" w:before="0" w:line="259" w:lineRule="auto"/>
        <w:ind w:left="0" w:right="0" w:firstLine="0"/>
        <w:jc w:val="left"/>
        <w:rPr>
          <w:rFonts w:ascii="Arial" w:cs="Arial" w:eastAsia="Arial" w:hAnsi="Arial"/>
          <w:color w:val="000000"/>
          <w:sz w:val="24"/>
          <w:szCs w:val="24"/>
          <w:shd w:fill="auto" w:val="clear"/>
          <w:vertAlign w:val="baseline"/>
        </w:rPr>
      </w:pPr>
      <w:r w:rsidDel="00000000" w:rsidR="00000000" w:rsidRPr="00000000">
        <w:rPr>
          <w:rtl w:val="0"/>
        </w:rPr>
      </w:r>
    </w:p>
    <w:p w:rsidR="00000000" w:rsidDel="00000000" w:rsidP="00000000" w:rsidRDefault="00000000" w:rsidRPr="00000000" w14:paraId="000000CE">
      <w:pPr>
        <w:spacing w:after="160" w:before="0" w:line="259" w:lineRule="auto"/>
        <w:ind w:left="0" w:right="0" w:firstLine="0"/>
        <w:jc w:val="left"/>
        <w:rPr>
          <w:rFonts w:ascii="Arial" w:cs="Arial" w:eastAsia="Arial" w:hAnsi="Arial"/>
          <w:b w:val="1"/>
          <w:color w:val="000000"/>
          <w:sz w:val="24"/>
          <w:szCs w:val="24"/>
          <w:shd w:fill="auto" w:val="clear"/>
          <w:vertAlign w:val="baseline"/>
        </w:rPr>
      </w:pPr>
      <w:r w:rsidDel="00000000" w:rsidR="00000000" w:rsidRPr="00000000">
        <w:rPr>
          <w:rFonts w:ascii="Arial" w:cs="Arial" w:eastAsia="Arial" w:hAnsi="Arial"/>
          <w:b w:val="1"/>
          <w:color w:val="000000"/>
          <w:sz w:val="24"/>
          <w:szCs w:val="24"/>
          <w:shd w:fill="auto" w:val="clear"/>
          <w:vertAlign w:val="baseline"/>
          <w:rtl w:val="0"/>
        </w:rPr>
        <w:t xml:space="preserve">References:</w:t>
      </w:r>
    </w:p>
    <w:p w:rsidR="00000000" w:rsidDel="00000000" w:rsidP="00000000" w:rsidRDefault="00000000" w:rsidRPr="00000000" w14:paraId="000000CF">
      <w:pPr>
        <w:spacing w:after="160" w:before="0" w:line="259" w:lineRule="auto"/>
        <w:ind w:left="0" w:right="0" w:firstLine="0"/>
        <w:jc w:val="left"/>
        <w:rPr>
          <w:rFonts w:ascii="Arial" w:cs="Arial" w:eastAsia="Arial" w:hAnsi="Arial"/>
          <w:b w:val="1"/>
          <w:color w:val="000000"/>
          <w:sz w:val="24"/>
          <w:szCs w:val="24"/>
          <w:shd w:fill="auto" w:val="clear"/>
          <w:vertAlign w:val="baseline"/>
        </w:rPr>
      </w:pPr>
      <w:r w:rsidDel="00000000" w:rsidR="00000000" w:rsidRPr="00000000">
        <w:rPr>
          <w:rtl w:val="0"/>
        </w:rPr>
      </w:r>
    </w:p>
    <w:p w:rsidR="00000000" w:rsidDel="00000000" w:rsidP="00000000" w:rsidRDefault="00000000" w:rsidRPr="00000000" w14:paraId="000000D0">
      <w:pPr>
        <w:numPr>
          <w:ilvl w:val="0"/>
          <w:numId w:val="10"/>
        </w:numPr>
        <w:spacing w:after="160" w:before="0" w:line="259" w:lineRule="auto"/>
        <w:ind w:left="720" w:right="0" w:hanging="360"/>
        <w:jc w:val="left"/>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Reichelstein, S., &amp; Hemphill, M. T. (2009). The tourism and hospitality industry: A strategic management approach. Routledge. (Chapter on turnaround strategies in hospitality)</w:t>
      </w:r>
    </w:p>
    <w:p w:rsidR="00000000" w:rsidDel="00000000" w:rsidP="00000000" w:rsidRDefault="00000000" w:rsidRPr="00000000" w14:paraId="000000D1">
      <w:pPr>
        <w:numPr>
          <w:ilvl w:val="0"/>
          <w:numId w:val="10"/>
        </w:numPr>
        <w:spacing w:after="160" w:before="0" w:line="259" w:lineRule="auto"/>
        <w:ind w:left="720" w:right="0" w:hanging="360"/>
        <w:jc w:val="left"/>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shd w:fill="auto" w:val="clear"/>
          <w:vertAlign w:val="baseline"/>
          <w:rtl w:val="0"/>
        </w:rPr>
        <w:t xml:space="preserve">Babakus, E., &amp; Mangold, G. W. (1991). Service Quality: the Front</w:t>
      </w:r>
      <w:r w:rsidDel="00000000" w:rsidR="00000000" w:rsidRPr="00000000">
        <w:rPr>
          <w:rFonts w:ascii="Calibri" w:cs="Calibri" w:eastAsia="Calibri" w:hAnsi="Calibri"/>
          <w:color w:val="000000"/>
          <w:sz w:val="24"/>
          <w:szCs w:val="24"/>
          <w:shd w:fill="auto" w:val="clear"/>
          <w:vertAlign w:val="baseline"/>
          <w:rtl w:val="0"/>
        </w:rPr>
        <w:t xml:space="preserve">‐</w:t>
      </w:r>
      <w:r w:rsidDel="00000000" w:rsidR="00000000" w:rsidRPr="00000000">
        <w:rPr>
          <w:rFonts w:ascii="Arial" w:cs="Arial" w:eastAsia="Arial" w:hAnsi="Arial"/>
          <w:color w:val="000000"/>
          <w:sz w:val="24"/>
          <w:szCs w:val="24"/>
          <w:shd w:fill="auto" w:val="clear"/>
          <w:vertAlign w:val="baseline"/>
          <w:rtl w:val="0"/>
        </w:rPr>
        <w:t xml:space="preserve">stage vs. the Back</w:t>
      </w:r>
      <w:r w:rsidDel="00000000" w:rsidR="00000000" w:rsidRPr="00000000">
        <w:rPr>
          <w:rFonts w:ascii="Calibri" w:cs="Calibri" w:eastAsia="Calibri" w:hAnsi="Calibri"/>
          <w:color w:val="000000"/>
          <w:sz w:val="24"/>
          <w:szCs w:val="24"/>
          <w:shd w:fill="auto" w:val="clear"/>
          <w:vertAlign w:val="baseline"/>
          <w:rtl w:val="0"/>
        </w:rPr>
        <w:t xml:space="preserve">‐</w:t>
      </w:r>
      <w:r w:rsidDel="00000000" w:rsidR="00000000" w:rsidRPr="00000000">
        <w:rPr>
          <w:rFonts w:ascii="Arial" w:cs="Arial" w:eastAsia="Arial" w:hAnsi="Arial"/>
          <w:color w:val="000000"/>
          <w:sz w:val="24"/>
          <w:szCs w:val="24"/>
          <w:shd w:fill="auto" w:val="clear"/>
          <w:vertAlign w:val="baseline"/>
          <w:rtl w:val="0"/>
        </w:rPr>
        <w:t xml:space="preserve">stage Perspective. Journal of Services Marketing. (Focuses on service recovery strategies for customer satisfaction)</w:t>
      </w:r>
    </w:p>
    <w:p w:rsidR="00000000" w:rsidDel="00000000" w:rsidP="00000000" w:rsidRDefault="00000000" w:rsidRPr="00000000" w14:paraId="000000D2">
      <w:pPr>
        <w:numPr>
          <w:ilvl w:val="0"/>
          <w:numId w:val="10"/>
        </w:numPr>
        <w:spacing w:after="0" w:before="0" w:line="259" w:lineRule="auto"/>
        <w:ind w:left="720" w:right="0" w:hanging="360"/>
        <w:jc w:val="left"/>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u w:val="single"/>
          <w:shd w:fill="auto" w:val="clear"/>
          <w:vertAlign w:val="baseline"/>
          <w:rtl w:val="0"/>
        </w:rPr>
        <w:t xml:space="preserve">Grant, R. M. (2023). Contemporary strategy analysis: Text and cases (10th ed.). John Wiley &amp; Sons.</w:t>
      </w:r>
      <w:r w:rsidDel="00000000" w:rsidR="00000000" w:rsidRPr="00000000">
        <w:rPr>
          <w:rtl w:val="0"/>
        </w:rPr>
      </w:r>
    </w:p>
    <w:p w:rsidR="00000000" w:rsidDel="00000000" w:rsidP="00000000" w:rsidRDefault="00000000" w:rsidRPr="00000000" w14:paraId="000000D3">
      <w:pPr>
        <w:numPr>
          <w:ilvl w:val="0"/>
          <w:numId w:val="10"/>
        </w:numPr>
        <w:spacing w:after="0" w:before="0" w:line="259" w:lineRule="auto"/>
        <w:ind w:left="720" w:right="0" w:hanging="360"/>
        <w:jc w:val="left"/>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u w:val="single"/>
          <w:shd w:fill="auto" w:val="clear"/>
          <w:vertAlign w:val="baseline"/>
          <w:rtl w:val="0"/>
        </w:rPr>
        <w:t xml:space="preserve">Kotler, P., Keller, K. L., Burton, M., &amp; Opresnik, M. (2020). Marketing management (16th ed.). Pearson.</w:t>
      </w:r>
      <w:r w:rsidDel="00000000" w:rsidR="00000000" w:rsidRPr="00000000">
        <w:rPr>
          <w:rtl w:val="0"/>
        </w:rPr>
      </w:r>
    </w:p>
    <w:p w:rsidR="00000000" w:rsidDel="00000000" w:rsidP="00000000" w:rsidRDefault="00000000" w:rsidRPr="00000000" w14:paraId="000000D4">
      <w:pPr>
        <w:numPr>
          <w:ilvl w:val="0"/>
          <w:numId w:val="10"/>
        </w:numPr>
        <w:spacing w:after="0" w:before="0" w:line="259" w:lineRule="auto"/>
        <w:ind w:left="720" w:right="0" w:hanging="360"/>
        <w:jc w:val="left"/>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u w:val="single"/>
          <w:shd w:fill="auto" w:val="clear"/>
          <w:vertAlign w:val="baseline"/>
          <w:rtl w:val="0"/>
        </w:rPr>
        <w:t xml:space="preserve">Kim, W., &amp; Kim, Y. (2022). The impact of hotel online reviews on guests' revisit intention: A meta-analysis. International Journal of Hospitality Management, 106, 105361.</w:t>
      </w:r>
      <w:r w:rsidDel="00000000" w:rsidR="00000000" w:rsidRPr="00000000">
        <w:rPr>
          <w:rtl w:val="0"/>
        </w:rPr>
      </w:r>
    </w:p>
    <w:p w:rsidR="00000000" w:rsidDel="00000000" w:rsidP="00000000" w:rsidRDefault="00000000" w:rsidRPr="00000000" w14:paraId="000000D5">
      <w:pPr>
        <w:numPr>
          <w:ilvl w:val="0"/>
          <w:numId w:val="10"/>
        </w:numPr>
        <w:spacing w:after="0" w:before="0" w:line="259" w:lineRule="auto"/>
        <w:ind w:left="720" w:right="0" w:hanging="360"/>
        <w:jc w:val="left"/>
        <w:rPr>
          <w:rFonts w:ascii="Arial" w:cs="Arial" w:eastAsia="Arial" w:hAnsi="Arial"/>
          <w:color w:val="000000"/>
          <w:sz w:val="24"/>
          <w:szCs w:val="24"/>
          <w:shd w:fill="auto" w:val="clear"/>
          <w:vertAlign w:val="baseline"/>
        </w:rPr>
      </w:pPr>
      <w:r w:rsidDel="00000000" w:rsidR="00000000" w:rsidRPr="00000000">
        <w:rPr>
          <w:rFonts w:ascii="Arial" w:cs="Arial" w:eastAsia="Arial" w:hAnsi="Arial"/>
          <w:color w:val="000000"/>
          <w:sz w:val="24"/>
          <w:szCs w:val="24"/>
          <w:u w:val="single"/>
          <w:shd w:fill="auto" w:val="clear"/>
          <w:vertAlign w:val="baseline"/>
          <w:rtl w:val="0"/>
        </w:rPr>
        <w:t xml:space="preserve">Verhoef, A., Lemon, K. N., &amp; Bruggeman, J. (2021). Service design for customer engagement: A review and roadmap. Journal of Service Management, 32(3), 459-482.</w:t>
      </w:r>
      <w:r w:rsidDel="00000000" w:rsidR="00000000" w:rsidRPr="00000000">
        <w:rPr>
          <w:rtl w:val="0"/>
        </w:rPr>
      </w:r>
    </w:p>
    <w:p w:rsidR="00000000" w:rsidDel="00000000" w:rsidP="00000000" w:rsidRDefault="00000000" w:rsidRPr="00000000" w14:paraId="000000D6">
      <w:pPr>
        <w:numPr>
          <w:ilvl w:val="0"/>
          <w:numId w:val="10"/>
        </w:numPr>
        <w:spacing w:after="0" w:before="180" w:line="259" w:lineRule="auto"/>
        <w:ind w:left="720" w:right="0" w:hanging="360"/>
        <w:jc w:val="left"/>
        <w:rPr>
          <w:rFonts w:ascii="Arial" w:cs="Arial" w:eastAsia="Arial" w:hAnsi="Arial"/>
          <w:color w:val="000000"/>
          <w:sz w:val="24"/>
          <w:szCs w:val="24"/>
          <w:highlight w:val="white"/>
          <w:vertAlign w:val="baseline"/>
        </w:rPr>
      </w:pPr>
      <w:r w:rsidDel="00000000" w:rsidR="00000000" w:rsidRPr="00000000">
        <w:rPr>
          <w:rFonts w:ascii="Arial" w:cs="Arial" w:eastAsia="Arial" w:hAnsi="Arial"/>
          <w:color w:val="111111"/>
          <w:sz w:val="24"/>
          <w:szCs w:val="24"/>
          <w:highlight w:val="white"/>
          <w:vertAlign w:val="baseline"/>
          <w:rtl w:val="0"/>
        </w:rPr>
        <w:t xml:space="preserve">Andaleeb, S.S. and Hasan, K. (Ed.) (2016). </w:t>
      </w:r>
      <w:r w:rsidDel="00000000" w:rsidR="00000000" w:rsidRPr="00000000">
        <w:rPr>
          <w:rFonts w:ascii="Arial" w:cs="Arial" w:eastAsia="Arial" w:hAnsi="Arial"/>
          <w:i w:val="1"/>
          <w:color w:val="111111"/>
          <w:sz w:val="24"/>
          <w:szCs w:val="24"/>
          <w:highlight w:val="white"/>
          <w:vertAlign w:val="baseline"/>
          <w:rtl w:val="0"/>
        </w:rPr>
        <w:t xml:space="preserve">Strategic Marketing Management in Asia</w:t>
      </w:r>
      <w:r w:rsidDel="00000000" w:rsidR="00000000" w:rsidRPr="00000000">
        <w:rPr>
          <w:rFonts w:ascii="Arial" w:cs="Arial" w:eastAsia="Arial" w:hAnsi="Arial"/>
          <w:color w:val="111111"/>
          <w:sz w:val="24"/>
          <w:szCs w:val="24"/>
          <w:highlight w:val="white"/>
          <w:vertAlign w:val="baseline"/>
          <w:rtl w:val="0"/>
        </w:rPr>
        <w:t xml:space="preserve">. Emerald Group Publishing Limited.</w:t>
      </w:r>
      <w:r w:rsidDel="00000000" w:rsidR="00000000" w:rsidRPr="00000000">
        <w:rPr>
          <w:rtl w:val="0"/>
        </w:rPr>
      </w:r>
    </w:p>
    <w:p w:rsidR="00000000" w:rsidDel="00000000" w:rsidP="00000000" w:rsidRDefault="00000000" w:rsidRPr="00000000" w14:paraId="000000D7">
      <w:pPr>
        <w:numPr>
          <w:ilvl w:val="0"/>
          <w:numId w:val="10"/>
        </w:numPr>
        <w:spacing w:after="0" w:before="180" w:line="259" w:lineRule="auto"/>
        <w:ind w:left="720" w:right="0" w:hanging="360"/>
        <w:jc w:val="left"/>
        <w:rPr>
          <w:rFonts w:ascii="Arial" w:cs="Arial" w:eastAsia="Arial" w:hAnsi="Arial"/>
          <w:color w:val="000000"/>
          <w:sz w:val="24"/>
          <w:szCs w:val="24"/>
          <w:highlight w:val="white"/>
          <w:vertAlign w:val="baseline"/>
        </w:rPr>
      </w:pPr>
      <w:r w:rsidDel="00000000" w:rsidR="00000000" w:rsidRPr="00000000">
        <w:rPr>
          <w:rFonts w:ascii="Arial" w:cs="Arial" w:eastAsia="Arial" w:hAnsi="Arial"/>
          <w:color w:val="111111"/>
          <w:sz w:val="24"/>
          <w:szCs w:val="24"/>
          <w:highlight w:val="white"/>
          <w:vertAlign w:val="baseline"/>
          <w:rtl w:val="0"/>
        </w:rPr>
        <w:t xml:space="preserve">Anwar, S.F. (2012). </w:t>
      </w:r>
      <w:r w:rsidDel="00000000" w:rsidR="00000000" w:rsidRPr="00000000">
        <w:rPr>
          <w:rFonts w:ascii="Arial" w:cs="Arial" w:eastAsia="Arial" w:hAnsi="Arial"/>
          <w:i w:val="1"/>
          <w:color w:val="111111"/>
          <w:sz w:val="24"/>
          <w:szCs w:val="24"/>
          <w:highlight w:val="white"/>
          <w:vertAlign w:val="baseline"/>
          <w:rtl w:val="0"/>
        </w:rPr>
        <w:t xml:space="preserve">Future of Marketing</w:t>
      </w:r>
      <w:r w:rsidDel="00000000" w:rsidR="00000000" w:rsidRPr="00000000">
        <w:rPr>
          <w:rFonts w:ascii="Arial" w:cs="Arial" w:eastAsia="Arial" w:hAnsi="Arial"/>
          <w:color w:val="111111"/>
          <w:sz w:val="24"/>
          <w:szCs w:val="24"/>
          <w:highlight w:val="white"/>
          <w:vertAlign w:val="baseline"/>
          <w:rtl w:val="0"/>
        </w:rPr>
        <w:t xml:space="preserve">. Bangladesh Brand Forum, Leadership Summit Seminar Paper.</w:t>
      </w:r>
      <w:r w:rsidDel="00000000" w:rsidR="00000000" w:rsidRPr="00000000">
        <w:rPr>
          <w:rtl w:val="0"/>
        </w:rPr>
      </w:r>
    </w:p>
    <w:p w:rsidR="00000000" w:rsidDel="00000000" w:rsidP="00000000" w:rsidRDefault="00000000" w:rsidRPr="00000000" w14:paraId="000000D8">
      <w:pPr>
        <w:numPr>
          <w:ilvl w:val="0"/>
          <w:numId w:val="10"/>
        </w:numPr>
        <w:spacing w:after="0" w:before="0" w:line="259" w:lineRule="auto"/>
        <w:ind w:left="720" w:right="0" w:hanging="360"/>
        <w:jc w:val="left"/>
        <w:rPr>
          <w:rFonts w:ascii="Arial" w:cs="Arial" w:eastAsia="Arial" w:hAnsi="Arial"/>
          <w:color w:val="000000"/>
          <w:sz w:val="24"/>
          <w:szCs w:val="24"/>
          <w:u w:val="single"/>
          <w:shd w:fill="auto" w:val="clear"/>
          <w:vertAlign w:val="baseline"/>
        </w:rPr>
      </w:pPr>
      <w:r w:rsidDel="00000000" w:rsidR="00000000" w:rsidRPr="00000000">
        <w:rPr>
          <w:rFonts w:ascii="Arial" w:cs="Arial" w:eastAsia="Arial" w:hAnsi="Arial"/>
          <w:color w:val="111111"/>
          <w:sz w:val="24"/>
          <w:szCs w:val="24"/>
          <w:highlight w:val="white"/>
          <w:vertAlign w:val="baseline"/>
          <w:rtl w:val="0"/>
        </w:rPr>
        <w:t xml:space="preserve">Kotler, P., Hermawan, K., &amp; Iwan, S. (2010). </w:t>
      </w:r>
      <w:r w:rsidDel="00000000" w:rsidR="00000000" w:rsidRPr="00000000">
        <w:rPr>
          <w:rFonts w:ascii="Arial" w:cs="Arial" w:eastAsia="Arial" w:hAnsi="Arial"/>
          <w:i w:val="1"/>
          <w:color w:val="111111"/>
          <w:sz w:val="24"/>
          <w:szCs w:val="24"/>
          <w:highlight w:val="white"/>
          <w:vertAlign w:val="baseline"/>
          <w:rtl w:val="0"/>
        </w:rPr>
        <w:t xml:space="preserve">Marketing 3.0: From Products to Customers to the Human Spirit</w:t>
      </w:r>
      <w:r w:rsidDel="00000000" w:rsidR="00000000" w:rsidRPr="00000000">
        <w:rPr>
          <w:rFonts w:ascii="Arial" w:cs="Arial" w:eastAsia="Arial" w:hAnsi="Arial"/>
          <w:color w:val="111111"/>
          <w:sz w:val="24"/>
          <w:szCs w:val="24"/>
          <w:highlight w:val="white"/>
          <w:vertAlign w:val="baseline"/>
          <w:rtl w:val="0"/>
        </w:rPr>
        <w:t xml:space="preserve">. Hoboken, NJ: Wiley.</w:t>
      </w:r>
      <w:r w:rsidDel="00000000" w:rsidR="00000000" w:rsidRPr="00000000">
        <w:rPr>
          <w:rtl w:val="0"/>
        </w:rPr>
      </w:r>
    </w:p>
    <w:p w:rsidR="00000000" w:rsidDel="00000000" w:rsidP="00000000" w:rsidRDefault="00000000" w:rsidRPr="00000000" w14:paraId="000000D9">
      <w:pPr>
        <w:numPr>
          <w:ilvl w:val="0"/>
          <w:numId w:val="10"/>
        </w:numPr>
        <w:spacing w:after="0" w:before="0" w:line="240" w:lineRule="auto"/>
        <w:ind w:left="720" w:right="0" w:hanging="360"/>
        <w:jc w:val="left"/>
        <w:rPr>
          <w:rFonts w:ascii="Arial" w:cs="Arial" w:eastAsia="Arial" w:hAnsi="Arial"/>
          <w:color w:val="1f1f1f"/>
          <w:sz w:val="24"/>
          <w:szCs w:val="24"/>
          <w:highlight w:val="white"/>
          <w:vertAlign w:val="baseline"/>
        </w:rPr>
      </w:pPr>
      <w:r w:rsidDel="00000000" w:rsidR="00000000" w:rsidRPr="00000000">
        <w:rPr>
          <w:rFonts w:ascii="Arial" w:cs="Arial" w:eastAsia="Arial" w:hAnsi="Arial"/>
          <w:color w:val="1f1f1f"/>
          <w:sz w:val="24"/>
          <w:szCs w:val="24"/>
          <w:highlight w:val="white"/>
          <w:vertAlign w:val="baseline"/>
          <w:rtl w:val="0"/>
        </w:rPr>
        <w:t xml:space="preserve">Deal, T. E., &amp; Kennedy, A. A. (2000). Corporate renewal: The art and science of change. Perseus Books Group. (Presents a four-stage model for turnaround)</w:t>
      </w:r>
    </w:p>
    <w:p w:rsidR="00000000" w:rsidDel="00000000" w:rsidP="00000000" w:rsidRDefault="00000000" w:rsidRPr="00000000" w14:paraId="000000DA">
      <w:pPr>
        <w:numPr>
          <w:ilvl w:val="0"/>
          <w:numId w:val="10"/>
        </w:numPr>
        <w:spacing w:after="0" w:before="0" w:line="240" w:lineRule="auto"/>
        <w:ind w:left="720" w:right="0" w:hanging="360"/>
        <w:jc w:val="left"/>
        <w:rPr>
          <w:rFonts w:ascii="Arial" w:cs="Arial" w:eastAsia="Arial" w:hAnsi="Arial"/>
          <w:color w:val="1f1f1f"/>
          <w:sz w:val="24"/>
          <w:szCs w:val="24"/>
          <w:highlight w:val="white"/>
          <w:vertAlign w:val="baseline"/>
        </w:rPr>
      </w:pPr>
      <w:r w:rsidDel="00000000" w:rsidR="00000000" w:rsidRPr="00000000">
        <w:rPr>
          <w:rFonts w:ascii="Arial" w:cs="Arial" w:eastAsia="Arial" w:hAnsi="Arial"/>
          <w:color w:val="1f1f1f"/>
          <w:sz w:val="24"/>
          <w:szCs w:val="24"/>
          <w:highlight w:val="white"/>
          <w:vertAlign w:val="baseline"/>
          <w:rtl w:val="0"/>
        </w:rPr>
        <w:t xml:space="preserve">Miller, D. (1995). Configurations of business. Oxford University Press. (Describes five generic business strategies applicable to turnarounds)</w:t>
      </w:r>
    </w:p>
    <w:p w:rsidR="00000000" w:rsidDel="00000000" w:rsidP="00000000" w:rsidRDefault="00000000" w:rsidRPr="00000000" w14:paraId="000000DB">
      <w:pPr>
        <w:numPr>
          <w:ilvl w:val="0"/>
          <w:numId w:val="10"/>
        </w:numPr>
        <w:spacing w:after="0" w:before="0" w:line="240" w:lineRule="auto"/>
        <w:ind w:left="-1440" w:right="-1411" w:hanging="360"/>
        <w:jc w:val="left"/>
        <w:rPr>
          <w:rFonts w:ascii="Arial" w:cs="Arial" w:eastAsia="Arial" w:hAnsi="Arial"/>
          <w:color w:val="1f1f1f"/>
          <w:sz w:val="24"/>
          <w:szCs w:val="24"/>
          <w:highlight w:val="white"/>
          <w:vertAlign w:val="baseline"/>
        </w:rPr>
      </w:pPr>
      <w:r w:rsidDel="00000000" w:rsidR="00000000" w:rsidRPr="00000000">
        <w:rPr>
          <w:rFonts w:ascii="Arial" w:cs="Arial" w:eastAsia="Arial" w:hAnsi="Arial"/>
          <w:color w:val="1f1f1f"/>
          <w:sz w:val="24"/>
          <w:szCs w:val="24"/>
          <w:highlight w:val="white"/>
          <w:vertAlign w:val="baseline"/>
          <w:rtl w:val="0"/>
        </w:rPr>
        <w:t xml:space="preserve">Hrebiniak, L. G., &amp; Joyce, W. F. (1985). Turnaround management: Leading the turnaround process. Prentice Hall.</w:t>
      </w:r>
    </w:p>
    <w:p w:rsidR="00000000" w:rsidDel="00000000" w:rsidP="00000000" w:rsidRDefault="00000000" w:rsidRPr="00000000" w14:paraId="000000DC">
      <w:pPr>
        <w:numPr>
          <w:ilvl w:val="0"/>
          <w:numId w:val="10"/>
        </w:numPr>
        <w:spacing w:after="0" w:before="0" w:line="240" w:lineRule="auto"/>
        <w:ind w:left="720" w:right="0" w:hanging="360"/>
        <w:jc w:val="left"/>
        <w:rPr>
          <w:rFonts w:ascii="Arial" w:cs="Arial" w:eastAsia="Arial" w:hAnsi="Arial"/>
          <w:color w:val="111111"/>
          <w:sz w:val="24"/>
          <w:szCs w:val="24"/>
          <w:highlight w:val="white"/>
          <w:vertAlign w:val="baseline"/>
        </w:rPr>
      </w:pPr>
      <w:r w:rsidDel="00000000" w:rsidR="00000000" w:rsidRPr="00000000">
        <w:rPr>
          <w:rFonts w:ascii="Arial" w:cs="Arial" w:eastAsia="Arial" w:hAnsi="Arial"/>
          <w:color w:val="111111"/>
          <w:sz w:val="24"/>
          <w:szCs w:val="24"/>
          <w:highlight w:val="white"/>
          <w:vertAlign w:val="baseline"/>
          <w:rtl w:val="0"/>
        </w:rPr>
        <w:t xml:space="preserve">AccountingTools, 2021. </w:t>
      </w:r>
      <w:r w:rsidDel="00000000" w:rsidR="00000000" w:rsidRPr="00000000">
        <w:rPr>
          <w:rFonts w:ascii="Arial" w:cs="Arial" w:eastAsia="Arial" w:hAnsi="Arial"/>
          <w:i w:val="1"/>
          <w:color w:val="111111"/>
          <w:sz w:val="24"/>
          <w:szCs w:val="24"/>
          <w:highlight w:val="white"/>
          <w:vertAlign w:val="baseline"/>
          <w:rtl w:val="0"/>
        </w:rPr>
        <w:t xml:space="preserve">Income Statement Analysis</w:t>
      </w:r>
      <w:r w:rsidDel="00000000" w:rsidR="00000000" w:rsidRPr="00000000">
        <w:rPr>
          <w:rFonts w:ascii="Arial" w:cs="Arial" w:eastAsia="Arial" w:hAnsi="Arial"/>
          <w:color w:val="111111"/>
          <w:sz w:val="24"/>
          <w:szCs w:val="24"/>
          <w:highlight w:val="white"/>
          <w:vertAlign w:val="baseline"/>
          <w:rtl w:val="0"/>
        </w:rPr>
        <w:t xml:space="preserve">. [online] Available at: </w:t>
      </w:r>
      <w:hyperlink r:id="rId6">
        <w:r w:rsidDel="00000000" w:rsidR="00000000" w:rsidRPr="00000000">
          <w:rPr>
            <w:rFonts w:ascii="Arial" w:cs="Arial" w:eastAsia="Arial" w:hAnsi="Arial"/>
            <w:color w:val="0000ff"/>
            <w:sz w:val="24"/>
            <w:szCs w:val="24"/>
            <w:highlight w:val="white"/>
            <w:u w:val="single"/>
            <w:vertAlign w:val="baseline"/>
            <w:rtl w:val="0"/>
          </w:rPr>
          <w:t xml:space="preserve">https://www.accountingtools.com/articles/2017/5/13/income-statement-analysis</w:t>
        </w:r>
      </w:hyperlink>
      <w:r w:rsidDel="00000000" w:rsidR="00000000" w:rsidRPr="00000000">
        <w:rPr>
          <w:rFonts w:ascii="Arial" w:cs="Arial" w:eastAsia="Arial" w:hAnsi="Arial"/>
          <w:color w:val="111111"/>
          <w:sz w:val="24"/>
          <w:szCs w:val="24"/>
          <w:highlight w:val="white"/>
          <w:vertAlign w:val="baseline"/>
          <w:rtl w:val="0"/>
        </w:rPr>
        <w:t xml:space="preserve">.</w:t>
      </w:r>
    </w:p>
    <w:p w:rsidR="00000000" w:rsidDel="00000000" w:rsidP="00000000" w:rsidRDefault="00000000" w:rsidRPr="00000000" w14:paraId="000000DD">
      <w:pPr>
        <w:numPr>
          <w:ilvl w:val="0"/>
          <w:numId w:val="10"/>
        </w:numPr>
        <w:spacing w:after="0" w:before="0" w:line="240" w:lineRule="auto"/>
        <w:ind w:left="720" w:right="0" w:hanging="360"/>
        <w:jc w:val="left"/>
        <w:rPr>
          <w:rFonts w:ascii="Arial" w:cs="Arial" w:eastAsia="Arial" w:hAnsi="Arial"/>
          <w:color w:val="111111"/>
          <w:sz w:val="24"/>
          <w:szCs w:val="24"/>
          <w:highlight w:val="white"/>
          <w:vertAlign w:val="baseline"/>
        </w:rPr>
      </w:pPr>
      <w:r w:rsidDel="00000000" w:rsidR="00000000" w:rsidRPr="00000000">
        <w:rPr>
          <w:rFonts w:ascii="Arial" w:cs="Arial" w:eastAsia="Arial" w:hAnsi="Arial"/>
          <w:color w:val="111111"/>
          <w:sz w:val="24"/>
          <w:szCs w:val="24"/>
          <w:highlight w:val="white"/>
          <w:vertAlign w:val="baseline"/>
          <w:rtl w:val="0"/>
        </w:rPr>
        <w:t xml:space="preserve">Investopedia, 2020. </w:t>
      </w:r>
      <w:r w:rsidDel="00000000" w:rsidR="00000000" w:rsidRPr="00000000">
        <w:rPr>
          <w:rFonts w:ascii="Arial" w:cs="Arial" w:eastAsia="Arial" w:hAnsi="Arial"/>
          <w:i w:val="1"/>
          <w:color w:val="111111"/>
          <w:sz w:val="24"/>
          <w:szCs w:val="24"/>
          <w:highlight w:val="white"/>
          <w:vertAlign w:val="baseline"/>
          <w:rtl w:val="0"/>
        </w:rPr>
        <w:t xml:space="preserve">Understanding Income Statements</w:t>
      </w:r>
      <w:r w:rsidDel="00000000" w:rsidR="00000000" w:rsidRPr="00000000">
        <w:rPr>
          <w:rFonts w:ascii="Arial" w:cs="Arial" w:eastAsia="Arial" w:hAnsi="Arial"/>
          <w:color w:val="111111"/>
          <w:sz w:val="24"/>
          <w:szCs w:val="24"/>
          <w:highlight w:val="white"/>
          <w:vertAlign w:val="baseline"/>
          <w:rtl w:val="0"/>
        </w:rPr>
        <w:t xml:space="preserve">. [online] Available at: </w:t>
      </w:r>
      <w:hyperlink r:id="rId7">
        <w:r w:rsidDel="00000000" w:rsidR="00000000" w:rsidRPr="00000000">
          <w:rPr>
            <w:rFonts w:ascii="Arial" w:cs="Arial" w:eastAsia="Arial" w:hAnsi="Arial"/>
            <w:color w:val="0000ff"/>
            <w:sz w:val="24"/>
            <w:szCs w:val="24"/>
            <w:highlight w:val="white"/>
            <w:u w:val="single"/>
            <w:vertAlign w:val="baseline"/>
            <w:rtl w:val="0"/>
          </w:rPr>
          <w:t xml:space="preserve">https://www.investopedia.com/articles/04/022504.asp</w:t>
        </w:r>
      </w:hyperlink>
      <w:r w:rsidDel="00000000" w:rsidR="00000000" w:rsidRPr="00000000">
        <w:rPr>
          <w:rFonts w:ascii="Arial" w:cs="Arial" w:eastAsia="Arial" w:hAnsi="Arial"/>
          <w:color w:val="111111"/>
          <w:sz w:val="24"/>
          <w:szCs w:val="24"/>
          <w:highlight w:val="white"/>
          <w:vertAlign w:val="baseline"/>
          <w:rtl w:val="0"/>
        </w:rPr>
        <w:t xml:space="preserve">.</w:t>
      </w:r>
    </w:p>
    <w:p w:rsidR="00000000" w:rsidDel="00000000" w:rsidP="00000000" w:rsidRDefault="00000000" w:rsidRPr="00000000" w14:paraId="000000DE">
      <w:pPr>
        <w:numPr>
          <w:ilvl w:val="0"/>
          <w:numId w:val="10"/>
        </w:numPr>
        <w:spacing w:after="0" w:before="0" w:line="240" w:lineRule="auto"/>
        <w:ind w:left="720" w:right="0" w:hanging="360"/>
        <w:jc w:val="left"/>
        <w:rPr>
          <w:rFonts w:ascii="Arial" w:cs="Arial" w:eastAsia="Arial" w:hAnsi="Arial"/>
          <w:color w:val="111111"/>
          <w:sz w:val="24"/>
          <w:szCs w:val="24"/>
          <w:highlight w:val="white"/>
          <w:vertAlign w:val="baseline"/>
        </w:rPr>
      </w:pPr>
      <w:r w:rsidDel="00000000" w:rsidR="00000000" w:rsidRPr="00000000">
        <w:rPr>
          <w:rFonts w:ascii="Arial" w:cs="Arial" w:eastAsia="Arial" w:hAnsi="Arial"/>
          <w:color w:val="111111"/>
          <w:sz w:val="24"/>
          <w:szCs w:val="24"/>
          <w:highlight w:val="white"/>
          <w:vertAlign w:val="baseline"/>
          <w:rtl w:val="0"/>
        </w:rPr>
        <w:t xml:space="preserve">AccountingTools, 2021. </w:t>
      </w:r>
      <w:r w:rsidDel="00000000" w:rsidR="00000000" w:rsidRPr="00000000">
        <w:rPr>
          <w:rFonts w:ascii="Arial" w:cs="Arial" w:eastAsia="Arial" w:hAnsi="Arial"/>
          <w:i w:val="1"/>
          <w:color w:val="111111"/>
          <w:sz w:val="24"/>
          <w:szCs w:val="24"/>
          <w:highlight w:val="white"/>
          <w:vertAlign w:val="baseline"/>
          <w:rtl w:val="0"/>
        </w:rPr>
        <w:t xml:space="preserve">Balance Sheet Analysis</w:t>
      </w:r>
      <w:r w:rsidDel="00000000" w:rsidR="00000000" w:rsidRPr="00000000">
        <w:rPr>
          <w:rFonts w:ascii="Arial" w:cs="Arial" w:eastAsia="Arial" w:hAnsi="Arial"/>
          <w:color w:val="111111"/>
          <w:sz w:val="24"/>
          <w:szCs w:val="24"/>
          <w:highlight w:val="white"/>
          <w:vertAlign w:val="baseline"/>
          <w:rtl w:val="0"/>
        </w:rPr>
        <w:t xml:space="preserve">. [online] Available at: </w:t>
      </w:r>
      <w:hyperlink r:id="rId8">
        <w:r w:rsidDel="00000000" w:rsidR="00000000" w:rsidRPr="00000000">
          <w:rPr>
            <w:rFonts w:ascii="Arial" w:cs="Arial" w:eastAsia="Arial" w:hAnsi="Arial"/>
            <w:color w:val="0000ff"/>
            <w:sz w:val="24"/>
            <w:szCs w:val="24"/>
            <w:highlight w:val="white"/>
            <w:u w:val="single"/>
            <w:vertAlign w:val="baseline"/>
            <w:rtl w:val="0"/>
          </w:rPr>
          <w:t xml:space="preserve">https://www.accountingtools.com/articles/2017/5/16/balance-sheet-analysis</w:t>
        </w:r>
      </w:hyperlink>
      <w:r w:rsidDel="00000000" w:rsidR="00000000" w:rsidRPr="00000000">
        <w:rPr>
          <w:rFonts w:ascii="Arial" w:cs="Arial" w:eastAsia="Arial" w:hAnsi="Arial"/>
          <w:color w:val="111111"/>
          <w:sz w:val="24"/>
          <w:szCs w:val="24"/>
          <w:highlight w:val="white"/>
          <w:vertAlign w:val="baseline"/>
          <w:rtl w:val="0"/>
        </w:rPr>
        <w:t xml:space="preserve">.</w:t>
      </w:r>
    </w:p>
    <w:p w:rsidR="00000000" w:rsidDel="00000000" w:rsidP="00000000" w:rsidRDefault="00000000" w:rsidRPr="00000000" w14:paraId="000000DF">
      <w:pPr>
        <w:numPr>
          <w:ilvl w:val="0"/>
          <w:numId w:val="10"/>
        </w:numPr>
        <w:spacing w:after="0" w:before="0" w:line="240" w:lineRule="auto"/>
        <w:ind w:left="720" w:right="0" w:hanging="360"/>
        <w:jc w:val="left"/>
        <w:rPr>
          <w:rFonts w:ascii="Arial" w:cs="Arial" w:eastAsia="Arial" w:hAnsi="Arial"/>
          <w:color w:val="111111"/>
          <w:sz w:val="24"/>
          <w:szCs w:val="24"/>
          <w:highlight w:val="white"/>
          <w:vertAlign w:val="baseline"/>
        </w:rPr>
      </w:pPr>
      <w:r w:rsidDel="00000000" w:rsidR="00000000" w:rsidRPr="00000000">
        <w:rPr>
          <w:rFonts w:ascii="Arial" w:cs="Arial" w:eastAsia="Arial" w:hAnsi="Arial"/>
          <w:color w:val="111111"/>
          <w:sz w:val="24"/>
          <w:szCs w:val="24"/>
          <w:highlight w:val="white"/>
          <w:vertAlign w:val="baseline"/>
          <w:rtl w:val="0"/>
        </w:rPr>
        <w:t xml:space="preserve">Investopedia, 2020. </w:t>
      </w:r>
      <w:r w:rsidDel="00000000" w:rsidR="00000000" w:rsidRPr="00000000">
        <w:rPr>
          <w:rFonts w:ascii="Arial" w:cs="Arial" w:eastAsia="Arial" w:hAnsi="Arial"/>
          <w:i w:val="1"/>
          <w:color w:val="111111"/>
          <w:sz w:val="24"/>
          <w:szCs w:val="24"/>
          <w:highlight w:val="white"/>
          <w:vertAlign w:val="baseline"/>
          <w:rtl w:val="0"/>
        </w:rPr>
        <w:t xml:space="preserve">Understanding Balance Sheets</w:t>
      </w:r>
      <w:r w:rsidDel="00000000" w:rsidR="00000000" w:rsidRPr="00000000">
        <w:rPr>
          <w:rFonts w:ascii="Arial" w:cs="Arial" w:eastAsia="Arial" w:hAnsi="Arial"/>
          <w:color w:val="111111"/>
          <w:sz w:val="24"/>
          <w:szCs w:val="24"/>
          <w:highlight w:val="white"/>
          <w:vertAlign w:val="baseline"/>
          <w:rtl w:val="0"/>
        </w:rPr>
        <w:t xml:space="preserve">. [online] Available at: </w:t>
      </w:r>
      <w:hyperlink r:id="rId9">
        <w:r w:rsidDel="00000000" w:rsidR="00000000" w:rsidRPr="00000000">
          <w:rPr>
            <w:rFonts w:ascii="Arial" w:cs="Arial" w:eastAsia="Arial" w:hAnsi="Arial"/>
            <w:color w:val="0000ff"/>
            <w:sz w:val="24"/>
            <w:szCs w:val="24"/>
            <w:highlight w:val="white"/>
            <w:u w:val="single"/>
            <w:vertAlign w:val="baseline"/>
            <w:rtl w:val="0"/>
          </w:rPr>
          <w:t xml:space="preserve">https://www.investopedia.com/articles/04/031004.asp</w:t>
        </w:r>
      </w:hyperlink>
      <w:r w:rsidDel="00000000" w:rsidR="00000000" w:rsidRPr="00000000">
        <w:rPr>
          <w:rFonts w:ascii="Arial" w:cs="Arial" w:eastAsia="Arial" w:hAnsi="Arial"/>
          <w:color w:val="111111"/>
          <w:sz w:val="24"/>
          <w:szCs w:val="24"/>
          <w:highlight w:val="white"/>
          <w:vertAlign w:val="baseline"/>
          <w:rtl w:val="0"/>
        </w:rPr>
        <w:t xml:space="preserve">.</w:t>
      </w:r>
    </w:p>
    <w:p w:rsidR="00000000" w:rsidDel="00000000" w:rsidP="00000000" w:rsidRDefault="00000000" w:rsidRPr="00000000" w14:paraId="000000E0">
      <w:pPr>
        <w:numPr>
          <w:ilvl w:val="0"/>
          <w:numId w:val="10"/>
        </w:numPr>
        <w:spacing w:after="0" w:before="0" w:line="240" w:lineRule="auto"/>
        <w:ind w:left="720" w:right="0" w:hanging="360"/>
        <w:jc w:val="left"/>
        <w:rPr>
          <w:rFonts w:ascii="Arial" w:cs="Arial" w:eastAsia="Arial" w:hAnsi="Arial"/>
          <w:color w:val="111111"/>
          <w:sz w:val="24"/>
          <w:szCs w:val="24"/>
          <w:highlight w:val="white"/>
          <w:vertAlign w:val="baseline"/>
        </w:rPr>
      </w:pPr>
      <w:r w:rsidDel="00000000" w:rsidR="00000000" w:rsidRPr="00000000">
        <w:rPr>
          <w:rFonts w:ascii="Arial" w:cs="Arial" w:eastAsia="Arial" w:hAnsi="Arial"/>
          <w:color w:val="111111"/>
          <w:sz w:val="24"/>
          <w:szCs w:val="24"/>
          <w:highlight w:val="white"/>
          <w:vertAlign w:val="baseline"/>
          <w:rtl w:val="0"/>
        </w:rPr>
        <w:t xml:space="preserve">Hotel Management, 2018. </w:t>
      </w:r>
      <w:r w:rsidDel="00000000" w:rsidR="00000000" w:rsidRPr="00000000">
        <w:rPr>
          <w:rFonts w:ascii="Arial" w:cs="Arial" w:eastAsia="Arial" w:hAnsi="Arial"/>
          <w:i w:val="1"/>
          <w:color w:val="111111"/>
          <w:sz w:val="24"/>
          <w:szCs w:val="24"/>
          <w:highlight w:val="white"/>
          <w:vertAlign w:val="baseline"/>
          <w:rtl w:val="0"/>
        </w:rPr>
        <w:t xml:space="preserve">How to calculate Average Room Rate</w:t>
      </w:r>
      <w:r w:rsidDel="00000000" w:rsidR="00000000" w:rsidRPr="00000000">
        <w:rPr>
          <w:rFonts w:ascii="Arial" w:cs="Arial" w:eastAsia="Arial" w:hAnsi="Arial"/>
          <w:color w:val="111111"/>
          <w:sz w:val="24"/>
          <w:szCs w:val="24"/>
          <w:highlight w:val="white"/>
          <w:vertAlign w:val="baseline"/>
          <w:rtl w:val="0"/>
        </w:rPr>
        <w:t xml:space="preserve">. [online] Available at: </w:t>
      </w:r>
      <w:hyperlink r:id="rId10">
        <w:r w:rsidDel="00000000" w:rsidR="00000000" w:rsidRPr="00000000">
          <w:rPr>
            <w:rFonts w:ascii="Arial" w:cs="Arial" w:eastAsia="Arial" w:hAnsi="Arial"/>
            <w:color w:val="0000ff"/>
            <w:sz w:val="24"/>
            <w:szCs w:val="24"/>
            <w:highlight w:val="white"/>
            <w:u w:val="single"/>
            <w:vertAlign w:val="baseline"/>
            <w:rtl w:val="0"/>
          </w:rPr>
          <w:t xml:space="preserve">https://www.hotelmanagement.net/operate/how-to-calculate-average-daily-rate</w:t>
        </w:r>
      </w:hyperlink>
      <w:r w:rsidDel="00000000" w:rsidR="00000000" w:rsidRPr="00000000">
        <w:rPr>
          <w:rFonts w:ascii="Arial" w:cs="Arial" w:eastAsia="Arial" w:hAnsi="Arial"/>
          <w:color w:val="111111"/>
          <w:sz w:val="24"/>
          <w:szCs w:val="24"/>
          <w:highlight w:val="white"/>
          <w:vertAlign w:val="baseline"/>
          <w:rtl w:val="0"/>
        </w:rPr>
        <w:t xml:space="preserve">.</w:t>
      </w:r>
    </w:p>
    <w:p w:rsidR="00000000" w:rsidDel="00000000" w:rsidP="00000000" w:rsidRDefault="00000000" w:rsidRPr="00000000" w14:paraId="000000E1">
      <w:pPr>
        <w:numPr>
          <w:ilvl w:val="0"/>
          <w:numId w:val="10"/>
        </w:numPr>
        <w:spacing w:after="0" w:before="0" w:line="240" w:lineRule="auto"/>
        <w:ind w:left="720" w:right="0" w:hanging="360"/>
        <w:jc w:val="left"/>
        <w:rPr>
          <w:rFonts w:ascii="Arial" w:cs="Arial" w:eastAsia="Arial" w:hAnsi="Arial"/>
          <w:color w:val="111111"/>
          <w:sz w:val="24"/>
          <w:szCs w:val="24"/>
          <w:highlight w:val="white"/>
          <w:vertAlign w:val="baseline"/>
        </w:rPr>
      </w:pPr>
      <w:r w:rsidDel="00000000" w:rsidR="00000000" w:rsidRPr="00000000">
        <w:rPr>
          <w:rFonts w:ascii="Arial" w:cs="Arial" w:eastAsia="Arial" w:hAnsi="Arial"/>
          <w:color w:val="111111"/>
          <w:sz w:val="24"/>
          <w:szCs w:val="24"/>
          <w:highlight w:val="white"/>
          <w:vertAlign w:val="baseline"/>
          <w:rtl w:val="0"/>
        </w:rPr>
        <w:t xml:space="preserve">Revfine, 2019. </w:t>
      </w:r>
      <w:r w:rsidDel="00000000" w:rsidR="00000000" w:rsidRPr="00000000">
        <w:rPr>
          <w:rFonts w:ascii="Arial" w:cs="Arial" w:eastAsia="Arial" w:hAnsi="Arial"/>
          <w:i w:val="1"/>
          <w:color w:val="111111"/>
          <w:sz w:val="24"/>
          <w:szCs w:val="24"/>
          <w:highlight w:val="white"/>
          <w:vertAlign w:val="baseline"/>
          <w:rtl w:val="0"/>
        </w:rPr>
        <w:t xml:space="preserve">KPI Explanation: Average Room Rate (ARR)</w:t>
      </w:r>
      <w:r w:rsidDel="00000000" w:rsidR="00000000" w:rsidRPr="00000000">
        <w:rPr>
          <w:rFonts w:ascii="Arial" w:cs="Arial" w:eastAsia="Arial" w:hAnsi="Arial"/>
          <w:color w:val="111111"/>
          <w:sz w:val="24"/>
          <w:szCs w:val="24"/>
          <w:highlight w:val="white"/>
          <w:vertAlign w:val="baseline"/>
          <w:rtl w:val="0"/>
        </w:rPr>
        <w:t xml:space="preserve">. [online] Available at: </w:t>
      </w:r>
      <w:hyperlink r:id="rId11">
        <w:r w:rsidDel="00000000" w:rsidR="00000000" w:rsidRPr="00000000">
          <w:rPr>
            <w:rFonts w:ascii="Arial" w:cs="Arial" w:eastAsia="Arial" w:hAnsi="Arial"/>
            <w:color w:val="0000ff"/>
            <w:sz w:val="24"/>
            <w:szCs w:val="24"/>
            <w:highlight w:val="white"/>
            <w:u w:val="single"/>
            <w:vertAlign w:val="baseline"/>
            <w:rtl w:val="0"/>
          </w:rPr>
          <w:t xml:space="preserve">https://www.revfine.com/average-room-rate-arr/</w:t>
        </w:r>
      </w:hyperlink>
      <w:r w:rsidDel="00000000" w:rsidR="00000000" w:rsidRPr="00000000">
        <w:rPr>
          <w:rFonts w:ascii="Arial" w:cs="Arial" w:eastAsia="Arial" w:hAnsi="Arial"/>
          <w:color w:val="111111"/>
          <w:sz w:val="24"/>
          <w:szCs w:val="24"/>
          <w:highlight w:val="white"/>
          <w:vertAlign w:val="baseline"/>
          <w:rtl w:val="0"/>
        </w:rPr>
        <w:t xml:space="preserve">.</w:t>
      </w:r>
    </w:p>
    <w:p w:rsidR="00000000" w:rsidDel="00000000" w:rsidP="00000000" w:rsidRDefault="00000000" w:rsidRPr="00000000" w14:paraId="000000E2">
      <w:pPr>
        <w:numPr>
          <w:ilvl w:val="0"/>
          <w:numId w:val="10"/>
        </w:numPr>
        <w:spacing w:after="0" w:before="0" w:line="240" w:lineRule="auto"/>
        <w:ind w:left="720" w:right="0" w:hanging="360"/>
        <w:jc w:val="left"/>
        <w:rPr>
          <w:rFonts w:ascii="Arial" w:cs="Arial" w:eastAsia="Arial" w:hAnsi="Arial"/>
          <w:color w:val="111111"/>
          <w:sz w:val="24"/>
          <w:szCs w:val="24"/>
          <w:highlight w:val="white"/>
          <w:vertAlign w:val="baseline"/>
        </w:rPr>
      </w:pPr>
      <w:r w:rsidDel="00000000" w:rsidR="00000000" w:rsidRPr="00000000">
        <w:rPr>
          <w:rFonts w:ascii="Arial" w:cs="Arial" w:eastAsia="Arial" w:hAnsi="Arial"/>
          <w:color w:val="111111"/>
          <w:sz w:val="24"/>
          <w:szCs w:val="24"/>
          <w:highlight w:val="white"/>
          <w:vertAlign w:val="baseline"/>
          <w:rtl w:val="0"/>
        </w:rPr>
        <w:t xml:space="preserve">Investopedia, 2020. </w:t>
      </w:r>
      <w:r w:rsidDel="00000000" w:rsidR="00000000" w:rsidRPr="00000000">
        <w:rPr>
          <w:rFonts w:ascii="Arial" w:cs="Arial" w:eastAsia="Arial" w:hAnsi="Arial"/>
          <w:i w:val="1"/>
          <w:color w:val="111111"/>
          <w:sz w:val="24"/>
          <w:szCs w:val="24"/>
          <w:highlight w:val="white"/>
          <w:vertAlign w:val="baseline"/>
          <w:rtl w:val="0"/>
        </w:rPr>
        <w:t xml:space="preserve">Net Profit Margin</w:t>
      </w:r>
      <w:r w:rsidDel="00000000" w:rsidR="00000000" w:rsidRPr="00000000">
        <w:rPr>
          <w:rFonts w:ascii="Arial" w:cs="Arial" w:eastAsia="Arial" w:hAnsi="Arial"/>
          <w:color w:val="111111"/>
          <w:sz w:val="24"/>
          <w:szCs w:val="24"/>
          <w:highlight w:val="white"/>
          <w:vertAlign w:val="baseline"/>
          <w:rtl w:val="0"/>
        </w:rPr>
        <w:t xml:space="preserve">. [online] Available at: </w:t>
      </w:r>
      <w:hyperlink r:id="rId12">
        <w:r w:rsidDel="00000000" w:rsidR="00000000" w:rsidRPr="00000000">
          <w:rPr>
            <w:rFonts w:ascii="Arial" w:cs="Arial" w:eastAsia="Arial" w:hAnsi="Arial"/>
            <w:color w:val="0000ff"/>
            <w:sz w:val="24"/>
            <w:szCs w:val="24"/>
            <w:highlight w:val="white"/>
            <w:u w:val="single"/>
            <w:vertAlign w:val="baseline"/>
            <w:rtl w:val="0"/>
          </w:rPr>
          <w:t xml:space="preserve">https://www.investopedia.com/terms/n/net_margin.asp</w:t>
        </w:r>
      </w:hyperlink>
      <w:r w:rsidDel="00000000" w:rsidR="00000000" w:rsidRPr="00000000">
        <w:rPr>
          <w:rFonts w:ascii="Arial" w:cs="Arial" w:eastAsia="Arial" w:hAnsi="Arial"/>
          <w:color w:val="111111"/>
          <w:sz w:val="24"/>
          <w:szCs w:val="24"/>
          <w:highlight w:val="white"/>
          <w:vertAlign w:val="baseline"/>
          <w:rtl w:val="0"/>
        </w:rPr>
        <w:t xml:space="preserve">.</w:t>
      </w:r>
    </w:p>
    <w:p w:rsidR="00000000" w:rsidDel="00000000" w:rsidP="00000000" w:rsidRDefault="00000000" w:rsidRPr="00000000" w14:paraId="000000E3">
      <w:pPr>
        <w:numPr>
          <w:ilvl w:val="0"/>
          <w:numId w:val="10"/>
        </w:numPr>
        <w:spacing w:after="0" w:before="0" w:line="240" w:lineRule="auto"/>
        <w:ind w:left="720" w:right="0" w:hanging="360"/>
        <w:jc w:val="left"/>
        <w:rPr>
          <w:rFonts w:ascii="Arial" w:cs="Arial" w:eastAsia="Arial" w:hAnsi="Arial"/>
          <w:color w:val="111111"/>
          <w:sz w:val="24"/>
          <w:szCs w:val="24"/>
          <w:highlight w:val="white"/>
          <w:vertAlign w:val="baseline"/>
        </w:rPr>
      </w:pPr>
      <w:r w:rsidDel="00000000" w:rsidR="00000000" w:rsidRPr="00000000">
        <w:rPr>
          <w:rFonts w:ascii="Arial" w:cs="Arial" w:eastAsia="Arial" w:hAnsi="Arial"/>
          <w:color w:val="111111"/>
          <w:sz w:val="24"/>
          <w:szCs w:val="24"/>
          <w:highlight w:val="white"/>
          <w:vertAlign w:val="baseline"/>
          <w:rtl w:val="0"/>
        </w:rPr>
        <w:t xml:space="preserve">Corporate Finance Institute, 2021. </w:t>
      </w:r>
      <w:r w:rsidDel="00000000" w:rsidR="00000000" w:rsidRPr="00000000">
        <w:rPr>
          <w:rFonts w:ascii="Arial" w:cs="Arial" w:eastAsia="Arial" w:hAnsi="Arial"/>
          <w:i w:val="1"/>
          <w:color w:val="111111"/>
          <w:sz w:val="24"/>
          <w:szCs w:val="24"/>
          <w:highlight w:val="white"/>
          <w:vertAlign w:val="baseline"/>
          <w:rtl w:val="0"/>
        </w:rPr>
        <w:t xml:space="preserve">Net Profit Margin</w:t>
      </w:r>
      <w:r w:rsidDel="00000000" w:rsidR="00000000" w:rsidRPr="00000000">
        <w:rPr>
          <w:rFonts w:ascii="Arial" w:cs="Arial" w:eastAsia="Arial" w:hAnsi="Arial"/>
          <w:color w:val="111111"/>
          <w:sz w:val="24"/>
          <w:szCs w:val="24"/>
          <w:highlight w:val="white"/>
          <w:vertAlign w:val="baseline"/>
          <w:rtl w:val="0"/>
        </w:rPr>
        <w:t xml:space="preserve">. [online] Available at: </w:t>
      </w:r>
      <w:hyperlink r:id="rId13">
        <w:r w:rsidDel="00000000" w:rsidR="00000000" w:rsidRPr="00000000">
          <w:rPr>
            <w:rFonts w:ascii="Arial" w:cs="Arial" w:eastAsia="Arial" w:hAnsi="Arial"/>
            <w:color w:val="0000ff"/>
            <w:sz w:val="24"/>
            <w:szCs w:val="24"/>
            <w:highlight w:val="white"/>
            <w:u w:val="single"/>
            <w:vertAlign w:val="baseline"/>
            <w:rtl w:val="0"/>
          </w:rPr>
          <w:t xml:space="preserve">https://corporatefinanceinstitute.com/resources/knowledge/finance/net-profit-margin/</w:t>
        </w:r>
      </w:hyperlink>
      <w:r w:rsidDel="00000000" w:rsidR="00000000" w:rsidRPr="00000000">
        <w:rPr>
          <w:rFonts w:ascii="Arial" w:cs="Arial" w:eastAsia="Arial" w:hAnsi="Arial"/>
          <w:color w:val="111111"/>
          <w:sz w:val="24"/>
          <w:szCs w:val="24"/>
          <w:highlight w:val="white"/>
          <w:vertAlign w:val="baseline"/>
          <w:rtl w:val="0"/>
        </w:rPr>
        <w:t xml:space="preserve">.</w:t>
      </w:r>
    </w:p>
    <w:p w:rsidR="00000000" w:rsidDel="00000000" w:rsidP="00000000" w:rsidRDefault="00000000" w:rsidRPr="00000000" w14:paraId="000000E4">
      <w:pPr>
        <w:numPr>
          <w:ilvl w:val="0"/>
          <w:numId w:val="10"/>
        </w:numPr>
        <w:spacing w:after="0" w:before="0" w:line="240" w:lineRule="auto"/>
        <w:ind w:left="720" w:right="0" w:hanging="360"/>
        <w:jc w:val="left"/>
        <w:rPr>
          <w:rFonts w:ascii="Arial" w:cs="Arial" w:eastAsia="Arial" w:hAnsi="Arial"/>
          <w:color w:val="111111"/>
          <w:sz w:val="24"/>
          <w:szCs w:val="24"/>
          <w:highlight w:val="white"/>
          <w:vertAlign w:val="baseline"/>
        </w:rPr>
      </w:pPr>
      <w:r w:rsidDel="00000000" w:rsidR="00000000" w:rsidRPr="00000000">
        <w:rPr>
          <w:rFonts w:ascii="Arial" w:cs="Arial" w:eastAsia="Arial" w:hAnsi="Arial"/>
          <w:color w:val="111111"/>
          <w:sz w:val="24"/>
          <w:szCs w:val="24"/>
          <w:highlight w:val="white"/>
          <w:vertAlign w:val="baseline"/>
          <w:rtl w:val="0"/>
        </w:rPr>
        <w:t xml:space="preserve">Investopedia, 2020. </w:t>
      </w:r>
      <w:r w:rsidDel="00000000" w:rsidR="00000000" w:rsidRPr="00000000">
        <w:rPr>
          <w:rFonts w:ascii="Arial" w:cs="Arial" w:eastAsia="Arial" w:hAnsi="Arial"/>
          <w:i w:val="1"/>
          <w:color w:val="111111"/>
          <w:sz w:val="24"/>
          <w:szCs w:val="24"/>
          <w:highlight w:val="white"/>
          <w:vertAlign w:val="baseline"/>
          <w:rtl w:val="0"/>
        </w:rPr>
        <w:t xml:space="preserve">Return on Equity (ROE)</w:t>
      </w:r>
      <w:r w:rsidDel="00000000" w:rsidR="00000000" w:rsidRPr="00000000">
        <w:rPr>
          <w:rFonts w:ascii="Arial" w:cs="Arial" w:eastAsia="Arial" w:hAnsi="Arial"/>
          <w:color w:val="111111"/>
          <w:sz w:val="24"/>
          <w:szCs w:val="24"/>
          <w:highlight w:val="white"/>
          <w:vertAlign w:val="baseline"/>
          <w:rtl w:val="0"/>
        </w:rPr>
        <w:t xml:space="preserve">. [online] Available at: </w:t>
      </w:r>
      <w:hyperlink r:id="rId14">
        <w:r w:rsidDel="00000000" w:rsidR="00000000" w:rsidRPr="00000000">
          <w:rPr>
            <w:rFonts w:ascii="Arial" w:cs="Arial" w:eastAsia="Arial" w:hAnsi="Arial"/>
            <w:color w:val="0000ff"/>
            <w:sz w:val="24"/>
            <w:szCs w:val="24"/>
            <w:highlight w:val="white"/>
            <w:u w:val="single"/>
            <w:vertAlign w:val="baseline"/>
            <w:rtl w:val="0"/>
          </w:rPr>
          <w:t xml:space="preserve">https://www.investopedia.com/terms/r/returnonequity.asp</w:t>
        </w:r>
      </w:hyperlink>
      <w:r w:rsidDel="00000000" w:rsidR="00000000" w:rsidRPr="00000000">
        <w:rPr>
          <w:rFonts w:ascii="Arial" w:cs="Arial" w:eastAsia="Arial" w:hAnsi="Arial"/>
          <w:color w:val="111111"/>
          <w:sz w:val="24"/>
          <w:szCs w:val="24"/>
          <w:highlight w:val="white"/>
          <w:vertAlign w:val="baseline"/>
          <w:rtl w:val="0"/>
        </w:rPr>
        <w:t xml:space="preserve">.</w:t>
      </w:r>
    </w:p>
    <w:p w:rsidR="00000000" w:rsidDel="00000000" w:rsidP="00000000" w:rsidRDefault="00000000" w:rsidRPr="00000000" w14:paraId="000000E5">
      <w:pPr>
        <w:numPr>
          <w:ilvl w:val="0"/>
          <w:numId w:val="10"/>
        </w:numPr>
        <w:spacing w:after="0" w:before="0" w:line="240" w:lineRule="auto"/>
        <w:ind w:left="720" w:right="0" w:hanging="360"/>
        <w:jc w:val="left"/>
        <w:rPr>
          <w:rFonts w:ascii="Arial" w:cs="Arial" w:eastAsia="Arial" w:hAnsi="Arial"/>
          <w:color w:val="111111"/>
          <w:sz w:val="24"/>
          <w:szCs w:val="24"/>
          <w:highlight w:val="white"/>
          <w:vertAlign w:val="baseline"/>
        </w:rPr>
      </w:pPr>
      <w:r w:rsidDel="00000000" w:rsidR="00000000" w:rsidRPr="00000000">
        <w:rPr>
          <w:rFonts w:ascii="Arial" w:cs="Arial" w:eastAsia="Arial" w:hAnsi="Arial"/>
          <w:color w:val="111111"/>
          <w:sz w:val="24"/>
          <w:szCs w:val="24"/>
          <w:highlight w:val="white"/>
          <w:vertAlign w:val="baseline"/>
          <w:rtl w:val="0"/>
        </w:rPr>
        <w:t xml:space="preserve">Corporate Finance Institute, 2021. </w:t>
      </w:r>
      <w:r w:rsidDel="00000000" w:rsidR="00000000" w:rsidRPr="00000000">
        <w:rPr>
          <w:rFonts w:ascii="Arial" w:cs="Arial" w:eastAsia="Arial" w:hAnsi="Arial"/>
          <w:i w:val="1"/>
          <w:color w:val="111111"/>
          <w:sz w:val="24"/>
          <w:szCs w:val="24"/>
          <w:highlight w:val="white"/>
          <w:vertAlign w:val="baseline"/>
          <w:rtl w:val="0"/>
        </w:rPr>
        <w:t xml:space="preserve">Return on Equity (ROE)</w:t>
      </w:r>
      <w:r w:rsidDel="00000000" w:rsidR="00000000" w:rsidRPr="00000000">
        <w:rPr>
          <w:rFonts w:ascii="Arial" w:cs="Arial" w:eastAsia="Arial" w:hAnsi="Arial"/>
          <w:color w:val="111111"/>
          <w:sz w:val="24"/>
          <w:szCs w:val="24"/>
          <w:highlight w:val="white"/>
          <w:vertAlign w:val="baseline"/>
          <w:rtl w:val="0"/>
        </w:rPr>
        <w:t xml:space="preserve">. [online] Available at: </w:t>
      </w:r>
      <w:hyperlink r:id="rId15">
        <w:r w:rsidDel="00000000" w:rsidR="00000000" w:rsidRPr="00000000">
          <w:rPr>
            <w:rFonts w:ascii="Arial" w:cs="Arial" w:eastAsia="Arial" w:hAnsi="Arial"/>
            <w:color w:val="0000ff"/>
            <w:sz w:val="24"/>
            <w:szCs w:val="24"/>
            <w:highlight w:val="white"/>
            <w:u w:val="single"/>
            <w:vertAlign w:val="baseline"/>
            <w:rtl w:val="0"/>
          </w:rPr>
          <w:t xml:space="preserve">https://corporatefinanceinstitute.com/resources/knowledge/finance/return-on-equity-roe/</w:t>
        </w:r>
      </w:hyperlink>
      <w:r w:rsidDel="00000000" w:rsidR="00000000" w:rsidRPr="00000000">
        <w:rPr>
          <w:rFonts w:ascii="Arial" w:cs="Arial" w:eastAsia="Arial" w:hAnsi="Arial"/>
          <w:color w:val="111111"/>
          <w:sz w:val="24"/>
          <w:szCs w:val="24"/>
          <w:highlight w:val="white"/>
          <w:vertAlign w:val="baseline"/>
          <w:rtl w:val="0"/>
        </w:rPr>
        <w:t xml:space="preserve">.</w:t>
      </w:r>
    </w:p>
    <w:p w:rsidR="00000000" w:rsidDel="00000000" w:rsidP="00000000" w:rsidRDefault="00000000" w:rsidRPr="00000000" w14:paraId="000000E6">
      <w:pPr>
        <w:numPr>
          <w:ilvl w:val="0"/>
          <w:numId w:val="10"/>
        </w:numPr>
        <w:spacing w:after="0" w:before="0" w:line="240" w:lineRule="auto"/>
        <w:ind w:left="720" w:right="0" w:hanging="360"/>
        <w:jc w:val="left"/>
        <w:rPr>
          <w:rFonts w:ascii="Arial" w:cs="Arial" w:eastAsia="Arial" w:hAnsi="Arial"/>
          <w:color w:val="111111"/>
          <w:sz w:val="24"/>
          <w:szCs w:val="24"/>
          <w:highlight w:val="white"/>
          <w:vertAlign w:val="baseline"/>
        </w:rPr>
      </w:pPr>
      <w:r w:rsidDel="00000000" w:rsidR="00000000" w:rsidRPr="00000000">
        <w:rPr>
          <w:rFonts w:ascii="Arial" w:cs="Arial" w:eastAsia="Arial" w:hAnsi="Arial"/>
          <w:color w:val="111111"/>
          <w:sz w:val="24"/>
          <w:szCs w:val="24"/>
          <w:highlight w:val="white"/>
          <w:vertAlign w:val="baseline"/>
          <w:rtl w:val="0"/>
        </w:rPr>
        <w:t xml:space="preserve">Investopedia, 2020. </w:t>
      </w:r>
      <w:r w:rsidDel="00000000" w:rsidR="00000000" w:rsidRPr="00000000">
        <w:rPr>
          <w:rFonts w:ascii="Arial" w:cs="Arial" w:eastAsia="Arial" w:hAnsi="Arial"/>
          <w:i w:val="1"/>
          <w:color w:val="111111"/>
          <w:sz w:val="24"/>
          <w:szCs w:val="24"/>
          <w:highlight w:val="white"/>
          <w:vertAlign w:val="baseline"/>
          <w:rtl w:val="0"/>
        </w:rPr>
        <w:t xml:space="preserve">Current Ratio</w:t>
      </w:r>
      <w:r w:rsidDel="00000000" w:rsidR="00000000" w:rsidRPr="00000000">
        <w:rPr>
          <w:rFonts w:ascii="Arial" w:cs="Arial" w:eastAsia="Arial" w:hAnsi="Arial"/>
          <w:color w:val="111111"/>
          <w:sz w:val="24"/>
          <w:szCs w:val="24"/>
          <w:highlight w:val="white"/>
          <w:vertAlign w:val="baseline"/>
          <w:rtl w:val="0"/>
        </w:rPr>
        <w:t xml:space="preserve">. [online] Available at: </w:t>
      </w:r>
      <w:hyperlink r:id="rId16">
        <w:r w:rsidDel="00000000" w:rsidR="00000000" w:rsidRPr="00000000">
          <w:rPr>
            <w:rFonts w:ascii="Arial" w:cs="Arial" w:eastAsia="Arial" w:hAnsi="Arial"/>
            <w:color w:val="0000ff"/>
            <w:sz w:val="24"/>
            <w:szCs w:val="24"/>
            <w:highlight w:val="white"/>
            <w:u w:val="single"/>
            <w:vertAlign w:val="baseline"/>
            <w:rtl w:val="0"/>
          </w:rPr>
          <w:t xml:space="preserve">https://www.investopedia.com/terms/c/currentratio.asp</w:t>
        </w:r>
      </w:hyperlink>
      <w:r w:rsidDel="00000000" w:rsidR="00000000" w:rsidRPr="00000000">
        <w:rPr>
          <w:rFonts w:ascii="Arial" w:cs="Arial" w:eastAsia="Arial" w:hAnsi="Arial"/>
          <w:color w:val="111111"/>
          <w:sz w:val="24"/>
          <w:szCs w:val="24"/>
          <w:highlight w:val="white"/>
          <w:vertAlign w:val="baseline"/>
          <w:rtl w:val="0"/>
        </w:rPr>
        <w:t xml:space="preserve">.</w:t>
      </w:r>
    </w:p>
    <w:p w:rsidR="00000000" w:rsidDel="00000000" w:rsidP="00000000" w:rsidRDefault="00000000" w:rsidRPr="00000000" w14:paraId="000000E7">
      <w:pPr>
        <w:numPr>
          <w:ilvl w:val="0"/>
          <w:numId w:val="10"/>
        </w:numPr>
        <w:spacing w:after="0" w:before="0" w:line="240" w:lineRule="auto"/>
        <w:ind w:left="720" w:right="0" w:hanging="360"/>
        <w:jc w:val="left"/>
        <w:rPr>
          <w:rFonts w:ascii="Arial" w:cs="Arial" w:eastAsia="Arial" w:hAnsi="Arial"/>
          <w:color w:val="111111"/>
          <w:sz w:val="24"/>
          <w:szCs w:val="24"/>
          <w:highlight w:val="white"/>
          <w:vertAlign w:val="baseline"/>
        </w:rPr>
      </w:pPr>
      <w:r w:rsidDel="00000000" w:rsidR="00000000" w:rsidRPr="00000000">
        <w:rPr>
          <w:rFonts w:ascii="Arial" w:cs="Arial" w:eastAsia="Arial" w:hAnsi="Arial"/>
          <w:color w:val="111111"/>
          <w:sz w:val="24"/>
          <w:szCs w:val="24"/>
          <w:highlight w:val="white"/>
          <w:vertAlign w:val="baseline"/>
          <w:rtl w:val="0"/>
        </w:rPr>
        <w:t xml:space="preserve">Corporate Finance Institute, 2021. </w:t>
      </w:r>
      <w:r w:rsidDel="00000000" w:rsidR="00000000" w:rsidRPr="00000000">
        <w:rPr>
          <w:rFonts w:ascii="Arial" w:cs="Arial" w:eastAsia="Arial" w:hAnsi="Arial"/>
          <w:i w:val="1"/>
          <w:color w:val="111111"/>
          <w:sz w:val="24"/>
          <w:szCs w:val="24"/>
          <w:highlight w:val="white"/>
          <w:vertAlign w:val="baseline"/>
          <w:rtl w:val="0"/>
        </w:rPr>
        <w:t xml:space="preserve">Current Ratio</w:t>
      </w:r>
      <w:r w:rsidDel="00000000" w:rsidR="00000000" w:rsidRPr="00000000">
        <w:rPr>
          <w:rFonts w:ascii="Arial" w:cs="Arial" w:eastAsia="Arial" w:hAnsi="Arial"/>
          <w:color w:val="111111"/>
          <w:sz w:val="24"/>
          <w:szCs w:val="24"/>
          <w:highlight w:val="white"/>
          <w:vertAlign w:val="baseline"/>
          <w:rtl w:val="0"/>
        </w:rPr>
        <w:t xml:space="preserve">. [online] Available at: </w:t>
      </w:r>
      <w:hyperlink r:id="rId17">
        <w:r w:rsidDel="00000000" w:rsidR="00000000" w:rsidRPr="00000000">
          <w:rPr>
            <w:rFonts w:ascii="Arial" w:cs="Arial" w:eastAsia="Arial" w:hAnsi="Arial"/>
            <w:color w:val="0000ff"/>
            <w:sz w:val="24"/>
            <w:szCs w:val="24"/>
            <w:highlight w:val="white"/>
            <w:u w:val="single"/>
            <w:vertAlign w:val="baseline"/>
            <w:rtl w:val="0"/>
          </w:rPr>
          <w:t xml:space="preserve">https://corporatefinanceinstitute.com/resources/knowledge/finance/current-ratio-formula/</w:t>
        </w:r>
      </w:hyperlink>
      <w:r w:rsidDel="00000000" w:rsidR="00000000" w:rsidRPr="00000000">
        <w:rPr>
          <w:rFonts w:ascii="Arial" w:cs="Arial" w:eastAsia="Arial" w:hAnsi="Arial"/>
          <w:color w:val="111111"/>
          <w:sz w:val="24"/>
          <w:szCs w:val="24"/>
          <w:highlight w:val="white"/>
          <w:vertAlign w:val="baseline"/>
          <w:rtl w:val="0"/>
        </w:rPr>
        <w:t xml:space="preserve">.</w:t>
      </w:r>
    </w:p>
    <w:p w:rsidR="00000000" w:rsidDel="00000000" w:rsidP="00000000" w:rsidRDefault="00000000" w:rsidRPr="00000000" w14:paraId="000000E8">
      <w:pPr>
        <w:numPr>
          <w:ilvl w:val="0"/>
          <w:numId w:val="10"/>
        </w:numPr>
        <w:spacing w:after="0" w:before="0" w:line="240" w:lineRule="auto"/>
        <w:ind w:left="720" w:right="0" w:hanging="360"/>
        <w:jc w:val="left"/>
        <w:rPr>
          <w:rFonts w:ascii="Arial" w:cs="Arial" w:eastAsia="Arial" w:hAnsi="Arial"/>
          <w:color w:val="111111"/>
          <w:sz w:val="24"/>
          <w:szCs w:val="24"/>
          <w:highlight w:val="white"/>
          <w:vertAlign w:val="baseline"/>
        </w:rPr>
      </w:pPr>
      <w:r w:rsidDel="00000000" w:rsidR="00000000" w:rsidRPr="00000000">
        <w:rPr>
          <w:rFonts w:ascii="Arial" w:cs="Arial" w:eastAsia="Arial" w:hAnsi="Arial"/>
          <w:color w:val="111111"/>
          <w:sz w:val="24"/>
          <w:szCs w:val="24"/>
          <w:highlight w:val="white"/>
          <w:vertAlign w:val="baseline"/>
          <w:rtl w:val="0"/>
        </w:rPr>
        <w:t xml:space="preserve">Investopedia, 2020. </w:t>
      </w:r>
      <w:r w:rsidDel="00000000" w:rsidR="00000000" w:rsidRPr="00000000">
        <w:rPr>
          <w:rFonts w:ascii="Arial" w:cs="Arial" w:eastAsia="Arial" w:hAnsi="Arial"/>
          <w:i w:val="1"/>
          <w:color w:val="111111"/>
          <w:sz w:val="24"/>
          <w:szCs w:val="24"/>
          <w:highlight w:val="white"/>
          <w:vertAlign w:val="baseline"/>
          <w:rtl w:val="0"/>
        </w:rPr>
        <w:t xml:space="preserve">Debt-To-Equity Ratio – D/E</w:t>
      </w:r>
      <w:r w:rsidDel="00000000" w:rsidR="00000000" w:rsidRPr="00000000">
        <w:rPr>
          <w:rFonts w:ascii="Arial" w:cs="Arial" w:eastAsia="Arial" w:hAnsi="Arial"/>
          <w:color w:val="111111"/>
          <w:sz w:val="24"/>
          <w:szCs w:val="24"/>
          <w:highlight w:val="white"/>
          <w:vertAlign w:val="baseline"/>
          <w:rtl w:val="0"/>
        </w:rPr>
        <w:t xml:space="preserve">. [online] Available at: </w:t>
      </w:r>
      <w:hyperlink r:id="rId18">
        <w:r w:rsidDel="00000000" w:rsidR="00000000" w:rsidRPr="00000000">
          <w:rPr>
            <w:rFonts w:ascii="Arial" w:cs="Arial" w:eastAsia="Arial" w:hAnsi="Arial"/>
            <w:color w:val="0000ff"/>
            <w:sz w:val="24"/>
            <w:szCs w:val="24"/>
            <w:highlight w:val="white"/>
            <w:u w:val="single"/>
            <w:vertAlign w:val="baseline"/>
            <w:rtl w:val="0"/>
          </w:rPr>
          <w:t xml:space="preserve">https://www.investopedia.com/terms/d/debtequityratio.asp</w:t>
        </w:r>
      </w:hyperlink>
      <w:r w:rsidDel="00000000" w:rsidR="00000000" w:rsidRPr="00000000">
        <w:rPr>
          <w:rFonts w:ascii="Arial" w:cs="Arial" w:eastAsia="Arial" w:hAnsi="Arial"/>
          <w:color w:val="111111"/>
          <w:sz w:val="24"/>
          <w:szCs w:val="24"/>
          <w:highlight w:val="white"/>
          <w:vertAlign w:val="baseline"/>
          <w:rtl w:val="0"/>
        </w:rPr>
        <w:t xml:space="preserve">.</w:t>
      </w:r>
    </w:p>
    <w:p w:rsidR="00000000" w:rsidDel="00000000" w:rsidP="00000000" w:rsidRDefault="00000000" w:rsidRPr="00000000" w14:paraId="000000E9">
      <w:pPr>
        <w:numPr>
          <w:ilvl w:val="0"/>
          <w:numId w:val="10"/>
        </w:numPr>
        <w:spacing w:after="0" w:before="0" w:line="240" w:lineRule="auto"/>
        <w:ind w:left="720" w:right="0" w:hanging="360"/>
        <w:jc w:val="left"/>
        <w:rPr>
          <w:rFonts w:ascii="Arial" w:cs="Arial" w:eastAsia="Arial" w:hAnsi="Arial"/>
          <w:color w:val="111111"/>
          <w:sz w:val="24"/>
          <w:szCs w:val="24"/>
          <w:highlight w:val="white"/>
          <w:vertAlign w:val="baseline"/>
        </w:rPr>
      </w:pPr>
      <w:r w:rsidDel="00000000" w:rsidR="00000000" w:rsidRPr="00000000">
        <w:rPr>
          <w:rFonts w:ascii="Arial" w:cs="Arial" w:eastAsia="Arial" w:hAnsi="Arial"/>
          <w:color w:val="111111"/>
          <w:sz w:val="24"/>
          <w:szCs w:val="24"/>
          <w:highlight w:val="white"/>
          <w:vertAlign w:val="baseline"/>
          <w:rtl w:val="0"/>
        </w:rPr>
        <w:t xml:space="preserve">Corporate Finance Institute, 2021. </w:t>
      </w:r>
      <w:r w:rsidDel="00000000" w:rsidR="00000000" w:rsidRPr="00000000">
        <w:rPr>
          <w:rFonts w:ascii="Arial" w:cs="Arial" w:eastAsia="Arial" w:hAnsi="Arial"/>
          <w:i w:val="1"/>
          <w:color w:val="111111"/>
          <w:sz w:val="24"/>
          <w:szCs w:val="24"/>
          <w:highlight w:val="white"/>
          <w:vertAlign w:val="baseline"/>
          <w:rtl w:val="0"/>
        </w:rPr>
        <w:t xml:space="preserve">Debt to Equity Ratio</w:t>
      </w:r>
      <w:r w:rsidDel="00000000" w:rsidR="00000000" w:rsidRPr="00000000">
        <w:rPr>
          <w:rFonts w:ascii="Arial" w:cs="Arial" w:eastAsia="Arial" w:hAnsi="Arial"/>
          <w:color w:val="111111"/>
          <w:sz w:val="24"/>
          <w:szCs w:val="24"/>
          <w:highlight w:val="white"/>
          <w:vertAlign w:val="baseline"/>
          <w:rtl w:val="0"/>
        </w:rPr>
        <w:t xml:space="preserve">. [online] Available at: </w:t>
      </w:r>
      <w:hyperlink r:id="rId19">
        <w:r w:rsidDel="00000000" w:rsidR="00000000" w:rsidRPr="00000000">
          <w:rPr>
            <w:rFonts w:ascii="Arial" w:cs="Arial" w:eastAsia="Arial" w:hAnsi="Arial"/>
            <w:color w:val="0000ff"/>
            <w:sz w:val="24"/>
            <w:szCs w:val="24"/>
            <w:highlight w:val="white"/>
            <w:u w:val="single"/>
            <w:vertAlign w:val="baseline"/>
            <w:rtl w:val="0"/>
          </w:rPr>
          <w:t xml:space="preserve">https://corporatefinanceinstitute.com/resources/knowledge/finance/debt-to-equity-ratio/</w:t>
        </w:r>
      </w:hyperlink>
      <w:r w:rsidDel="00000000" w:rsidR="00000000" w:rsidRPr="00000000">
        <w:rPr>
          <w:rtl w:val="0"/>
        </w:rPr>
      </w:r>
    </w:p>
    <w:p w:rsidR="00000000" w:rsidDel="00000000" w:rsidP="00000000" w:rsidRDefault="00000000" w:rsidRPr="00000000" w14:paraId="000000EA">
      <w:pPr>
        <w:numPr>
          <w:ilvl w:val="0"/>
          <w:numId w:val="10"/>
        </w:numPr>
        <w:spacing w:after="0" w:before="0" w:line="240" w:lineRule="auto"/>
        <w:ind w:left="720" w:right="0" w:hanging="360"/>
        <w:jc w:val="left"/>
        <w:rPr>
          <w:rFonts w:ascii="Arial" w:cs="Arial" w:eastAsia="Arial" w:hAnsi="Arial"/>
          <w:color w:val="1f1f1f"/>
          <w:sz w:val="24"/>
          <w:szCs w:val="24"/>
          <w:highlight w:val="white"/>
          <w:u w:val="single"/>
          <w:vertAlign w:val="baseline"/>
        </w:rPr>
      </w:pPr>
      <w:r w:rsidDel="00000000" w:rsidR="00000000" w:rsidRPr="00000000">
        <w:rPr>
          <w:rtl w:val="0"/>
        </w:rPr>
      </w:r>
    </w:p>
    <w:p w:rsidR="00000000" w:rsidDel="00000000" w:rsidP="00000000" w:rsidRDefault="00000000" w:rsidRPr="00000000" w14:paraId="000000EB">
      <w:pPr>
        <w:spacing w:after="160" w:before="0" w:line="259" w:lineRule="auto"/>
        <w:ind w:left="360" w:right="0" w:firstLine="0"/>
        <w:jc w:val="left"/>
        <w:rPr>
          <w:rFonts w:ascii="Arial" w:cs="Arial" w:eastAsia="Arial" w:hAnsi="Arial"/>
          <w:color w:val="000000"/>
          <w:sz w:val="24"/>
          <w:szCs w:val="24"/>
          <w:shd w:fill="auto" w:val="clear"/>
          <w:vertAlign w:val="baseline"/>
        </w:rPr>
      </w:pPr>
      <w:r w:rsidDel="00000000" w:rsidR="00000000" w:rsidRPr="00000000">
        <w:rPr>
          <w:rtl w:val="0"/>
        </w:rPr>
      </w:r>
    </w:p>
    <w:sectPr>
      <w:pgSz w:h="15840" w:w="12240" w:orient="portrait"/>
      <w:pgMar w:bottom="1440" w:top="1440"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1">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4">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5">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6">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7">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8">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9">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0">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1">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2">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revfine.com/average-room-rate-arr/" TargetMode="External"/><Relationship Id="rId10" Type="http://schemas.openxmlformats.org/officeDocument/2006/relationships/hyperlink" Target="https://www.hotelmanagement.net/operate/how-to-calculate-average-daily-rate" TargetMode="External"/><Relationship Id="rId13" Type="http://schemas.openxmlformats.org/officeDocument/2006/relationships/hyperlink" Target="https://corporatefinanceinstitute.com/resources/knowledge/finance/net-profit-margin/" TargetMode="External"/><Relationship Id="rId12" Type="http://schemas.openxmlformats.org/officeDocument/2006/relationships/hyperlink" Target="https://www.investopedia.com/terms/n/net_margin.asp"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nvestopedia.com/articles/04/031004.asp" TargetMode="External"/><Relationship Id="rId15" Type="http://schemas.openxmlformats.org/officeDocument/2006/relationships/hyperlink" Target="https://corporatefinanceinstitute.com/resources/knowledge/finance/return-on-equity-roe/" TargetMode="External"/><Relationship Id="rId14" Type="http://schemas.openxmlformats.org/officeDocument/2006/relationships/hyperlink" Target="https://www.investopedia.com/terms/r/returnonequity.asp" TargetMode="External"/><Relationship Id="rId17" Type="http://schemas.openxmlformats.org/officeDocument/2006/relationships/hyperlink" Target="https://corporatefinanceinstitute.com/resources/knowledge/finance/current-ratio-formula/" TargetMode="External"/><Relationship Id="rId16" Type="http://schemas.openxmlformats.org/officeDocument/2006/relationships/hyperlink" Target="https://www.investopedia.com/terms/c/currentratio.asp" TargetMode="External"/><Relationship Id="rId5" Type="http://schemas.openxmlformats.org/officeDocument/2006/relationships/styles" Target="styles.xml"/><Relationship Id="rId19" Type="http://schemas.openxmlformats.org/officeDocument/2006/relationships/hyperlink" Target="https://corporatefinanceinstitute.com/resources/knowledge/finance/debt-to-equity-ratio/" TargetMode="External"/><Relationship Id="rId6" Type="http://schemas.openxmlformats.org/officeDocument/2006/relationships/hyperlink" Target="https://www.accountingtools.com/articles/2017/5/13/income-statement-analysis" TargetMode="External"/><Relationship Id="rId18" Type="http://schemas.openxmlformats.org/officeDocument/2006/relationships/hyperlink" Target="https://www.investopedia.com/terms/d/debtequityratio.asp" TargetMode="External"/><Relationship Id="rId7" Type="http://schemas.openxmlformats.org/officeDocument/2006/relationships/hyperlink" Target="https://www.investopedia.com/articles/04/022504.asp" TargetMode="External"/><Relationship Id="rId8" Type="http://schemas.openxmlformats.org/officeDocument/2006/relationships/hyperlink" Target="https://www.accountingtools.com/articles/2017/5/16/balance-shee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