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0558" w:rsidRDefault="00AC0558" w:rsidP="00AC0558">
      <w:pPr>
        <w:jc w:val="center"/>
        <w:rPr>
          <w:rFonts w:ascii="Arial" w:hAnsi="Arial" w:cs="Arial"/>
          <w:b/>
          <w:sz w:val="72"/>
        </w:rPr>
      </w:pPr>
      <w:r>
        <w:rPr>
          <w:noProof/>
          <w:lang w:eastAsia="en-GB"/>
        </w:rPr>
        <w:drawing>
          <wp:anchor distT="0" distB="0" distL="114300" distR="114300" simplePos="0" relativeHeight="251658240" behindDoc="0" locked="0" layoutInCell="1" allowOverlap="1">
            <wp:simplePos x="0" y="0"/>
            <wp:positionH relativeFrom="column">
              <wp:posOffset>3781425</wp:posOffset>
            </wp:positionH>
            <wp:positionV relativeFrom="paragraph">
              <wp:posOffset>-494665</wp:posOffset>
            </wp:positionV>
            <wp:extent cx="2364740" cy="930275"/>
            <wp:effectExtent l="0" t="0" r="0" b="3175"/>
            <wp:wrapNone/>
            <wp:docPr id="23" name="Picture 23" descr="http://www.uniswales.ac.uk/wp/media/TSD_logo2013.png"/>
            <wp:cNvGraphicFramePr/>
            <a:graphic xmlns:a="http://schemas.openxmlformats.org/drawingml/2006/main">
              <a:graphicData uri="http://schemas.openxmlformats.org/drawingml/2006/picture">
                <pic:pic xmlns:pic="http://schemas.openxmlformats.org/drawingml/2006/picture">
                  <pic:nvPicPr>
                    <pic:cNvPr id="23" name="Picture 23" descr="http://www.uniswales.ac.uk/wp/media/TSD_logo2013.png"/>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64740" cy="9302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C0558" w:rsidRPr="00AC0558" w:rsidRDefault="00AC0558" w:rsidP="00AC0558">
      <w:pPr>
        <w:jc w:val="center"/>
        <w:rPr>
          <w:rFonts w:ascii="Arial" w:hAnsi="Arial" w:cs="Arial"/>
          <w:b/>
          <w:sz w:val="52"/>
        </w:rPr>
      </w:pPr>
    </w:p>
    <w:p w:rsidR="00AC0558" w:rsidRDefault="005D1C15" w:rsidP="00AC0558">
      <w:pPr>
        <w:jc w:val="center"/>
        <w:rPr>
          <w:rFonts w:ascii="Arial" w:hAnsi="Arial" w:cs="Arial"/>
          <w:b/>
          <w:sz w:val="72"/>
        </w:rPr>
      </w:pPr>
      <w:r>
        <w:rPr>
          <w:rFonts w:ascii="Arial" w:hAnsi="Arial" w:cs="Arial"/>
          <w:b/>
          <w:sz w:val="72"/>
        </w:rPr>
        <w:t>ECAD6004</w:t>
      </w:r>
    </w:p>
    <w:p w:rsidR="00AC0558" w:rsidRPr="00AC0558" w:rsidRDefault="00AC0558" w:rsidP="00AC0558">
      <w:pPr>
        <w:jc w:val="center"/>
        <w:rPr>
          <w:rFonts w:ascii="Arial" w:hAnsi="Arial" w:cs="Arial"/>
          <w:b/>
        </w:rPr>
      </w:pPr>
    </w:p>
    <w:p w:rsidR="00AC0558" w:rsidRDefault="00AC0558" w:rsidP="00AC0558">
      <w:pPr>
        <w:jc w:val="center"/>
        <w:rPr>
          <w:rFonts w:ascii="Arial" w:hAnsi="Arial" w:cs="Arial"/>
          <w:sz w:val="56"/>
        </w:rPr>
      </w:pPr>
      <w:r>
        <w:rPr>
          <w:rFonts w:ascii="Arial" w:hAnsi="Arial" w:cs="Arial"/>
          <w:sz w:val="56"/>
        </w:rPr>
        <w:t>Primary Education with QTS</w:t>
      </w:r>
    </w:p>
    <w:p w:rsidR="00AC0558" w:rsidRDefault="00AC0558" w:rsidP="00AC0558">
      <w:pPr>
        <w:jc w:val="center"/>
        <w:rPr>
          <w:rFonts w:ascii="Arial" w:hAnsi="Arial" w:cs="Arial"/>
          <w:sz w:val="48"/>
          <w:szCs w:val="48"/>
        </w:rPr>
      </w:pPr>
    </w:p>
    <w:p w:rsidR="005D1C15" w:rsidRPr="0038407D" w:rsidRDefault="002A4AB6" w:rsidP="005D1C15">
      <w:pPr>
        <w:jc w:val="center"/>
        <w:rPr>
          <w:rFonts w:ascii="Arial" w:hAnsi="Arial" w:cs="Arial"/>
          <w:b/>
          <w:sz w:val="64"/>
          <w:szCs w:val="64"/>
        </w:rPr>
      </w:pPr>
      <w:r w:rsidRPr="0038407D">
        <w:rPr>
          <w:rFonts w:ascii="Arial" w:hAnsi="Arial" w:cs="Arial"/>
          <w:b/>
          <w:bCs/>
          <w:sz w:val="64"/>
          <w:szCs w:val="64"/>
        </w:rPr>
        <w:t>“</w:t>
      </w:r>
      <w:r w:rsidR="0038407D" w:rsidRPr="0038407D">
        <w:rPr>
          <w:rFonts w:ascii="Arial" w:hAnsi="Arial" w:cs="Arial"/>
          <w:b/>
          <w:sz w:val="64"/>
          <w:szCs w:val="64"/>
        </w:rPr>
        <w:t>Consider how you might be able to develop the creative or enterprising skills of learners through your own pedagogy</w:t>
      </w:r>
      <w:r w:rsidR="0038407D" w:rsidRPr="0038407D">
        <w:rPr>
          <w:rFonts w:ascii="Arial" w:hAnsi="Arial" w:cs="Arial"/>
          <w:b/>
          <w:sz w:val="64"/>
          <w:szCs w:val="64"/>
        </w:rPr>
        <w:t>”</w:t>
      </w:r>
    </w:p>
    <w:p w:rsidR="00AC0558" w:rsidRDefault="00AC0558" w:rsidP="005D1C15">
      <w:pPr>
        <w:rPr>
          <w:rFonts w:ascii="Arial" w:hAnsi="Arial" w:cs="Arial"/>
          <w:sz w:val="24"/>
        </w:rPr>
      </w:pPr>
    </w:p>
    <w:p w:rsidR="00AC0558" w:rsidRDefault="00AC0558" w:rsidP="00AC0558">
      <w:pPr>
        <w:jc w:val="center"/>
        <w:rPr>
          <w:rFonts w:ascii="Arial" w:hAnsi="Arial" w:cs="Arial"/>
          <w:sz w:val="48"/>
        </w:rPr>
      </w:pPr>
    </w:p>
    <w:p w:rsidR="00AC0558" w:rsidRDefault="00AC0558" w:rsidP="00AC0558">
      <w:pPr>
        <w:jc w:val="center"/>
        <w:rPr>
          <w:rFonts w:ascii="Arial" w:hAnsi="Arial" w:cs="Arial"/>
          <w:sz w:val="36"/>
          <w:szCs w:val="18"/>
        </w:rPr>
      </w:pPr>
      <w:r>
        <w:rPr>
          <w:rFonts w:ascii="Arial" w:hAnsi="Arial" w:cs="Arial"/>
          <w:sz w:val="40"/>
        </w:rPr>
        <w:t xml:space="preserve">Module Lead: </w:t>
      </w:r>
      <w:r w:rsidR="005D1C15">
        <w:rPr>
          <w:rFonts w:ascii="Arial" w:hAnsi="Arial" w:cs="Arial"/>
          <w:sz w:val="40"/>
        </w:rPr>
        <w:t>Tom Cox</w:t>
      </w:r>
    </w:p>
    <w:p w:rsidR="00AC0558" w:rsidRDefault="00AC0558" w:rsidP="00AC0558">
      <w:pPr>
        <w:jc w:val="center"/>
        <w:rPr>
          <w:rFonts w:ascii="Arial" w:hAnsi="Arial" w:cs="Arial"/>
          <w:b/>
          <w:sz w:val="72"/>
        </w:rPr>
      </w:pPr>
    </w:p>
    <w:p w:rsidR="00AC0558" w:rsidRDefault="00AC0558" w:rsidP="00AC0558">
      <w:pPr>
        <w:jc w:val="center"/>
        <w:rPr>
          <w:rFonts w:ascii="Arial" w:hAnsi="Arial" w:cs="Arial"/>
          <w:b/>
          <w:sz w:val="72"/>
        </w:rPr>
      </w:pPr>
      <w:r>
        <w:rPr>
          <w:rFonts w:ascii="Arial" w:hAnsi="Arial" w:cs="Arial"/>
          <w:b/>
          <w:sz w:val="72"/>
        </w:rPr>
        <w:t>1500444</w:t>
      </w:r>
    </w:p>
    <w:p w:rsidR="00AC0558" w:rsidRDefault="00AC0558">
      <w:r>
        <w:rPr>
          <w:noProof/>
          <w:lang w:eastAsia="en-GB"/>
        </w:rPr>
        <w:drawing>
          <wp:anchor distT="0" distB="0" distL="114300" distR="114300" simplePos="0" relativeHeight="251660288" behindDoc="0" locked="0" layoutInCell="1" allowOverlap="1">
            <wp:simplePos x="0" y="0"/>
            <wp:positionH relativeFrom="column">
              <wp:posOffset>-293370</wp:posOffset>
            </wp:positionH>
            <wp:positionV relativeFrom="paragraph">
              <wp:posOffset>302895</wp:posOffset>
            </wp:positionV>
            <wp:extent cx="2364740" cy="930275"/>
            <wp:effectExtent l="0" t="0" r="0" b="3175"/>
            <wp:wrapNone/>
            <wp:docPr id="1" name="Picture 1" descr="http://www.uniswales.ac.uk/wp/media/TSD_logo20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niswales.ac.uk/wp/media/TSD_logo201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64740" cy="930275"/>
                    </a:xfrm>
                    <a:prstGeom prst="rect">
                      <a:avLst/>
                    </a:prstGeom>
                    <a:noFill/>
                  </pic:spPr>
                </pic:pic>
              </a:graphicData>
            </a:graphic>
            <wp14:sizeRelH relativeFrom="page">
              <wp14:pctWidth>0</wp14:pctWidth>
            </wp14:sizeRelH>
            <wp14:sizeRelV relativeFrom="page">
              <wp14:pctHeight>0</wp14:pctHeight>
            </wp14:sizeRelV>
          </wp:anchor>
        </w:drawing>
      </w:r>
    </w:p>
    <w:p w:rsidR="00A14C87" w:rsidRDefault="00A14C87" w:rsidP="00A14C87">
      <w:pPr>
        <w:spacing w:line="360" w:lineRule="auto"/>
        <w:rPr>
          <w:rFonts w:ascii="Times New Roman" w:hAnsi="Times New Roman" w:cs="Times New Roman"/>
          <w:b/>
          <w:sz w:val="28"/>
          <w:u w:val="single"/>
        </w:rPr>
      </w:pPr>
    </w:p>
    <w:tbl>
      <w:tblPr>
        <w:tblStyle w:val="TableGrid"/>
        <w:tblW w:w="10632" w:type="dxa"/>
        <w:jc w:val="center"/>
        <w:tblInd w:w="0" w:type="dxa"/>
        <w:tblLook w:val="00A0" w:firstRow="1" w:lastRow="0" w:firstColumn="1" w:lastColumn="0" w:noHBand="0" w:noVBand="0"/>
      </w:tblPr>
      <w:tblGrid>
        <w:gridCol w:w="10632"/>
      </w:tblGrid>
      <w:tr w:rsidR="00A14C87" w:rsidTr="00A14C87">
        <w:trPr>
          <w:jc w:val="center"/>
        </w:trPr>
        <w:tc>
          <w:tcPr>
            <w:tcW w:w="1063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hideMark/>
          </w:tcPr>
          <w:p w:rsidR="00A14C87" w:rsidRDefault="00A14C87">
            <w:pPr>
              <w:pStyle w:val="BodyText1"/>
              <w:jc w:val="center"/>
              <w:rPr>
                <w:rFonts w:ascii="Calibri" w:hAnsi="Calibri"/>
                <w:sz w:val="22"/>
                <w:szCs w:val="22"/>
              </w:rPr>
            </w:pPr>
            <w:r>
              <w:rPr>
                <w:rFonts w:ascii="Calibri" w:hAnsi="Calibri" w:cs="Calibri"/>
                <w:b/>
                <w:color w:val="000000"/>
                <w:sz w:val="40"/>
              </w:rPr>
              <w:lastRenderedPageBreak/>
              <w:t>Student Self Evaluation Form</w:t>
            </w:r>
          </w:p>
        </w:tc>
      </w:tr>
    </w:tbl>
    <w:p w:rsidR="00A14C87" w:rsidRDefault="00A14C87" w:rsidP="00A14C87">
      <w:pPr>
        <w:pStyle w:val="BodyText1"/>
        <w:jc w:val="both"/>
        <w:rPr>
          <w:rFonts w:ascii="Calibri" w:hAnsi="Calibri"/>
          <w:sz w:val="22"/>
          <w:szCs w:val="22"/>
        </w:rPr>
      </w:pPr>
    </w:p>
    <w:p w:rsidR="00A14C87" w:rsidRDefault="00A14C87" w:rsidP="00A14C87">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rsidR="00A14C87" w:rsidRDefault="00A14C87" w:rsidP="00A14C87">
      <w:pPr>
        <w:pStyle w:val="BodyText1"/>
        <w:jc w:val="both"/>
        <w:rPr>
          <w:rFonts w:ascii="Calibri" w:hAnsi="Calibri"/>
          <w:sz w:val="22"/>
          <w:szCs w:val="22"/>
        </w:rPr>
      </w:pPr>
      <w:r w:rsidRPr="00A14C87">
        <w:rPr>
          <w:rFonts w:ascii="Calibri" w:hAnsi="Calibri" w:cs="Calibri"/>
          <w:b/>
          <w:noProof/>
          <w:lang w:eastAsia="en-GB"/>
        </w:rPr>
        <mc:AlternateContent>
          <mc:Choice Requires="wps">
            <w:drawing>
              <wp:anchor distT="45720" distB="45720" distL="114300" distR="114300" simplePos="0" relativeHeight="251685888" behindDoc="0" locked="0" layoutInCell="1" allowOverlap="1" wp14:anchorId="1423A389" wp14:editId="36458594">
                <wp:simplePos x="0" y="0"/>
                <wp:positionH relativeFrom="column">
                  <wp:posOffset>2859966</wp:posOffset>
                </wp:positionH>
                <wp:positionV relativeFrom="paragraph">
                  <wp:posOffset>5879712</wp:posOffset>
                </wp:positionV>
                <wp:extent cx="3562597" cy="1769424"/>
                <wp:effectExtent l="0" t="0" r="19050" b="2159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597" cy="1769424"/>
                        </a:xfrm>
                        <a:prstGeom prst="rect">
                          <a:avLst/>
                        </a:prstGeom>
                        <a:solidFill>
                          <a:srgbClr val="FFFFFF"/>
                        </a:solidFill>
                        <a:ln w="9525">
                          <a:solidFill>
                            <a:srgbClr val="000000"/>
                          </a:solidFill>
                          <a:miter lim="800000"/>
                          <a:headEnd/>
                          <a:tailEnd/>
                        </a:ln>
                      </wps:spPr>
                      <wps:txbx>
                        <w:txbxContent>
                          <w:p w:rsidR="00357B55" w:rsidRDefault="00357B55" w:rsidP="00A14C87">
                            <w:r>
                              <w:rPr>
                                <w:rFonts w:ascii="Calibri" w:hAnsi="Calibri"/>
                                <w:szCs w:val="32"/>
                              </w:rPr>
                              <w:t>I feel that areas in which I need to develop are ensuring that I am more critical in order to show a balanced argument throughout my work</w:t>
                            </w:r>
                            <w:r w:rsidR="00E73212">
                              <w:rPr>
                                <w:rFonts w:ascii="Calibri" w:hAnsi="Calibri"/>
                                <w:szCs w:val="32"/>
                              </w:rPr>
                              <w:t xml:space="preserve">. Additionally, I feel that I need to familiarise myself with You Tube in order to feel more comfortable.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23A389" id="_x0000_t202" coordsize="21600,21600" o:spt="202" path="m,l,21600r21600,l21600,xe">
                <v:stroke joinstyle="miter"/>
                <v:path gradientshapeok="t" o:connecttype="rect"/>
              </v:shapetype>
              <v:shape id="Text Box 2" o:spid="_x0000_s1026" type="#_x0000_t202" style="position:absolute;left:0;text-align:left;margin-left:225.2pt;margin-top:462.95pt;width:280.5pt;height:139.3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">
                <v:textbox>
                  <w:txbxContent>
                    <w:p w:rsidR="00357B55" w:rsidRDefault="00357B55" w:rsidP="00A14C87">
                      <w:r>
                        <w:rPr>
                          <w:rFonts w:ascii="Calibri" w:hAnsi="Calibri"/>
                          <w:szCs w:val="32"/>
                        </w:rPr>
                        <w:t>I feel that areas in which I need to develop are ensuring that I am more critical in order to show a balanced argument throughout my work</w:t>
                      </w:r>
                      <w:r w:rsidR="00E73212">
                        <w:rPr>
                          <w:rFonts w:ascii="Calibri" w:hAnsi="Calibri"/>
                          <w:szCs w:val="32"/>
                        </w:rPr>
                        <w:t xml:space="preserve">. Additionally, I feel that I need to familiarise myself with You Tube in order to feel more comfortable. </w:t>
                      </w:r>
                    </w:p>
                  </w:txbxContent>
                </v:textbox>
              </v:shape>
            </w:pict>
          </mc:Fallback>
        </mc:AlternateContent>
      </w:r>
      <w:r w:rsidRPr="00A14C87">
        <w:rPr>
          <w:rFonts w:ascii="Calibri" w:hAnsi="Calibri" w:cs="Calibri"/>
          <w:b/>
          <w:noProof/>
          <w:lang w:eastAsia="en-GB"/>
        </w:rPr>
        <mc:AlternateContent>
          <mc:Choice Requires="wps">
            <w:drawing>
              <wp:anchor distT="45720" distB="45720" distL="114300" distR="114300" simplePos="0" relativeHeight="251683840" behindDoc="0" locked="0" layoutInCell="1" allowOverlap="1">
                <wp:simplePos x="0" y="0"/>
                <wp:positionH relativeFrom="column">
                  <wp:posOffset>-700645</wp:posOffset>
                </wp:positionH>
                <wp:positionV relativeFrom="paragraph">
                  <wp:posOffset>5882483</wp:posOffset>
                </wp:positionV>
                <wp:extent cx="3562597" cy="1769424"/>
                <wp:effectExtent l="0" t="0" r="19050" b="2159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597" cy="1769424"/>
                        </a:xfrm>
                        <a:prstGeom prst="rect">
                          <a:avLst/>
                        </a:prstGeom>
                        <a:solidFill>
                          <a:srgbClr val="FFFFFF"/>
                        </a:solidFill>
                        <a:ln w="9525">
                          <a:solidFill>
                            <a:srgbClr val="000000"/>
                          </a:solidFill>
                          <a:miter lim="800000"/>
                          <a:headEnd/>
                          <a:tailEnd/>
                        </a:ln>
                      </wps:spPr>
                      <wps:txbx>
                        <w:txbxContent>
                          <w:p w:rsidR="00357B55" w:rsidRDefault="00357B55">
                            <w:r>
                              <w:rPr>
                                <w:rFonts w:ascii="Calibri" w:hAnsi="Calibri"/>
                                <w:szCs w:val="32"/>
                              </w:rPr>
                              <w:t>I</w:t>
                            </w:r>
                            <w:r w:rsidR="00E73212">
                              <w:rPr>
                                <w:rFonts w:ascii="Calibri" w:hAnsi="Calibri"/>
                                <w:szCs w:val="32"/>
                              </w:rPr>
                              <w:t xml:space="preserve"> feel that I have successfully create a video which demonstrates a new and exciting teaching strategy to enhance creativity. Also, I think I have read numerous background readings into the area in order to support my work.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55.15pt;margin-top:463.2pt;width:280.5pt;height:139.3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">
                <v:textbox>
                  <w:txbxContent>
                    <w:p w:rsidR="00357B55" w:rsidRDefault="00357B55">
                      <w:r>
                        <w:rPr>
                          <w:rFonts w:ascii="Calibri" w:hAnsi="Calibri"/>
                          <w:szCs w:val="32"/>
                        </w:rPr>
                        <w:t>I</w:t>
                      </w:r>
                      <w:r w:rsidR="00E73212">
                        <w:rPr>
                          <w:rFonts w:ascii="Calibri" w:hAnsi="Calibri"/>
                          <w:szCs w:val="32"/>
                        </w:rPr>
                        <w:t xml:space="preserve"> feel that I have successfully create a video which demonstrates a new and exciting teaching strategy to enhance creativity. Also, I think I have read numerous background readings into the area in order to support my work. </w:t>
                      </w:r>
                    </w:p>
                  </w:txbxContent>
                </v:textbox>
              </v:shape>
            </w:pict>
          </mc:Fallback>
        </mc:AlternateContent>
      </w:r>
    </w:p>
    <w:tbl>
      <w:tblPr>
        <w:tblW w:w="6203" w:type="pct"/>
        <w:jc w:val="center"/>
        <w:tblLayout w:type="fixed"/>
        <w:tblLook w:val="04A0" w:firstRow="1" w:lastRow="0" w:firstColumn="1" w:lastColumn="0" w:noHBand="0" w:noVBand="1"/>
      </w:tblPr>
      <w:tblGrid>
        <w:gridCol w:w="2509"/>
        <w:gridCol w:w="1238"/>
        <w:gridCol w:w="1176"/>
        <w:gridCol w:w="670"/>
        <w:gridCol w:w="523"/>
        <w:gridCol w:w="1342"/>
        <w:gridCol w:w="1193"/>
        <w:gridCol w:w="1294"/>
        <w:gridCol w:w="1240"/>
      </w:tblGrid>
      <w:tr w:rsidR="00A14C87" w:rsidTr="00A14C87">
        <w:trPr>
          <w:jc w:val="center"/>
        </w:trPr>
        <w:tc>
          <w:tcPr>
            <w:tcW w:w="2509"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rPr>
                <w:rFonts w:ascii="Calibri" w:hAnsi="Calibri"/>
                <w:b/>
                <w:szCs w:val="24"/>
              </w:rPr>
            </w:pPr>
            <w:r>
              <w:rPr>
                <w:rFonts w:ascii="Calibri" w:hAnsi="Calibri"/>
                <w:b/>
                <w:szCs w:val="16"/>
              </w:rPr>
              <w:t xml:space="preserve">Common Assessment Criteria </w:t>
            </w:r>
            <w:r>
              <w:rPr>
                <w:rFonts w:ascii="Calibri" w:hAnsi="Calibri"/>
                <w:b/>
              </w:rPr>
              <w:t>Applied</w:t>
            </w:r>
          </w:p>
        </w:tc>
        <w:tc>
          <w:tcPr>
            <w:tcW w:w="8676" w:type="dxa"/>
            <w:gridSpan w:val="8"/>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jc w:val="center"/>
              <w:rPr>
                <w:rFonts w:ascii="Calibri" w:hAnsi="Calibri"/>
                <w:b/>
              </w:rPr>
            </w:pPr>
            <w:r>
              <w:rPr>
                <w:rFonts w:ascii="Calibri" w:hAnsi="Calibri"/>
                <w:b/>
              </w:rPr>
              <w:t>Level of Achievement</w:t>
            </w:r>
          </w:p>
        </w:tc>
      </w:tr>
      <w:tr w:rsidR="00A14C87" w:rsidTr="00A14C87">
        <w:trPr>
          <w:trHeight w:val="548"/>
          <w:jc w:val="center"/>
        </w:trPr>
        <w:tc>
          <w:tcPr>
            <w:tcW w:w="2509" w:type="dxa"/>
            <w:vMerge/>
            <w:tcBorders>
              <w:top w:val="single" w:sz="4" w:space="0" w:color="auto"/>
              <w:left w:val="single" w:sz="4" w:space="0" w:color="auto"/>
              <w:bottom w:val="single" w:sz="4" w:space="0" w:color="auto"/>
              <w:right w:val="single" w:sz="4" w:space="0" w:color="auto"/>
            </w:tcBorders>
            <w:vAlign w:val="center"/>
            <w:hideMark/>
          </w:tcPr>
          <w:p w:rsidR="00A14C87" w:rsidRDefault="00A14C87">
            <w:pPr>
              <w:rPr>
                <w:rFonts w:ascii="Calibri" w:hAnsi="Calibri"/>
                <w:b/>
                <w:szCs w:val="24"/>
                <w:lang w:val="en-US"/>
              </w:rPr>
            </w:pPr>
          </w:p>
        </w:tc>
        <w:tc>
          <w:tcPr>
            <w:tcW w:w="2414"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jc w:val="center"/>
              <w:rPr>
                <w:rFonts w:ascii="Calibri" w:hAnsi="Calibri"/>
                <w:b/>
                <w:sz w:val="18"/>
              </w:rPr>
            </w:pPr>
            <w:r>
              <w:rPr>
                <w:rFonts w:ascii="Calibri" w:hAnsi="Calibri"/>
                <w:b/>
                <w:sz w:val="18"/>
              </w:rPr>
              <w:t>REFER</w:t>
            </w:r>
          </w:p>
        </w:tc>
        <w:tc>
          <w:tcPr>
            <w:tcW w:w="1193"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jc w:val="center"/>
              <w:rPr>
                <w:rFonts w:ascii="Calibri" w:hAnsi="Calibri"/>
                <w:b/>
                <w:sz w:val="18"/>
              </w:rPr>
            </w:pPr>
            <w:r>
              <w:rPr>
                <w:rFonts w:ascii="Calibri" w:hAnsi="Calibri"/>
                <w:b/>
                <w:sz w:val="18"/>
              </w:rPr>
              <w:t>3</w:t>
            </w:r>
            <w:r>
              <w:rPr>
                <w:rFonts w:ascii="Calibri" w:hAnsi="Calibri"/>
                <w:b/>
                <w:sz w:val="18"/>
                <w:vertAlign w:val="superscript"/>
              </w:rPr>
              <w:t>rd</w:t>
            </w:r>
          </w:p>
        </w:tc>
        <w:tc>
          <w:tcPr>
            <w:tcW w:w="134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jc w:val="center"/>
              <w:rPr>
                <w:rFonts w:ascii="Calibri" w:hAnsi="Calibri"/>
                <w:b/>
                <w:sz w:val="18"/>
              </w:rPr>
            </w:pPr>
            <w:r>
              <w:rPr>
                <w:rFonts w:ascii="Calibri" w:hAnsi="Calibri"/>
                <w:b/>
                <w:sz w:val="18"/>
              </w:rPr>
              <w:t>2:2</w:t>
            </w:r>
          </w:p>
        </w:tc>
        <w:tc>
          <w:tcPr>
            <w:tcW w:w="119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jc w:val="center"/>
              <w:rPr>
                <w:rFonts w:ascii="Calibri" w:hAnsi="Calibri"/>
                <w:b/>
                <w:sz w:val="18"/>
              </w:rPr>
            </w:pPr>
            <w:r>
              <w:rPr>
                <w:rFonts w:ascii="Calibri" w:hAnsi="Calibri"/>
                <w:b/>
                <w:sz w:val="18"/>
              </w:rPr>
              <w:t>2:1</w:t>
            </w:r>
          </w:p>
        </w:tc>
        <w:tc>
          <w:tcPr>
            <w:tcW w:w="2534"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jc w:val="center"/>
              <w:rPr>
                <w:rFonts w:ascii="Calibri" w:hAnsi="Calibri"/>
                <w:b/>
                <w:sz w:val="18"/>
              </w:rPr>
            </w:pPr>
            <w:r>
              <w:rPr>
                <w:rFonts w:ascii="Calibri" w:hAnsi="Calibri"/>
                <w:b/>
                <w:sz w:val="18"/>
              </w:rPr>
              <w:t>1</w:t>
            </w:r>
            <w:r>
              <w:rPr>
                <w:rFonts w:ascii="Calibri" w:hAnsi="Calibri"/>
                <w:b/>
                <w:sz w:val="18"/>
                <w:vertAlign w:val="superscript"/>
              </w:rPr>
              <w:t>st</w:t>
            </w:r>
          </w:p>
        </w:tc>
      </w:tr>
      <w:tr w:rsidR="00A14C87" w:rsidTr="00A14C87">
        <w:trPr>
          <w:trHeight w:val="450"/>
          <w:jc w:val="center"/>
        </w:trPr>
        <w:tc>
          <w:tcPr>
            <w:tcW w:w="2509" w:type="dxa"/>
            <w:tcBorders>
              <w:top w:val="single" w:sz="4" w:space="0" w:color="auto"/>
              <w:left w:val="single" w:sz="4" w:space="0" w:color="auto"/>
              <w:bottom w:val="nil"/>
              <w:right w:val="single" w:sz="4" w:space="0" w:color="auto"/>
            </w:tcBorders>
            <w:shd w:val="clear" w:color="auto" w:fill="BFBFBF"/>
          </w:tcPr>
          <w:p w:rsidR="00A14C87" w:rsidRDefault="00A14C87">
            <w:pPr>
              <w:rPr>
                <w:rFonts w:ascii="Calibri" w:hAnsi="Calibri"/>
                <w:b/>
                <w:sz w:val="24"/>
                <w:szCs w:val="16"/>
              </w:rPr>
            </w:pPr>
          </w:p>
        </w:tc>
        <w:tc>
          <w:tcPr>
            <w:tcW w:w="1238"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OUTRIGHT FAIL</w:t>
            </w:r>
          </w:p>
        </w:tc>
        <w:tc>
          <w:tcPr>
            <w:tcW w:w="11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UNSATISFACTORY</w:t>
            </w:r>
          </w:p>
        </w:tc>
        <w:tc>
          <w:tcPr>
            <w:tcW w:w="1193"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SATISFACTORY</w:t>
            </w:r>
          </w:p>
        </w:tc>
        <w:tc>
          <w:tcPr>
            <w:tcW w:w="134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GOOD</w:t>
            </w:r>
          </w:p>
        </w:tc>
        <w:tc>
          <w:tcPr>
            <w:tcW w:w="119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VERY GOOD</w:t>
            </w:r>
          </w:p>
        </w:tc>
        <w:tc>
          <w:tcPr>
            <w:tcW w:w="1294"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EXCELLENT</w:t>
            </w:r>
          </w:p>
        </w:tc>
        <w:tc>
          <w:tcPr>
            <w:tcW w:w="124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EXCEPTIONAL</w:t>
            </w:r>
          </w:p>
        </w:tc>
      </w:tr>
      <w:tr w:rsidR="00A14C87" w:rsidTr="00A14C87">
        <w:trPr>
          <w:trHeight w:val="450"/>
          <w:jc w:val="center"/>
        </w:trPr>
        <w:tc>
          <w:tcPr>
            <w:tcW w:w="2509" w:type="dxa"/>
            <w:vMerge w:val="restart"/>
            <w:tcBorders>
              <w:top w:val="single" w:sz="4" w:space="0" w:color="auto"/>
              <w:left w:val="single" w:sz="4" w:space="0" w:color="auto"/>
              <w:bottom w:val="single" w:sz="4" w:space="0" w:color="auto"/>
              <w:right w:val="single" w:sz="4" w:space="0" w:color="auto"/>
            </w:tcBorders>
            <w:hideMark/>
          </w:tcPr>
          <w:p w:rsidR="00A14C87" w:rsidRDefault="00A14C87">
            <w:pPr>
              <w:rPr>
                <w:rFonts w:ascii="Calibri" w:hAnsi="Calibri"/>
                <w:sz w:val="14"/>
                <w:szCs w:val="14"/>
              </w:rPr>
            </w:pPr>
            <w:r>
              <w:rPr>
                <w:rFonts w:ascii="Calibri" w:hAnsi="Calibri"/>
                <w:b/>
                <w:szCs w:val="16"/>
              </w:rPr>
              <w:t xml:space="preserve">1. Subject Knowledge and Understanding </w:t>
            </w:r>
            <w:r>
              <w:rPr>
                <w:rFonts w:ascii="Calibri" w:hAnsi="Calibri"/>
                <w:sz w:val="18"/>
                <w:szCs w:val="18"/>
              </w:rPr>
              <w:t>(which includes using research-informed literature and knowledge and understanding of the subject)</w:t>
            </w:r>
          </w:p>
        </w:tc>
        <w:tc>
          <w:tcPr>
            <w:tcW w:w="1238"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szCs w:val="24"/>
              </w:rPr>
            </w:pPr>
            <w:r>
              <w:rPr>
                <w:rFonts w:ascii="Calibri" w:hAnsi="Calibri"/>
                <w:sz w:val="18"/>
              </w:rPr>
              <w:t>0-29%</w:t>
            </w:r>
          </w:p>
        </w:tc>
        <w:tc>
          <w:tcPr>
            <w:tcW w:w="1176"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rPr>
            </w:pPr>
            <w:r>
              <w:rPr>
                <w:rFonts w:ascii="Calibri" w:hAnsi="Calibri"/>
                <w:sz w:val="18"/>
              </w:rPr>
              <w:t>30-39%</w:t>
            </w:r>
          </w:p>
        </w:tc>
        <w:tc>
          <w:tcPr>
            <w:tcW w:w="1193" w:type="dxa"/>
            <w:gridSpan w:val="2"/>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40-49%</w:t>
            </w:r>
          </w:p>
        </w:tc>
        <w:tc>
          <w:tcPr>
            <w:tcW w:w="1342"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50-59%</w:t>
            </w:r>
          </w:p>
        </w:tc>
        <w:tc>
          <w:tcPr>
            <w:tcW w:w="1193"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60-69%</w:t>
            </w:r>
          </w:p>
        </w:tc>
        <w:tc>
          <w:tcPr>
            <w:tcW w:w="1294"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70-79%</w:t>
            </w:r>
          </w:p>
        </w:tc>
        <w:tc>
          <w:tcPr>
            <w:tcW w:w="1240"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80-100%</w:t>
            </w:r>
          </w:p>
        </w:tc>
      </w:tr>
      <w:tr w:rsidR="00A14C87" w:rsidTr="00A14C87">
        <w:trPr>
          <w:trHeight w:val="946"/>
          <w:jc w:val="center"/>
        </w:trPr>
        <w:tc>
          <w:tcPr>
            <w:tcW w:w="2509" w:type="dxa"/>
            <w:vMerge/>
            <w:tcBorders>
              <w:top w:val="single" w:sz="4" w:space="0" w:color="auto"/>
              <w:left w:val="single" w:sz="4" w:space="0" w:color="auto"/>
              <w:bottom w:val="single" w:sz="4" w:space="0" w:color="auto"/>
              <w:right w:val="single" w:sz="4" w:space="0" w:color="auto"/>
            </w:tcBorders>
            <w:vAlign w:val="center"/>
            <w:hideMark/>
          </w:tcPr>
          <w:p w:rsidR="00A14C87" w:rsidRDefault="00A14C87">
            <w:pPr>
              <w:rPr>
                <w:rFonts w:ascii="Calibri" w:hAnsi="Calibri"/>
                <w:sz w:val="14"/>
                <w:szCs w:val="14"/>
                <w:lang w:val="en-US"/>
              </w:rPr>
            </w:pPr>
          </w:p>
        </w:tc>
        <w:tc>
          <w:tcPr>
            <w:tcW w:w="1238"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 w:val="24"/>
                <w:szCs w:val="32"/>
              </w:rPr>
            </w:pPr>
          </w:p>
        </w:tc>
        <w:tc>
          <w:tcPr>
            <w:tcW w:w="1176"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gridSpan w:val="2"/>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342"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tcBorders>
              <w:top w:val="single" w:sz="4" w:space="0" w:color="auto"/>
              <w:left w:val="single" w:sz="4" w:space="0" w:color="auto"/>
              <w:bottom w:val="single" w:sz="4" w:space="0" w:color="auto"/>
              <w:right w:val="single" w:sz="4" w:space="0" w:color="auto"/>
            </w:tcBorders>
            <w:vAlign w:val="center"/>
            <w:hideMark/>
          </w:tcPr>
          <w:p w:rsidR="00A14C87" w:rsidRDefault="0038407D">
            <w:pPr>
              <w:jc w:val="center"/>
              <w:rPr>
                <w:rFonts w:ascii="Calibri" w:hAnsi="Calibri"/>
                <w:szCs w:val="32"/>
              </w:rPr>
            </w:pPr>
            <w:r>
              <w:rPr>
                <w:noProof/>
                <w:szCs w:val="24"/>
                <w:lang w:eastAsia="en-GB"/>
              </w:rPr>
              <w:drawing>
                <wp:anchor distT="0" distB="0" distL="114300" distR="114300" simplePos="0" relativeHeight="251679744" behindDoc="0" locked="0" layoutInCell="1" allowOverlap="1">
                  <wp:simplePos x="0" y="0"/>
                  <wp:positionH relativeFrom="column">
                    <wp:posOffset>85090</wp:posOffset>
                  </wp:positionH>
                  <wp:positionV relativeFrom="paragraph">
                    <wp:posOffset>23495</wp:posOffset>
                  </wp:positionV>
                  <wp:extent cx="304800" cy="281940"/>
                  <wp:effectExtent l="0" t="0" r="0" b="3810"/>
                  <wp:wrapNone/>
                  <wp:docPr id="16" name="Picture 16" descr="Image result for tick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ck clip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4800" cy="281940"/>
                          </a:xfrm>
                          <a:prstGeom prst="rect">
                            <a:avLst/>
                          </a:prstGeom>
                          <a:noFill/>
                        </pic:spPr>
                      </pic:pic>
                    </a:graphicData>
                  </a:graphic>
                  <wp14:sizeRelH relativeFrom="page">
                    <wp14:pctWidth>0</wp14:pctWidth>
                  </wp14:sizeRelH>
                  <wp14:sizeRelV relativeFrom="page">
                    <wp14:pctHeight>0</wp14:pctHeight>
                  </wp14:sizeRelV>
                </wp:anchor>
              </w:drawing>
            </w:r>
          </w:p>
        </w:tc>
        <w:tc>
          <w:tcPr>
            <w:tcW w:w="1294"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240"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 w:val="18"/>
                <w:szCs w:val="32"/>
              </w:rPr>
            </w:pPr>
          </w:p>
        </w:tc>
      </w:tr>
      <w:tr w:rsidR="00A14C87" w:rsidTr="00A14C87">
        <w:trPr>
          <w:trHeight w:val="450"/>
          <w:jc w:val="center"/>
        </w:trPr>
        <w:tc>
          <w:tcPr>
            <w:tcW w:w="2509" w:type="dxa"/>
            <w:vMerge w:val="restart"/>
            <w:tcBorders>
              <w:top w:val="single" w:sz="4" w:space="0" w:color="auto"/>
              <w:left w:val="single" w:sz="4" w:space="0" w:color="auto"/>
              <w:bottom w:val="single" w:sz="4" w:space="0" w:color="auto"/>
              <w:right w:val="single" w:sz="4" w:space="0" w:color="auto"/>
            </w:tcBorders>
            <w:hideMark/>
          </w:tcPr>
          <w:p w:rsidR="00A14C87" w:rsidRDefault="00A14C87">
            <w:pPr>
              <w:rPr>
                <w:rFonts w:ascii="Calibri" w:hAnsi="Calibri"/>
                <w:b/>
                <w:sz w:val="24"/>
                <w:szCs w:val="24"/>
              </w:rPr>
            </w:pPr>
            <w:r>
              <w:rPr>
                <w:rFonts w:ascii="Calibri" w:hAnsi="Calibri"/>
                <w:b/>
                <w:szCs w:val="16"/>
              </w:rPr>
              <w:t xml:space="preserve">2. Intellectual Skills </w:t>
            </w:r>
            <w:r>
              <w:rPr>
                <w:rFonts w:ascii="Calibri" w:hAnsi="Calibri"/>
                <w:sz w:val="18"/>
                <w:szCs w:val="18"/>
              </w:rPr>
              <w:t>(Analysis)</w:t>
            </w:r>
          </w:p>
        </w:tc>
        <w:tc>
          <w:tcPr>
            <w:tcW w:w="1238"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rPr>
            </w:pPr>
            <w:r>
              <w:rPr>
                <w:rFonts w:ascii="Calibri" w:hAnsi="Calibri"/>
                <w:sz w:val="18"/>
              </w:rPr>
              <w:t>0-29%</w:t>
            </w:r>
          </w:p>
        </w:tc>
        <w:tc>
          <w:tcPr>
            <w:tcW w:w="1176"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rPr>
            </w:pPr>
            <w:r>
              <w:rPr>
                <w:rFonts w:ascii="Calibri" w:hAnsi="Calibri"/>
                <w:sz w:val="18"/>
              </w:rPr>
              <w:t>30-39%</w:t>
            </w:r>
          </w:p>
        </w:tc>
        <w:tc>
          <w:tcPr>
            <w:tcW w:w="1193" w:type="dxa"/>
            <w:gridSpan w:val="2"/>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40-49%</w:t>
            </w:r>
          </w:p>
        </w:tc>
        <w:tc>
          <w:tcPr>
            <w:tcW w:w="1342"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50-59%</w:t>
            </w:r>
          </w:p>
        </w:tc>
        <w:tc>
          <w:tcPr>
            <w:tcW w:w="1193"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60-69%</w:t>
            </w:r>
          </w:p>
        </w:tc>
        <w:tc>
          <w:tcPr>
            <w:tcW w:w="1294"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70-79%</w:t>
            </w:r>
          </w:p>
        </w:tc>
        <w:tc>
          <w:tcPr>
            <w:tcW w:w="1240"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80-100%</w:t>
            </w:r>
          </w:p>
        </w:tc>
      </w:tr>
      <w:tr w:rsidR="00A14C87" w:rsidTr="00A14C87">
        <w:trPr>
          <w:trHeight w:val="970"/>
          <w:jc w:val="center"/>
        </w:trPr>
        <w:tc>
          <w:tcPr>
            <w:tcW w:w="2509" w:type="dxa"/>
            <w:vMerge/>
            <w:tcBorders>
              <w:top w:val="single" w:sz="4" w:space="0" w:color="auto"/>
              <w:left w:val="single" w:sz="4" w:space="0" w:color="auto"/>
              <w:bottom w:val="single" w:sz="4" w:space="0" w:color="auto"/>
              <w:right w:val="single" w:sz="4" w:space="0" w:color="auto"/>
            </w:tcBorders>
            <w:vAlign w:val="center"/>
            <w:hideMark/>
          </w:tcPr>
          <w:p w:rsidR="00A14C87" w:rsidRDefault="00A14C87">
            <w:pPr>
              <w:rPr>
                <w:rFonts w:ascii="Calibri" w:hAnsi="Calibri"/>
                <w:b/>
                <w:sz w:val="24"/>
                <w:szCs w:val="24"/>
                <w:lang w:val="en-US"/>
              </w:rPr>
            </w:pPr>
          </w:p>
        </w:tc>
        <w:tc>
          <w:tcPr>
            <w:tcW w:w="1238"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 w:val="24"/>
                <w:szCs w:val="32"/>
              </w:rPr>
            </w:pPr>
          </w:p>
        </w:tc>
        <w:tc>
          <w:tcPr>
            <w:tcW w:w="1176"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gridSpan w:val="2"/>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342" w:type="dxa"/>
            <w:tcBorders>
              <w:top w:val="single" w:sz="4" w:space="0" w:color="auto"/>
              <w:left w:val="single" w:sz="4" w:space="0" w:color="auto"/>
              <w:bottom w:val="single" w:sz="4" w:space="0" w:color="auto"/>
              <w:right w:val="single" w:sz="4" w:space="0" w:color="auto"/>
            </w:tcBorders>
            <w:vAlign w:val="center"/>
            <w:hideMark/>
          </w:tcPr>
          <w:p w:rsidR="00A14C87" w:rsidRDefault="00A14C87">
            <w:pPr>
              <w:jc w:val="center"/>
              <w:rPr>
                <w:rFonts w:ascii="Calibri" w:hAnsi="Calibri"/>
                <w:szCs w:val="32"/>
              </w:rPr>
            </w:pPr>
          </w:p>
        </w:tc>
        <w:tc>
          <w:tcPr>
            <w:tcW w:w="1193" w:type="dxa"/>
            <w:tcBorders>
              <w:top w:val="single" w:sz="4" w:space="0" w:color="auto"/>
              <w:left w:val="single" w:sz="4" w:space="0" w:color="auto"/>
              <w:bottom w:val="single" w:sz="4" w:space="0" w:color="auto"/>
              <w:right w:val="single" w:sz="4" w:space="0" w:color="auto"/>
            </w:tcBorders>
            <w:vAlign w:val="center"/>
          </w:tcPr>
          <w:p w:rsidR="00A14C87" w:rsidRDefault="0038407D">
            <w:pPr>
              <w:jc w:val="center"/>
              <w:rPr>
                <w:rFonts w:ascii="Calibri" w:hAnsi="Calibri"/>
                <w:szCs w:val="32"/>
              </w:rPr>
            </w:pPr>
            <w:r>
              <w:rPr>
                <w:noProof/>
                <w:szCs w:val="24"/>
                <w:lang w:eastAsia="en-GB"/>
              </w:rPr>
              <w:drawing>
                <wp:anchor distT="0" distB="0" distL="114300" distR="114300" simplePos="0" relativeHeight="251680768" behindDoc="0" locked="0" layoutInCell="1" allowOverlap="1">
                  <wp:simplePos x="0" y="0"/>
                  <wp:positionH relativeFrom="column">
                    <wp:posOffset>89535</wp:posOffset>
                  </wp:positionH>
                  <wp:positionV relativeFrom="paragraph">
                    <wp:posOffset>125095</wp:posOffset>
                  </wp:positionV>
                  <wp:extent cx="304800" cy="281940"/>
                  <wp:effectExtent l="0" t="0" r="0" b="3810"/>
                  <wp:wrapNone/>
                  <wp:docPr id="15" name="Picture 15" descr="Image result for tick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ick clip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4800" cy="281940"/>
                          </a:xfrm>
                          <a:prstGeom prst="rect">
                            <a:avLst/>
                          </a:prstGeom>
                          <a:noFill/>
                        </pic:spPr>
                      </pic:pic>
                    </a:graphicData>
                  </a:graphic>
                  <wp14:sizeRelH relativeFrom="page">
                    <wp14:pctWidth>0</wp14:pctWidth>
                  </wp14:sizeRelH>
                  <wp14:sizeRelV relativeFrom="page">
                    <wp14:pctHeight>0</wp14:pctHeight>
                  </wp14:sizeRelV>
                </wp:anchor>
              </w:drawing>
            </w:r>
          </w:p>
        </w:tc>
        <w:tc>
          <w:tcPr>
            <w:tcW w:w="1294"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240"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r>
      <w:tr w:rsidR="00A14C87" w:rsidTr="00A14C87">
        <w:trPr>
          <w:trHeight w:val="450"/>
          <w:jc w:val="center"/>
        </w:trPr>
        <w:tc>
          <w:tcPr>
            <w:tcW w:w="2509" w:type="dxa"/>
            <w:vMerge w:val="restart"/>
            <w:tcBorders>
              <w:top w:val="single" w:sz="4" w:space="0" w:color="auto"/>
              <w:left w:val="single" w:sz="4" w:space="0" w:color="auto"/>
              <w:bottom w:val="single" w:sz="4" w:space="0" w:color="auto"/>
              <w:right w:val="single" w:sz="4" w:space="0" w:color="auto"/>
            </w:tcBorders>
            <w:hideMark/>
          </w:tcPr>
          <w:p w:rsidR="00A14C87" w:rsidRDefault="00A14C87">
            <w:pPr>
              <w:rPr>
                <w:rFonts w:ascii="Calibri" w:hAnsi="Calibri"/>
                <w:b/>
                <w:szCs w:val="16"/>
              </w:rPr>
            </w:pPr>
            <w:r>
              <w:rPr>
                <w:rFonts w:ascii="Calibri" w:hAnsi="Calibri"/>
                <w:b/>
                <w:szCs w:val="16"/>
              </w:rPr>
              <w:t>3. Pedagogic and Professional Applications</w:t>
            </w:r>
          </w:p>
          <w:p w:rsidR="00A14C87" w:rsidRDefault="00A14C87">
            <w:pPr>
              <w:rPr>
                <w:rFonts w:ascii="Calibri" w:hAnsi="Calibri"/>
                <w:sz w:val="18"/>
                <w:szCs w:val="18"/>
              </w:rPr>
            </w:pPr>
            <w:r>
              <w:rPr>
                <w:rFonts w:ascii="Calibri" w:hAnsi="Calibri"/>
                <w:sz w:val="18"/>
                <w:szCs w:val="18"/>
              </w:rPr>
              <w:t>(Practical Application and Deployment)</w:t>
            </w:r>
          </w:p>
        </w:tc>
        <w:tc>
          <w:tcPr>
            <w:tcW w:w="1238"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szCs w:val="24"/>
              </w:rPr>
            </w:pPr>
            <w:r>
              <w:rPr>
                <w:rFonts w:ascii="Calibri" w:hAnsi="Calibri"/>
                <w:sz w:val="18"/>
              </w:rPr>
              <w:t>0-29%</w:t>
            </w:r>
          </w:p>
        </w:tc>
        <w:tc>
          <w:tcPr>
            <w:tcW w:w="1176"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rPr>
            </w:pPr>
            <w:r>
              <w:rPr>
                <w:rFonts w:ascii="Calibri" w:hAnsi="Calibri"/>
                <w:sz w:val="18"/>
              </w:rPr>
              <w:t>30-39%</w:t>
            </w:r>
          </w:p>
        </w:tc>
        <w:tc>
          <w:tcPr>
            <w:tcW w:w="1193" w:type="dxa"/>
            <w:gridSpan w:val="2"/>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40-49%</w:t>
            </w:r>
          </w:p>
        </w:tc>
        <w:tc>
          <w:tcPr>
            <w:tcW w:w="1342"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50-59%</w:t>
            </w:r>
          </w:p>
        </w:tc>
        <w:tc>
          <w:tcPr>
            <w:tcW w:w="1193"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60-69%</w:t>
            </w:r>
          </w:p>
        </w:tc>
        <w:tc>
          <w:tcPr>
            <w:tcW w:w="1294"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70-79%</w:t>
            </w:r>
          </w:p>
        </w:tc>
        <w:tc>
          <w:tcPr>
            <w:tcW w:w="1240"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80-100%</w:t>
            </w:r>
          </w:p>
        </w:tc>
      </w:tr>
      <w:tr w:rsidR="00A14C87" w:rsidTr="00A14C87">
        <w:trPr>
          <w:trHeight w:val="1095"/>
          <w:jc w:val="center"/>
        </w:trPr>
        <w:tc>
          <w:tcPr>
            <w:tcW w:w="2509" w:type="dxa"/>
            <w:vMerge/>
            <w:tcBorders>
              <w:top w:val="single" w:sz="4" w:space="0" w:color="auto"/>
              <w:left w:val="single" w:sz="4" w:space="0" w:color="auto"/>
              <w:bottom w:val="single" w:sz="4" w:space="0" w:color="auto"/>
              <w:right w:val="single" w:sz="4" w:space="0" w:color="auto"/>
            </w:tcBorders>
            <w:vAlign w:val="center"/>
            <w:hideMark/>
          </w:tcPr>
          <w:p w:rsidR="00A14C87" w:rsidRDefault="00A14C87">
            <w:pPr>
              <w:rPr>
                <w:rFonts w:ascii="Calibri" w:hAnsi="Calibri"/>
                <w:sz w:val="18"/>
                <w:szCs w:val="18"/>
                <w:lang w:val="en-US"/>
              </w:rPr>
            </w:pPr>
          </w:p>
        </w:tc>
        <w:tc>
          <w:tcPr>
            <w:tcW w:w="1238"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 w:val="24"/>
                <w:szCs w:val="32"/>
              </w:rPr>
            </w:pPr>
          </w:p>
        </w:tc>
        <w:tc>
          <w:tcPr>
            <w:tcW w:w="1176"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gridSpan w:val="2"/>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342"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tcBorders>
              <w:top w:val="single" w:sz="4" w:space="0" w:color="auto"/>
              <w:left w:val="single" w:sz="4" w:space="0" w:color="auto"/>
              <w:bottom w:val="single" w:sz="4" w:space="0" w:color="auto"/>
              <w:right w:val="single" w:sz="4" w:space="0" w:color="auto"/>
            </w:tcBorders>
            <w:vAlign w:val="center"/>
            <w:hideMark/>
          </w:tcPr>
          <w:p w:rsidR="00A14C87" w:rsidRDefault="004E4232">
            <w:pPr>
              <w:jc w:val="center"/>
              <w:rPr>
                <w:rFonts w:ascii="Calibri" w:hAnsi="Calibri"/>
                <w:szCs w:val="32"/>
              </w:rPr>
            </w:pPr>
            <w:r>
              <w:rPr>
                <w:noProof/>
                <w:szCs w:val="24"/>
                <w:lang w:eastAsia="en-GB"/>
              </w:rPr>
              <w:drawing>
                <wp:anchor distT="0" distB="0" distL="114300" distR="114300" simplePos="0" relativeHeight="251678720" behindDoc="0" locked="0" layoutInCell="1" allowOverlap="1">
                  <wp:simplePos x="0" y="0"/>
                  <wp:positionH relativeFrom="column">
                    <wp:posOffset>165735</wp:posOffset>
                  </wp:positionH>
                  <wp:positionV relativeFrom="paragraph">
                    <wp:posOffset>48895</wp:posOffset>
                  </wp:positionV>
                  <wp:extent cx="304800" cy="281940"/>
                  <wp:effectExtent l="0" t="0" r="0" b="3810"/>
                  <wp:wrapNone/>
                  <wp:docPr id="14" name="Picture 14" descr="Image result for tick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ick clip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4800" cy="281940"/>
                          </a:xfrm>
                          <a:prstGeom prst="rect">
                            <a:avLst/>
                          </a:prstGeom>
                          <a:noFill/>
                        </pic:spPr>
                      </pic:pic>
                    </a:graphicData>
                  </a:graphic>
                  <wp14:sizeRelH relativeFrom="page">
                    <wp14:pctWidth>0</wp14:pctWidth>
                  </wp14:sizeRelH>
                  <wp14:sizeRelV relativeFrom="page">
                    <wp14:pctHeight>0</wp14:pctHeight>
                  </wp14:sizeRelV>
                </wp:anchor>
              </w:drawing>
            </w:r>
          </w:p>
        </w:tc>
        <w:tc>
          <w:tcPr>
            <w:tcW w:w="1294"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240"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r>
      <w:tr w:rsidR="00A14C87" w:rsidTr="00A14C87">
        <w:trPr>
          <w:trHeight w:val="451"/>
          <w:jc w:val="center"/>
        </w:trPr>
        <w:tc>
          <w:tcPr>
            <w:tcW w:w="2509" w:type="dxa"/>
            <w:vMerge w:val="restart"/>
            <w:tcBorders>
              <w:top w:val="single" w:sz="4" w:space="0" w:color="auto"/>
              <w:left w:val="single" w:sz="4" w:space="0" w:color="auto"/>
              <w:bottom w:val="single" w:sz="4" w:space="0" w:color="auto"/>
              <w:right w:val="single" w:sz="4" w:space="0" w:color="auto"/>
            </w:tcBorders>
            <w:hideMark/>
          </w:tcPr>
          <w:p w:rsidR="00A14C87" w:rsidRDefault="00A14C87">
            <w:pPr>
              <w:rPr>
                <w:rFonts w:ascii="Calibri" w:hAnsi="Calibri"/>
                <w:sz w:val="14"/>
                <w:szCs w:val="14"/>
              </w:rPr>
            </w:pPr>
            <w:r>
              <w:rPr>
                <w:rFonts w:ascii="Calibri" w:hAnsi="Calibri"/>
                <w:b/>
                <w:szCs w:val="16"/>
              </w:rPr>
              <w:t>4. Key Transferable Skills</w:t>
            </w:r>
          </w:p>
        </w:tc>
        <w:tc>
          <w:tcPr>
            <w:tcW w:w="1238"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szCs w:val="24"/>
              </w:rPr>
            </w:pPr>
            <w:r>
              <w:rPr>
                <w:rFonts w:ascii="Calibri" w:hAnsi="Calibri"/>
                <w:sz w:val="18"/>
              </w:rPr>
              <w:t>0-29%</w:t>
            </w:r>
          </w:p>
        </w:tc>
        <w:tc>
          <w:tcPr>
            <w:tcW w:w="1176"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rPr>
            </w:pPr>
            <w:r>
              <w:rPr>
                <w:rFonts w:ascii="Calibri" w:hAnsi="Calibri"/>
                <w:sz w:val="18"/>
              </w:rPr>
              <w:t>30-39%</w:t>
            </w:r>
          </w:p>
        </w:tc>
        <w:tc>
          <w:tcPr>
            <w:tcW w:w="1193" w:type="dxa"/>
            <w:gridSpan w:val="2"/>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40-49%</w:t>
            </w:r>
          </w:p>
        </w:tc>
        <w:tc>
          <w:tcPr>
            <w:tcW w:w="1342"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50-59%</w:t>
            </w:r>
          </w:p>
        </w:tc>
        <w:tc>
          <w:tcPr>
            <w:tcW w:w="1193"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60-69%</w:t>
            </w:r>
          </w:p>
        </w:tc>
        <w:tc>
          <w:tcPr>
            <w:tcW w:w="1294"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70-79%</w:t>
            </w:r>
          </w:p>
        </w:tc>
        <w:tc>
          <w:tcPr>
            <w:tcW w:w="1240"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80-100%</w:t>
            </w:r>
          </w:p>
        </w:tc>
      </w:tr>
      <w:tr w:rsidR="00A14C87" w:rsidTr="00A14C87">
        <w:trPr>
          <w:trHeight w:val="947"/>
          <w:jc w:val="center"/>
        </w:trPr>
        <w:tc>
          <w:tcPr>
            <w:tcW w:w="2509" w:type="dxa"/>
            <w:vMerge/>
            <w:tcBorders>
              <w:top w:val="single" w:sz="4" w:space="0" w:color="auto"/>
              <w:left w:val="single" w:sz="4" w:space="0" w:color="auto"/>
              <w:bottom w:val="single" w:sz="4" w:space="0" w:color="auto"/>
              <w:right w:val="single" w:sz="4" w:space="0" w:color="auto"/>
            </w:tcBorders>
            <w:vAlign w:val="center"/>
            <w:hideMark/>
          </w:tcPr>
          <w:p w:rsidR="00A14C87" w:rsidRDefault="00A14C87">
            <w:pPr>
              <w:rPr>
                <w:rFonts w:ascii="Calibri" w:hAnsi="Calibri"/>
                <w:sz w:val="14"/>
                <w:szCs w:val="14"/>
                <w:lang w:val="en-US"/>
              </w:rPr>
            </w:pPr>
          </w:p>
        </w:tc>
        <w:tc>
          <w:tcPr>
            <w:tcW w:w="1238"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 w:val="24"/>
                <w:szCs w:val="32"/>
              </w:rPr>
            </w:pPr>
          </w:p>
        </w:tc>
        <w:tc>
          <w:tcPr>
            <w:tcW w:w="1176"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gridSpan w:val="2"/>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342"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294" w:type="dxa"/>
            <w:tcBorders>
              <w:top w:val="single" w:sz="4" w:space="0" w:color="auto"/>
              <w:left w:val="single" w:sz="4" w:space="0" w:color="auto"/>
              <w:bottom w:val="single" w:sz="4" w:space="0" w:color="auto"/>
              <w:right w:val="single" w:sz="4" w:space="0" w:color="auto"/>
            </w:tcBorders>
            <w:vAlign w:val="center"/>
            <w:hideMark/>
          </w:tcPr>
          <w:p w:rsidR="00A14C87" w:rsidRDefault="00A14C87">
            <w:pPr>
              <w:jc w:val="center"/>
              <w:rPr>
                <w:rFonts w:ascii="Calibri" w:hAnsi="Calibri"/>
                <w:szCs w:val="32"/>
              </w:rPr>
            </w:pPr>
            <w:r>
              <w:rPr>
                <w:noProof/>
                <w:szCs w:val="24"/>
                <w:lang w:eastAsia="en-GB"/>
              </w:rPr>
              <w:drawing>
                <wp:anchor distT="0" distB="0" distL="114300" distR="114300" simplePos="0" relativeHeight="251681792" behindDoc="0" locked="0" layoutInCell="1" allowOverlap="1">
                  <wp:simplePos x="0" y="0"/>
                  <wp:positionH relativeFrom="column">
                    <wp:posOffset>213995</wp:posOffset>
                  </wp:positionH>
                  <wp:positionV relativeFrom="paragraph">
                    <wp:posOffset>150495</wp:posOffset>
                  </wp:positionV>
                  <wp:extent cx="304800" cy="281940"/>
                  <wp:effectExtent l="0" t="0" r="0" b="3810"/>
                  <wp:wrapNone/>
                  <wp:docPr id="6" name="Picture 6" descr="Image result for tick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ick clip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4800" cy="281940"/>
                          </a:xfrm>
                          <a:prstGeom prst="rect">
                            <a:avLst/>
                          </a:prstGeom>
                          <a:noFill/>
                        </pic:spPr>
                      </pic:pic>
                    </a:graphicData>
                  </a:graphic>
                  <wp14:sizeRelH relativeFrom="page">
                    <wp14:pctWidth>0</wp14:pctWidth>
                  </wp14:sizeRelH>
                  <wp14:sizeRelV relativeFrom="page">
                    <wp14:pctHeight>0</wp14:pctHeight>
                  </wp14:sizeRelV>
                </wp:anchor>
              </w:drawing>
            </w:r>
          </w:p>
        </w:tc>
        <w:tc>
          <w:tcPr>
            <w:tcW w:w="1240"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r>
      <w:tr w:rsidR="00A14C87" w:rsidTr="00A14C87">
        <w:trPr>
          <w:trHeight w:val="167"/>
          <w:jc w:val="center"/>
        </w:trPr>
        <w:tc>
          <w:tcPr>
            <w:tcW w:w="11185" w:type="dxa"/>
            <w:gridSpan w:val="9"/>
            <w:tcBorders>
              <w:top w:val="single" w:sz="4" w:space="0" w:color="auto"/>
              <w:left w:val="nil"/>
              <w:bottom w:val="single" w:sz="4" w:space="0" w:color="auto"/>
              <w:right w:val="nil"/>
            </w:tcBorders>
          </w:tcPr>
          <w:p w:rsidR="00A14C87" w:rsidRDefault="00A14C87">
            <w:pPr>
              <w:spacing w:before="120" w:after="120"/>
              <w:jc w:val="both"/>
              <w:rPr>
                <w:rFonts w:ascii="Calibri" w:hAnsi="Calibri" w:cs="Calibri"/>
                <w:b/>
                <w:sz w:val="4"/>
                <w:szCs w:val="24"/>
              </w:rPr>
            </w:pPr>
          </w:p>
        </w:tc>
      </w:tr>
      <w:tr w:rsidR="00A14C87" w:rsidTr="00A14C87">
        <w:trPr>
          <w:trHeight w:val="953"/>
          <w:jc w:val="center"/>
        </w:trPr>
        <w:tc>
          <w:tcPr>
            <w:tcW w:w="559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A14C87" w:rsidRDefault="00A14C87">
            <w:pPr>
              <w:spacing w:before="120" w:after="120"/>
              <w:jc w:val="both"/>
              <w:rPr>
                <w:rFonts w:ascii="Calibri" w:hAnsi="Calibri" w:cs="Calibri"/>
                <w:b/>
                <w:sz w:val="24"/>
              </w:rPr>
            </w:pPr>
            <w:r>
              <w:rPr>
                <w:rFonts w:ascii="Calibri" w:hAnsi="Calibri" w:cs="Calibri"/>
                <w:b/>
              </w:rPr>
              <w:t xml:space="preserve">PLEASE COMMENT ON AREAS IN WHICH YOU FEEL THAT YOU HAVE PERFORMED WELL </w:t>
            </w:r>
          </w:p>
        </w:tc>
        <w:tc>
          <w:tcPr>
            <w:tcW w:w="5592" w:type="dxa"/>
            <w:gridSpan w:val="5"/>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A14C87" w:rsidRDefault="00A14C8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 TO DEVELOP</w:t>
            </w:r>
          </w:p>
        </w:tc>
      </w:tr>
    </w:tbl>
    <w:p w:rsidR="00A14C87" w:rsidRDefault="00A14C87" w:rsidP="00A14C87">
      <w:pPr>
        <w:rPr>
          <w:szCs w:val="24"/>
          <w:lang w:val="en-US"/>
        </w:rPr>
      </w:pPr>
    </w:p>
    <w:p w:rsidR="00A14C87" w:rsidRDefault="00A14C87" w:rsidP="00A14C87"/>
    <w:p w:rsidR="00A14C87" w:rsidRDefault="00A14C87" w:rsidP="00AC0558">
      <w:pPr>
        <w:spacing w:line="360" w:lineRule="auto"/>
        <w:jc w:val="center"/>
        <w:rPr>
          <w:rFonts w:ascii="Times New Roman" w:hAnsi="Times New Roman" w:cs="Times New Roman"/>
          <w:b/>
          <w:sz w:val="28"/>
          <w:u w:val="single"/>
        </w:rPr>
      </w:pPr>
    </w:p>
    <w:p w:rsidR="00A14C87" w:rsidRDefault="00A14C87" w:rsidP="00AC0558">
      <w:pPr>
        <w:spacing w:line="360" w:lineRule="auto"/>
        <w:jc w:val="center"/>
        <w:rPr>
          <w:rFonts w:ascii="Times New Roman" w:hAnsi="Times New Roman" w:cs="Times New Roman"/>
          <w:b/>
          <w:sz w:val="28"/>
          <w:u w:val="single"/>
        </w:rPr>
      </w:pPr>
    </w:p>
    <w:p w:rsidR="00A14C87" w:rsidRDefault="00A14C87" w:rsidP="00AC0558">
      <w:pPr>
        <w:spacing w:line="360" w:lineRule="auto"/>
        <w:jc w:val="center"/>
        <w:rPr>
          <w:rFonts w:ascii="Times New Roman" w:hAnsi="Times New Roman" w:cs="Times New Roman"/>
          <w:b/>
          <w:sz w:val="28"/>
          <w:u w:val="single"/>
        </w:rPr>
      </w:pPr>
    </w:p>
    <w:p w:rsidR="0002192F" w:rsidRDefault="0002192F" w:rsidP="00AC0558"/>
    <w:p w:rsidR="0038407D" w:rsidRPr="00E9381C" w:rsidRDefault="0038407D" w:rsidP="0038407D">
      <w:pPr>
        <w:jc w:val="center"/>
        <w:rPr>
          <w:rFonts w:ascii="Times New Roman" w:hAnsi="Times New Roman" w:cs="Times New Roman"/>
          <w:b/>
          <w:sz w:val="32"/>
          <w:szCs w:val="32"/>
        </w:rPr>
      </w:pPr>
      <w:r>
        <w:rPr>
          <w:rFonts w:ascii="Times New Roman" w:hAnsi="Times New Roman" w:cs="Times New Roman"/>
          <w:b/>
          <w:sz w:val="32"/>
          <w:szCs w:val="32"/>
        </w:rPr>
        <w:lastRenderedPageBreak/>
        <w:t>ECAD6004</w:t>
      </w:r>
    </w:p>
    <w:p w:rsidR="0038407D" w:rsidRPr="00E9381C" w:rsidRDefault="0038407D" w:rsidP="0038407D">
      <w:pPr>
        <w:spacing w:after="180" w:line="360" w:lineRule="auto"/>
        <w:rPr>
          <w:rFonts w:ascii="Times New Roman" w:eastAsia="Times New Roman" w:hAnsi="Times New Roman" w:cs="Times New Roman"/>
          <w:color w:val="000000"/>
          <w:sz w:val="28"/>
          <w:szCs w:val="28"/>
          <w:lang w:eastAsia="en-GB"/>
        </w:rPr>
      </w:pPr>
      <w:r w:rsidRPr="00E9381C">
        <w:rPr>
          <w:rFonts w:ascii="Times New Roman" w:eastAsia="Times New Roman" w:hAnsi="Times New Roman" w:cs="Times New Roman"/>
          <w:color w:val="000000"/>
          <w:sz w:val="28"/>
          <w:szCs w:val="28"/>
          <w:lang w:eastAsia="en-GB"/>
        </w:rPr>
        <w:t>You Tube Link:</w:t>
      </w:r>
      <w:r w:rsidR="00070045">
        <w:rPr>
          <w:rFonts w:ascii="Times New Roman" w:eastAsia="Times New Roman" w:hAnsi="Times New Roman" w:cs="Times New Roman"/>
          <w:color w:val="000000"/>
          <w:sz w:val="28"/>
          <w:szCs w:val="28"/>
          <w:lang w:eastAsia="en-GB"/>
        </w:rPr>
        <w:t xml:space="preserve"> </w:t>
      </w:r>
      <w:hyperlink r:id="rId9" w:history="1">
        <w:r w:rsidR="00070045" w:rsidRPr="0083299E">
          <w:rPr>
            <w:rStyle w:val="Hyperlink"/>
            <w:rFonts w:ascii="Times New Roman" w:eastAsia="Times New Roman" w:hAnsi="Times New Roman" w:cs="Times New Roman"/>
            <w:sz w:val="28"/>
            <w:szCs w:val="28"/>
            <w:lang w:eastAsia="en-GB"/>
          </w:rPr>
          <w:t>https://youtu.be/i7yQbz7gp5M</w:t>
        </w:r>
      </w:hyperlink>
      <w:r w:rsidR="00070045">
        <w:rPr>
          <w:rFonts w:ascii="Times New Roman" w:eastAsia="Times New Roman" w:hAnsi="Times New Roman" w:cs="Times New Roman"/>
          <w:color w:val="000000"/>
          <w:sz w:val="28"/>
          <w:szCs w:val="28"/>
          <w:lang w:eastAsia="en-GB"/>
        </w:rPr>
        <w:t xml:space="preserve"> </w:t>
      </w:r>
      <w:bookmarkStart w:id="0" w:name="_GoBack"/>
      <w:bookmarkEnd w:id="0"/>
    </w:p>
    <w:p w:rsidR="0038407D" w:rsidRPr="0011573F" w:rsidRDefault="0038407D" w:rsidP="0038407D">
      <w:pPr>
        <w:spacing w:after="180" w:line="360" w:lineRule="auto"/>
        <w:rPr>
          <w:rFonts w:ascii="Times New Roman" w:hAnsi="Times New Roman" w:cs="Times New Roman"/>
          <w:sz w:val="24"/>
          <w:szCs w:val="24"/>
        </w:rPr>
      </w:pPr>
      <w:r w:rsidRPr="0011573F">
        <w:rPr>
          <w:rFonts w:ascii="Times New Roman" w:eastAsia="Times New Roman" w:hAnsi="Times New Roman" w:cs="Times New Roman"/>
          <w:color w:val="000000"/>
          <w:sz w:val="24"/>
          <w:szCs w:val="24"/>
          <w:lang w:eastAsia="en-GB"/>
        </w:rPr>
        <w:t>“</w:t>
      </w:r>
      <w:r w:rsidRPr="0011573F">
        <w:rPr>
          <w:rFonts w:ascii="Times New Roman" w:hAnsi="Times New Roman" w:cs="Times New Roman"/>
          <w:sz w:val="24"/>
          <w:szCs w:val="24"/>
        </w:rPr>
        <w:t>Creativity and enterprise are central features of modern life that should be developed and extended throughout a school career” Donaldson (2015). Therefore more emphasis should be placed on these two attributes within the classroom. This video aims to define creativity, whilst suggesting a unique teaching and learning strategy which can be used within the classroom in order to promote and develop the learners creativity.</w:t>
      </w:r>
    </w:p>
    <w:p w:rsidR="0038407D" w:rsidRPr="0011573F" w:rsidRDefault="0038407D" w:rsidP="0038407D">
      <w:pPr>
        <w:spacing w:after="180" w:line="360" w:lineRule="auto"/>
        <w:rPr>
          <w:rFonts w:ascii="Times New Roman" w:hAnsi="Times New Roman" w:cs="Times New Roman"/>
          <w:sz w:val="24"/>
          <w:szCs w:val="24"/>
        </w:rPr>
      </w:pPr>
      <w:r w:rsidRPr="0011573F">
        <w:rPr>
          <w:rFonts w:ascii="Times New Roman" w:hAnsi="Times New Roman" w:cs="Times New Roman"/>
          <w:sz w:val="24"/>
          <w:szCs w:val="24"/>
        </w:rPr>
        <w:t xml:space="preserve">Creativity can be defined as the “imaginative activity fashioned to produce outcomes that are both original and of value” NACCCE. It is made up of the following four distinctive elements; </w:t>
      </w:r>
    </w:p>
    <w:p w:rsidR="0038407D" w:rsidRPr="0011573F" w:rsidRDefault="0038407D" w:rsidP="0038407D">
      <w:pPr>
        <w:spacing w:after="180" w:line="360" w:lineRule="auto"/>
        <w:rPr>
          <w:rFonts w:ascii="Times New Roman" w:hAnsi="Times New Roman" w:cs="Times New Roman"/>
          <w:sz w:val="24"/>
          <w:szCs w:val="24"/>
        </w:rPr>
      </w:pPr>
      <w:r w:rsidRPr="0011573F">
        <w:rPr>
          <w:rFonts w:ascii="Times New Roman" w:hAnsi="Times New Roman" w:cs="Times New Roman"/>
          <w:sz w:val="24"/>
          <w:szCs w:val="24"/>
        </w:rPr>
        <w:t xml:space="preserve">-being original. </w:t>
      </w:r>
    </w:p>
    <w:p w:rsidR="0038407D" w:rsidRPr="0011573F" w:rsidRDefault="0038407D" w:rsidP="0038407D">
      <w:pPr>
        <w:spacing w:after="180" w:line="360" w:lineRule="auto"/>
        <w:rPr>
          <w:rFonts w:ascii="Times New Roman" w:hAnsi="Times New Roman" w:cs="Times New Roman"/>
          <w:sz w:val="24"/>
          <w:szCs w:val="24"/>
        </w:rPr>
      </w:pPr>
      <w:r w:rsidRPr="0011573F">
        <w:rPr>
          <w:rFonts w:ascii="Times New Roman" w:hAnsi="Times New Roman" w:cs="Times New Roman"/>
          <w:sz w:val="24"/>
          <w:szCs w:val="24"/>
        </w:rPr>
        <w:t>-judging value.</w:t>
      </w:r>
    </w:p>
    <w:p w:rsidR="0038407D" w:rsidRPr="0011573F" w:rsidRDefault="0038407D" w:rsidP="0038407D">
      <w:pPr>
        <w:spacing w:after="180" w:line="360" w:lineRule="auto"/>
        <w:rPr>
          <w:rFonts w:ascii="Times New Roman" w:hAnsi="Times New Roman" w:cs="Times New Roman"/>
          <w:sz w:val="24"/>
          <w:szCs w:val="24"/>
        </w:rPr>
      </w:pPr>
      <w:r w:rsidRPr="0011573F">
        <w:rPr>
          <w:rFonts w:ascii="Times New Roman" w:hAnsi="Times New Roman" w:cs="Times New Roman"/>
          <w:sz w:val="24"/>
          <w:szCs w:val="24"/>
        </w:rPr>
        <w:t xml:space="preserve">-pursuing purposes. </w:t>
      </w:r>
    </w:p>
    <w:p w:rsidR="0038407D" w:rsidRPr="0011573F" w:rsidRDefault="0038407D" w:rsidP="0038407D">
      <w:pPr>
        <w:spacing w:after="180" w:line="360" w:lineRule="auto"/>
        <w:rPr>
          <w:rFonts w:ascii="Times New Roman" w:hAnsi="Times New Roman" w:cs="Times New Roman"/>
          <w:sz w:val="24"/>
          <w:szCs w:val="24"/>
        </w:rPr>
      </w:pPr>
      <w:r w:rsidRPr="0011573F">
        <w:rPr>
          <w:rFonts w:ascii="Times New Roman" w:hAnsi="Times New Roman" w:cs="Times New Roman"/>
          <w:sz w:val="24"/>
          <w:szCs w:val="24"/>
        </w:rPr>
        <w:t xml:space="preserve">-using imagination. </w:t>
      </w:r>
    </w:p>
    <w:p w:rsidR="0038407D" w:rsidRPr="0011573F" w:rsidRDefault="0038407D" w:rsidP="0038407D">
      <w:pPr>
        <w:spacing w:after="180" w:line="360" w:lineRule="auto"/>
        <w:rPr>
          <w:rFonts w:ascii="Times New Roman" w:hAnsi="Times New Roman" w:cs="Times New Roman"/>
          <w:sz w:val="24"/>
          <w:szCs w:val="24"/>
        </w:rPr>
      </w:pPr>
    </w:p>
    <w:p w:rsidR="0038407D" w:rsidRPr="0011573F" w:rsidRDefault="0038407D" w:rsidP="0038407D">
      <w:pPr>
        <w:spacing w:after="180" w:line="360" w:lineRule="auto"/>
        <w:rPr>
          <w:rFonts w:ascii="Times New Roman" w:hAnsi="Times New Roman" w:cs="Times New Roman"/>
          <w:sz w:val="24"/>
          <w:szCs w:val="24"/>
        </w:rPr>
      </w:pPr>
      <w:r w:rsidRPr="0011573F">
        <w:rPr>
          <w:rFonts w:ascii="Times New Roman" w:hAnsi="Times New Roman" w:cs="Times New Roman"/>
          <w:sz w:val="24"/>
          <w:szCs w:val="24"/>
        </w:rPr>
        <w:t xml:space="preserve">Whilst developing the children’s creativity and enterprise skills, it is important that the teacher considers their own role. Robinson states that the core role of the teacher is to facilitate the learning. This could be done using an interventionist or non-interventionist role.  </w:t>
      </w:r>
    </w:p>
    <w:p w:rsidR="0038407D" w:rsidRDefault="0038407D" w:rsidP="0038407D">
      <w:pPr>
        <w:spacing w:after="180" w:line="360" w:lineRule="auto"/>
        <w:rPr>
          <w:rFonts w:ascii="Times New Roman" w:hAnsi="Times New Roman" w:cs="Times New Roman"/>
          <w:sz w:val="24"/>
          <w:szCs w:val="24"/>
        </w:rPr>
      </w:pPr>
      <w:r w:rsidRPr="0011573F">
        <w:rPr>
          <w:rFonts w:ascii="Times New Roman" w:hAnsi="Times New Roman" w:cs="Times New Roman"/>
          <w:sz w:val="24"/>
          <w:szCs w:val="24"/>
        </w:rPr>
        <w:t xml:space="preserve">A teaching and learning strategy which could be used within the classroom and one strategy I have observed in practice is Mantle of the expert. Mantle of the expert was developed by Professor Dorothy Heathcote. It is a dramatic-inquiry based method </w:t>
      </w:r>
      <w:r>
        <w:rPr>
          <w:rFonts w:ascii="Times New Roman" w:hAnsi="Times New Roman" w:cs="Times New Roman"/>
          <w:sz w:val="24"/>
          <w:szCs w:val="24"/>
        </w:rPr>
        <w:t xml:space="preserve">of teaching and learning which consists of; inquiry learning, drama for learning and mantle of the expert. It involves the teacher planning a fictional context which allows the students to take on the responsibilities of an expert team. As a team, they are encouraged to work on an assignment which has been planned to generate tasks and activities involving wide areas of the curriculum. </w:t>
      </w:r>
    </w:p>
    <w:p w:rsidR="0038407D" w:rsidRDefault="0038407D" w:rsidP="0038407D">
      <w:pPr>
        <w:spacing w:after="180" w:line="360" w:lineRule="auto"/>
        <w:rPr>
          <w:rFonts w:ascii="Times New Roman" w:hAnsi="Times New Roman" w:cs="Times New Roman"/>
          <w:sz w:val="24"/>
          <w:szCs w:val="24"/>
        </w:rPr>
      </w:pPr>
    </w:p>
    <w:p w:rsidR="0038407D" w:rsidRPr="00302C3B" w:rsidRDefault="0038407D" w:rsidP="0038407D">
      <w:pPr>
        <w:spacing w:after="18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An example of a series of lesson which incorporates mantle of the expert creatively would be to teach a science investigation. The scenario would be set up as if the children work in a local castle. </w:t>
      </w:r>
      <w:r w:rsidRPr="00302C3B">
        <w:rPr>
          <w:rFonts w:ascii="Times New Roman" w:hAnsi="Times New Roman" w:cs="Times New Roman"/>
          <w:sz w:val="24"/>
          <w:szCs w:val="24"/>
        </w:rPr>
        <w:t xml:space="preserve">They </w:t>
      </w:r>
      <w:r w:rsidRPr="00302C3B">
        <w:rPr>
          <w:rFonts w:ascii="Times New Roman" w:hAnsi="Times New Roman" w:cs="Times New Roman"/>
        </w:rPr>
        <w:t xml:space="preserve">received a </w:t>
      </w:r>
      <w:proofErr w:type="spellStart"/>
      <w:r w:rsidRPr="00302C3B">
        <w:rPr>
          <w:rFonts w:ascii="Times New Roman" w:hAnsi="Times New Roman" w:cs="Times New Roman"/>
        </w:rPr>
        <w:t>morfo</w:t>
      </w:r>
      <w:proofErr w:type="spellEnd"/>
      <w:r w:rsidRPr="00302C3B">
        <w:rPr>
          <w:rFonts w:ascii="Times New Roman" w:hAnsi="Times New Roman" w:cs="Times New Roman"/>
        </w:rPr>
        <w:t xml:space="preserve"> video message from a dragon who was upset as he was out practicing his fire breathing and accidently blew a hole through the flag. The dragon then asked the children would they help him in fixing the flag before the King noticed. This adds a purpose to the children’s learning as they want to be able to help to fix the problem and thus are more motivated and engaged with the activities. From this, the children then will discuss working as a team to come up with a solution in order to help the dragon. The teacher’s role is to become part of the team of children listening to their ideas and facilitating the learning rather than dictating.</w:t>
      </w:r>
      <w:r>
        <w:rPr>
          <w:rFonts w:ascii="Times New Roman" w:hAnsi="Times New Roman" w:cs="Times New Roman"/>
          <w:sz w:val="24"/>
          <w:szCs w:val="24"/>
        </w:rPr>
        <w:t xml:space="preserve"> The children then write down their ideas on a brainstorm which will be able to form the children’s enhanced provision and teacher led activities. </w:t>
      </w:r>
    </w:p>
    <w:p w:rsidR="0038407D" w:rsidRDefault="0038407D" w:rsidP="0038407D">
      <w:pPr>
        <w:spacing w:after="180" w:line="360" w:lineRule="auto"/>
        <w:rPr>
          <w:rFonts w:ascii="Times New Roman" w:hAnsi="Times New Roman" w:cs="Times New Roman"/>
        </w:rPr>
      </w:pPr>
    </w:p>
    <w:p w:rsidR="0038407D" w:rsidRPr="0014489E" w:rsidRDefault="0038407D" w:rsidP="0038407D">
      <w:pPr>
        <w:spacing w:after="180" w:line="360" w:lineRule="auto"/>
        <w:rPr>
          <w:rFonts w:ascii="Times New Roman" w:eastAsia="Times New Roman" w:hAnsi="Times New Roman" w:cs="Times New Roman"/>
          <w:color w:val="000000"/>
          <w:sz w:val="24"/>
          <w:szCs w:val="24"/>
          <w:lang w:eastAsia="en-GB"/>
        </w:rPr>
      </w:pPr>
    </w:p>
    <w:p w:rsidR="0038407D" w:rsidRDefault="0038407D" w:rsidP="0038407D">
      <w:pPr>
        <w:spacing w:after="180" w:line="360" w:lineRule="auto"/>
        <w:jc w:val="center"/>
        <w:rPr>
          <w:rFonts w:ascii="Times New Roman" w:eastAsia="Times New Roman" w:hAnsi="Times New Roman" w:cs="Times New Roman"/>
          <w:b/>
          <w:color w:val="000000"/>
          <w:sz w:val="32"/>
          <w:szCs w:val="24"/>
          <w:u w:val="single"/>
          <w:lang w:eastAsia="en-GB"/>
        </w:rPr>
      </w:pPr>
    </w:p>
    <w:p w:rsidR="0038407D" w:rsidRDefault="0038407D" w:rsidP="0038407D">
      <w:pPr>
        <w:spacing w:after="180" w:line="360" w:lineRule="auto"/>
        <w:jc w:val="center"/>
        <w:rPr>
          <w:rFonts w:ascii="Times New Roman" w:eastAsia="Times New Roman" w:hAnsi="Times New Roman" w:cs="Times New Roman"/>
          <w:b/>
          <w:color w:val="000000"/>
          <w:sz w:val="32"/>
          <w:szCs w:val="24"/>
          <w:u w:val="single"/>
          <w:lang w:eastAsia="en-GB"/>
        </w:rPr>
      </w:pPr>
    </w:p>
    <w:p w:rsidR="0038407D" w:rsidRDefault="0038407D" w:rsidP="0038407D">
      <w:pPr>
        <w:spacing w:after="180" w:line="360" w:lineRule="auto"/>
        <w:jc w:val="center"/>
        <w:rPr>
          <w:rFonts w:ascii="Times New Roman" w:eastAsia="Times New Roman" w:hAnsi="Times New Roman" w:cs="Times New Roman"/>
          <w:b/>
          <w:color w:val="000000"/>
          <w:sz w:val="32"/>
          <w:szCs w:val="24"/>
          <w:u w:val="single"/>
          <w:lang w:eastAsia="en-GB"/>
        </w:rPr>
      </w:pPr>
    </w:p>
    <w:p w:rsidR="0038407D" w:rsidRDefault="0038407D" w:rsidP="0038407D">
      <w:pPr>
        <w:spacing w:after="180" w:line="360" w:lineRule="auto"/>
        <w:jc w:val="center"/>
        <w:rPr>
          <w:rFonts w:ascii="Times New Roman" w:eastAsia="Times New Roman" w:hAnsi="Times New Roman" w:cs="Times New Roman"/>
          <w:b/>
          <w:color w:val="000000"/>
          <w:sz w:val="32"/>
          <w:szCs w:val="24"/>
          <w:u w:val="single"/>
          <w:lang w:eastAsia="en-GB"/>
        </w:rPr>
      </w:pPr>
    </w:p>
    <w:p w:rsidR="0038407D" w:rsidRDefault="0038407D" w:rsidP="0038407D">
      <w:pPr>
        <w:spacing w:after="180" w:line="360" w:lineRule="auto"/>
        <w:jc w:val="center"/>
        <w:rPr>
          <w:rFonts w:ascii="Times New Roman" w:eastAsia="Times New Roman" w:hAnsi="Times New Roman" w:cs="Times New Roman"/>
          <w:b/>
          <w:color w:val="000000"/>
          <w:sz w:val="32"/>
          <w:szCs w:val="24"/>
          <w:u w:val="single"/>
          <w:lang w:eastAsia="en-GB"/>
        </w:rPr>
      </w:pPr>
    </w:p>
    <w:p w:rsidR="0038407D" w:rsidRDefault="0038407D" w:rsidP="0038407D">
      <w:pPr>
        <w:spacing w:after="180" w:line="360" w:lineRule="auto"/>
        <w:jc w:val="center"/>
        <w:rPr>
          <w:rFonts w:ascii="Times New Roman" w:eastAsia="Times New Roman" w:hAnsi="Times New Roman" w:cs="Times New Roman"/>
          <w:b/>
          <w:color w:val="000000"/>
          <w:sz w:val="32"/>
          <w:szCs w:val="24"/>
          <w:u w:val="single"/>
          <w:lang w:eastAsia="en-GB"/>
        </w:rPr>
      </w:pPr>
    </w:p>
    <w:p w:rsidR="0038407D" w:rsidRDefault="0038407D" w:rsidP="0038407D">
      <w:pPr>
        <w:spacing w:after="180" w:line="360" w:lineRule="auto"/>
        <w:jc w:val="center"/>
        <w:rPr>
          <w:rFonts w:ascii="Times New Roman" w:eastAsia="Times New Roman" w:hAnsi="Times New Roman" w:cs="Times New Roman"/>
          <w:b/>
          <w:color w:val="000000"/>
          <w:sz w:val="32"/>
          <w:szCs w:val="24"/>
          <w:u w:val="single"/>
          <w:lang w:eastAsia="en-GB"/>
        </w:rPr>
      </w:pPr>
    </w:p>
    <w:p w:rsidR="0038407D" w:rsidRDefault="0038407D" w:rsidP="0038407D">
      <w:pPr>
        <w:spacing w:after="180" w:line="360" w:lineRule="auto"/>
        <w:jc w:val="center"/>
        <w:rPr>
          <w:rFonts w:ascii="Times New Roman" w:eastAsia="Times New Roman" w:hAnsi="Times New Roman" w:cs="Times New Roman"/>
          <w:b/>
          <w:color w:val="000000"/>
          <w:sz w:val="32"/>
          <w:szCs w:val="24"/>
          <w:u w:val="single"/>
          <w:lang w:eastAsia="en-GB"/>
        </w:rPr>
      </w:pPr>
    </w:p>
    <w:p w:rsidR="0038407D" w:rsidRDefault="0038407D" w:rsidP="0038407D">
      <w:pPr>
        <w:spacing w:after="180" w:line="360" w:lineRule="auto"/>
        <w:jc w:val="center"/>
        <w:rPr>
          <w:rFonts w:ascii="Times New Roman" w:eastAsia="Times New Roman" w:hAnsi="Times New Roman" w:cs="Times New Roman"/>
          <w:b/>
          <w:color w:val="000000"/>
          <w:sz w:val="32"/>
          <w:szCs w:val="24"/>
          <w:u w:val="single"/>
          <w:lang w:eastAsia="en-GB"/>
        </w:rPr>
      </w:pPr>
    </w:p>
    <w:p w:rsidR="0038407D" w:rsidRDefault="0038407D" w:rsidP="0038407D">
      <w:pPr>
        <w:spacing w:after="180" w:line="360" w:lineRule="auto"/>
        <w:jc w:val="center"/>
        <w:rPr>
          <w:rFonts w:ascii="Times New Roman" w:eastAsia="Times New Roman" w:hAnsi="Times New Roman" w:cs="Times New Roman"/>
          <w:b/>
          <w:color w:val="000000"/>
          <w:sz w:val="32"/>
          <w:szCs w:val="24"/>
          <w:u w:val="single"/>
          <w:lang w:eastAsia="en-GB"/>
        </w:rPr>
      </w:pPr>
    </w:p>
    <w:p w:rsidR="0038407D" w:rsidRDefault="0038407D" w:rsidP="0038407D">
      <w:pPr>
        <w:spacing w:after="180" w:line="360" w:lineRule="auto"/>
        <w:rPr>
          <w:rFonts w:ascii="Times New Roman" w:eastAsia="Times New Roman" w:hAnsi="Times New Roman" w:cs="Times New Roman"/>
          <w:b/>
          <w:color w:val="000000"/>
          <w:sz w:val="32"/>
          <w:szCs w:val="24"/>
          <w:u w:val="single"/>
          <w:lang w:eastAsia="en-GB"/>
        </w:rPr>
      </w:pPr>
    </w:p>
    <w:p w:rsidR="0038407D" w:rsidRDefault="0038407D" w:rsidP="0038407D">
      <w:pPr>
        <w:spacing w:after="180" w:line="360" w:lineRule="auto"/>
        <w:jc w:val="center"/>
        <w:rPr>
          <w:rFonts w:ascii="Times New Roman" w:eastAsia="Times New Roman" w:hAnsi="Times New Roman" w:cs="Times New Roman"/>
          <w:b/>
          <w:color w:val="000000"/>
          <w:sz w:val="32"/>
          <w:szCs w:val="24"/>
          <w:u w:val="single"/>
          <w:lang w:eastAsia="en-GB"/>
        </w:rPr>
      </w:pPr>
      <w:r w:rsidRPr="00E9381C">
        <w:rPr>
          <w:rFonts w:ascii="Times New Roman" w:eastAsia="Times New Roman" w:hAnsi="Times New Roman" w:cs="Times New Roman"/>
          <w:b/>
          <w:color w:val="000000"/>
          <w:sz w:val="32"/>
          <w:szCs w:val="24"/>
          <w:u w:val="single"/>
          <w:lang w:eastAsia="en-GB"/>
        </w:rPr>
        <w:lastRenderedPageBreak/>
        <w:t>Reference List</w:t>
      </w:r>
    </w:p>
    <w:p w:rsidR="0038407D" w:rsidRPr="00E9381C" w:rsidRDefault="0038407D" w:rsidP="0038407D">
      <w:pPr>
        <w:spacing w:after="180" w:line="360" w:lineRule="auto"/>
        <w:jc w:val="center"/>
        <w:rPr>
          <w:rFonts w:ascii="Times New Roman" w:eastAsia="Times New Roman" w:hAnsi="Times New Roman" w:cs="Times New Roman"/>
          <w:b/>
          <w:color w:val="000000"/>
          <w:sz w:val="6"/>
          <w:szCs w:val="24"/>
          <w:u w:val="single"/>
          <w:lang w:eastAsia="en-GB"/>
        </w:rPr>
      </w:pPr>
    </w:p>
    <w:p w:rsidR="0038407D" w:rsidRPr="008F421F" w:rsidRDefault="0038407D" w:rsidP="0038407D">
      <w:pPr>
        <w:spacing w:after="180" w:line="360" w:lineRule="auto"/>
        <w:rPr>
          <w:rFonts w:ascii="Times New Roman" w:eastAsia="Times New Roman" w:hAnsi="Times New Roman" w:cs="Times New Roman"/>
          <w:color w:val="000000"/>
          <w:sz w:val="24"/>
          <w:szCs w:val="24"/>
          <w:lang w:eastAsia="en-GB"/>
        </w:rPr>
      </w:pPr>
      <w:r w:rsidRPr="008F421F">
        <w:rPr>
          <w:rFonts w:ascii="Times New Roman" w:eastAsia="Times New Roman" w:hAnsi="Times New Roman" w:cs="Times New Roman"/>
          <w:color w:val="000000"/>
          <w:sz w:val="24"/>
          <w:szCs w:val="24"/>
          <w:lang w:eastAsia="en-GB"/>
        </w:rPr>
        <w:t>Aitken, V. (2014). </w:t>
      </w:r>
      <w:r w:rsidRPr="008F421F">
        <w:rPr>
          <w:rFonts w:ascii="Times New Roman" w:eastAsia="Times New Roman" w:hAnsi="Times New Roman" w:cs="Times New Roman"/>
          <w:i/>
          <w:iCs/>
          <w:color w:val="000000"/>
          <w:sz w:val="24"/>
          <w:szCs w:val="24"/>
          <w:lang w:eastAsia="en-GB"/>
        </w:rPr>
        <w:t>Assessment and Mantle of the Expert</w:t>
      </w:r>
      <w:r w:rsidRPr="008F421F">
        <w:rPr>
          <w:rFonts w:ascii="Times New Roman" w:eastAsia="Times New Roman" w:hAnsi="Times New Roman" w:cs="Times New Roman"/>
          <w:color w:val="000000"/>
          <w:sz w:val="24"/>
          <w:szCs w:val="24"/>
          <w:lang w:eastAsia="en-GB"/>
        </w:rPr>
        <w:t xml:space="preserve">. [Online]. Mantleoftheexpert.co.nz. Available at: </w:t>
      </w:r>
      <w:hyperlink r:id="rId10" w:history="1">
        <w:r w:rsidRPr="008F421F">
          <w:rPr>
            <w:rStyle w:val="Hyperlink"/>
            <w:rFonts w:ascii="Times New Roman" w:eastAsia="Times New Roman" w:hAnsi="Times New Roman" w:cs="Times New Roman"/>
            <w:sz w:val="24"/>
            <w:szCs w:val="24"/>
            <w:lang w:eastAsia="en-GB"/>
          </w:rPr>
          <w:t>https://mantleoftheexpert.co.nz/assessment-and-mantle-of-the-expert/</w:t>
        </w:r>
      </w:hyperlink>
      <w:r w:rsidRPr="008F421F">
        <w:rPr>
          <w:rFonts w:ascii="Times New Roman" w:eastAsia="Times New Roman" w:hAnsi="Times New Roman" w:cs="Times New Roman"/>
          <w:color w:val="000000"/>
          <w:sz w:val="24"/>
          <w:szCs w:val="24"/>
          <w:lang w:eastAsia="en-GB"/>
        </w:rPr>
        <w:t xml:space="preserve"> [Accessed: 4th March 2018].</w:t>
      </w:r>
    </w:p>
    <w:p w:rsidR="0038407D" w:rsidRPr="008F421F" w:rsidRDefault="0038407D" w:rsidP="0038407D">
      <w:pPr>
        <w:spacing w:after="180" w:line="360" w:lineRule="auto"/>
        <w:rPr>
          <w:rFonts w:ascii="Times New Roman" w:eastAsia="Times New Roman" w:hAnsi="Times New Roman" w:cs="Times New Roman"/>
          <w:color w:val="000000"/>
          <w:sz w:val="24"/>
          <w:szCs w:val="24"/>
          <w:lang w:eastAsia="en-GB"/>
        </w:rPr>
      </w:pPr>
      <w:r w:rsidRPr="008F421F">
        <w:rPr>
          <w:rFonts w:ascii="Times New Roman" w:eastAsia="Times New Roman" w:hAnsi="Times New Roman" w:cs="Times New Roman"/>
          <w:sz w:val="24"/>
          <w:szCs w:val="24"/>
          <w:lang w:eastAsia="en-GB"/>
        </w:rPr>
        <w:t xml:space="preserve"> </w:t>
      </w:r>
      <w:proofErr w:type="spellStart"/>
      <w:r w:rsidRPr="008F421F">
        <w:rPr>
          <w:rFonts w:ascii="Times New Roman" w:eastAsia="Times New Roman" w:hAnsi="Times New Roman" w:cs="Times New Roman"/>
          <w:color w:val="000000"/>
          <w:sz w:val="24"/>
          <w:szCs w:val="24"/>
          <w:lang w:eastAsia="en-GB"/>
        </w:rPr>
        <w:t>Bacigalupo</w:t>
      </w:r>
      <w:proofErr w:type="spellEnd"/>
      <w:r w:rsidRPr="008F421F">
        <w:rPr>
          <w:rFonts w:ascii="Times New Roman" w:eastAsia="Times New Roman" w:hAnsi="Times New Roman" w:cs="Times New Roman"/>
          <w:color w:val="000000"/>
          <w:sz w:val="24"/>
          <w:szCs w:val="24"/>
          <w:lang w:eastAsia="en-GB"/>
        </w:rPr>
        <w:t xml:space="preserve">, M., </w:t>
      </w:r>
      <w:proofErr w:type="spellStart"/>
      <w:r w:rsidRPr="008F421F">
        <w:rPr>
          <w:rFonts w:ascii="Times New Roman" w:eastAsia="Times New Roman" w:hAnsi="Times New Roman" w:cs="Times New Roman"/>
          <w:color w:val="000000"/>
          <w:sz w:val="24"/>
          <w:szCs w:val="24"/>
          <w:lang w:eastAsia="en-GB"/>
        </w:rPr>
        <w:t>Kampylis</w:t>
      </w:r>
      <w:proofErr w:type="spellEnd"/>
      <w:r w:rsidRPr="008F421F">
        <w:rPr>
          <w:rFonts w:ascii="Times New Roman" w:eastAsia="Times New Roman" w:hAnsi="Times New Roman" w:cs="Times New Roman"/>
          <w:color w:val="000000"/>
          <w:sz w:val="24"/>
          <w:szCs w:val="24"/>
          <w:lang w:eastAsia="en-GB"/>
        </w:rPr>
        <w:t xml:space="preserve">, P., </w:t>
      </w:r>
      <w:proofErr w:type="spellStart"/>
      <w:r w:rsidRPr="008F421F">
        <w:rPr>
          <w:rFonts w:ascii="Times New Roman" w:eastAsia="Times New Roman" w:hAnsi="Times New Roman" w:cs="Times New Roman"/>
          <w:color w:val="000000"/>
          <w:sz w:val="24"/>
          <w:szCs w:val="24"/>
          <w:lang w:eastAsia="en-GB"/>
        </w:rPr>
        <w:t>Punie</w:t>
      </w:r>
      <w:proofErr w:type="spellEnd"/>
      <w:r w:rsidRPr="008F421F">
        <w:rPr>
          <w:rFonts w:ascii="Times New Roman" w:eastAsia="Times New Roman" w:hAnsi="Times New Roman" w:cs="Times New Roman"/>
          <w:color w:val="000000"/>
          <w:sz w:val="24"/>
          <w:szCs w:val="24"/>
          <w:lang w:eastAsia="en-GB"/>
        </w:rPr>
        <w:t>, Y. and Van den Brande, G. (2016) </w:t>
      </w:r>
      <w:proofErr w:type="spellStart"/>
      <w:r w:rsidRPr="008F421F">
        <w:rPr>
          <w:rFonts w:ascii="Times New Roman" w:eastAsia="Times New Roman" w:hAnsi="Times New Roman" w:cs="Times New Roman"/>
          <w:i/>
          <w:iCs/>
          <w:color w:val="000000"/>
          <w:sz w:val="24"/>
          <w:szCs w:val="24"/>
          <w:lang w:eastAsia="en-GB"/>
        </w:rPr>
        <w:t>EntreComp</w:t>
      </w:r>
      <w:proofErr w:type="spellEnd"/>
      <w:r w:rsidRPr="008F421F">
        <w:rPr>
          <w:rFonts w:ascii="Times New Roman" w:eastAsia="Times New Roman" w:hAnsi="Times New Roman" w:cs="Times New Roman"/>
          <w:i/>
          <w:iCs/>
          <w:color w:val="000000"/>
          <w:sz w:val="24"/>
          <w:szCs w:val="24"/>
          <w:lang w:eastAsia="en-GB"/>
        </w:rPr>
        <w:t>: The Entrepreneurship Competence Framework</w:t>
      </w:r>
      <w:r w:rsidRPr="008F421F">
        <w:rPr>
          <w:rFonts w:ascii="Times New Roman" w:eastAsia="Times New Roman" w:hAnsi="Times New Roman" w:cs="Times New Roman"/>
          <w:color w:val="000000"/>
          <w:sz w:val="24"/>
          <w:szCs w:val="24"/>
          <w:lang w:eastAsia="en-GB"/>
        </w:rPr>
        <w:t xml:space="preserve">. [Online]. Luxembourg: Publication Office of the European Union. Available at: </w:t>
      </w:r>
      <w:r w:rsidRPr="008F421F">
        <w:rPr>
          <w:rFonts w:ascii="Times New Roman" w:eastAsia="Times New Roman" w:hAnsi="Times New Roman" w:cs="Times New Roman"/>
          <w:color w:val="2E74B5" w:themeColor="accent1" w:themeShade="BF"/>
          <w:sz w:val="24"/>
          <w:szCs w:val="24"/>
          <w:u w:val="single"/>
          <w:lang w:eastAsia="en-GB"/>
        </w:rPr>
        <w:t>http://publications.jrc.ec.europa.eu/repository/bitstream/JRC101581/lfna27939enn.pdf</w:t>
      </w:r>
      <w:r w:rsidRPr="008F421F">
        <w:rPr>
          <w:rFonts w:ascii="Times New Roman" w:eastAsia="Times New Roman" w:hAnsi="Times New Roman" w:cs="Times New Roman"/>
          <w:color w:val="2E74B5" w:themeColor="accent1" w:themeShade="BF"/>
          <w:sz w:val="24"/>
          <w:szCs w:val="24"/>
          <w:lang w:eastAsia="en-GB"/>
        </w:rPr>
        <w:t xml:space="preserve"> </w:t>
      </w:r>
      <w:r w:rsidRPr="008F421F">
        <w:rPr>
          <w:rFonts w:ascii="Times New Roman" w:eastAsia="Times New Roman" w:hAnsi="Times New Roman" w:cs="Times New Roman"/>
          <w:color w:val="000000"/>
          <w:sz w:val="24"/>
          <w:szCs w:val="24"/>
          <w:lang w:eastAsia="en-GB"/>
        </w:rPr>
        <w:t>[Accessed: 21st February 2018].</w:t>
      </w:r>
    </w:p>
    <w:p w:rsidR="0038407D" w:rsidRPr="008F421F" w:rsidRDefault="0038407D" w:rsidP="0038407D">
      <w:pPr>
        <w:pStyle w:val="NormalWeb"/>
        <w:spacing w:before="0" w:beforeAutospacing="0" w:after="180" w:afterAutospacing="0" w:line="360" w:lineRule="auto"/>
        <w:rPr>
          <w:color w:val="000000"/>
        </w:rPr>
      </w:pPr>
      <w:r w:rsidRPr="008F421F">
        <w:rPr>
          <w:color w:val="000000"/>
        </w:rPr>
        <w:t xml:space="preserve">Baines, E., Blatchford, P. and </w:t>
      </w:r>
      <w:proofErr w:type="spellStart"/>
      <w:r w:rsidRPr="008F421F">
        <w:rPr>
          <w:color w:val="000000"/>
        </w:rPr>
        <w:t>Kutnick</w:t>
      </w:r>
      <w:proofErr w:type="spellEnd"/>
      <w:r w:rsidRPr="008F421F">
        <w:rPr>
          <w:color w:val="000000"/>
        </w:rPr>
        <w:t>, P. (2009). </w:t>
      </w:r>
      <w:r w:rsidRPr="008F421F">
        <w:rPr>
          <w:i/>
          <w:iCs/>
          <w:color w:val="000000"/>
        </w:rPr>
        <w:t>Promoting Effective Group Work in the Primary Classroom</w:t>
      </w:r>
      <w:r w:rsidRPr="008F421F">
        <w:rPr>
          <w:color w:val="000000"/>
        </w:rPr>
        <w:t>. [</w:t>
      </w:r>
      <w:proofErr w:type="spellStart"/>
      <w:proofErr w:type="gramStart"/>
      <w:r w:rsidRPr="008F421F">
        <w:rPr>
          <w:color w:val="000000"/>
        </w:rPr>
        <w:t>ebook</w:t>
      </w:r>
      <w:proofErr w:type="spellEnd"/>
      <w:proofErr w:type="gramEnd"/>
      <w:r w:rsidRPr="008F421F">
        <w:rPr>
          <w:color w:val="000000"/>
        </w:rPr>
        <w:t xml:space="preserve">] Oxon: Routledge. Available at: </w:t>
      </w:r>
      <w:hyperlink r:id="rId11" w:history="1">
        <w:r w:rsidRPr="008F421F">
          <w:rPr>
            <w:rStyle w:val="Hyperlink"/>
          </w:rPr>
          <w:t>https://www-dawsonera-com.ezproxy.uwtsd.ac.uk/readonline/9780203934388</w:t>
        </w:r>
      </w:hyperlink>
      <w:r w:rsidRPr="008F421F">
        <w:rPr>
          <w:color w:val="000000"/>
        </w:rPr>
        <w:t xml:space="preserve">  [Accessed: 1st March 2018].</w:t>
      </w:r>
    </w:p>
    <w:p w:rsidR="0038407D" w:rsidRPr="008F421F" w:rsidRDefault="0038407D" w:rsidP="0038407D">
      <w:pPr>
        <w:pStyle w:val="NormalWeb"/>
        <w:spacing w:before="0" w:beforeAutospacing="0" w:after="180" w:afterAutospacing="0" w:line="360" w:lineRule="auto"/>
        <w:rPr>
          <w:color w:val="000000"/>
        </w:rPr>
      </w:pPr>
      <w:r w:rsidRPr="008F421F">
        <w:rPr>
          <w:color w:val="000000"/>
        </w:rPr>
        <w:t>Baines, E., Blatchford, P. and Webster, R. (2014). The challenges of implementing group work in primary school classrooms and including pupils with special educational needs. </w:t>
      </w:r>
      <w:r w:rsidRPr="008F421F">
        <w:rPr>
          <w:i/>
          <w:iCs/>
          <w:color w:val="000000"/>
        </w:rPr>
        <w:t>Education 3-13</w:t>
      </w:r>
      <w:r w:rsidRPr="008F421F">
        <w:rPr>
          <w:color w:val="000000"/>
        </w:rPr>
        <w:t xml:space="preserve">, [Online]. 43(1), pp.15-29. Available at: </w:t>
      </w:r>
      <w:hyperlink r:id="rId12" w:history="1">
        <w:r w:rsidRPr="008F421F">
          <w:rPr>
            <w:rStyle w:val="Hyperlink"/>
          </w:rPr>
          <w:t>https://www-tandfonline-com.ezproxy.uwtsd.ac.uk/doi/pdf/10.1080/03004279.2015.961689?needAccess=true</w:t>
        </w:r>
      </w:hyperlink>
      <w:r w:rsidRPr="008F421F">
        <w:rPr>
          <w:color w:val="000000"/>
        </w:rPr>
        <w:t xml:space="preserve">  [Accessed: 3rd March 2018].</w:t>
      </w:r>
    </w:p>
    <w:p w:rsidR="0038407D" w:rsidRPr="008F421F" w:rsidRDefault="0038407D" w:rsidP="0038407D">
      <w:pPr>
        <w:pStyle w:val="NormalWeb"/>
        <w:spacing w:before="0" w:beforeAutospacing="0" w:after="180" w:afterAutospacing="0" w:line="360" w:lineRule="auto"/>
        <w:ind w:left="450" w:hanging="450"/>
        <w:rPr>
          <w:color w:val="000000"/>
        </w:rPr>
      </w:pPr>
      <w:r w:rsidRPr="008F421F">
        <w:rPr>
          <w:color w:val="000000"/>
        </w:rPr>
        <w:t>Craft, A. (2000). </w:t>
      </w:r>
      <w:r w:rsidRPr="008F421F">
        <w:rPr>
          <w:i/>
          <w:iCs/>
          <w:color w:val="000000"/>
        </w:rPr>
        <w:t>Creativity across the primary curriculum</w:t>
      </w:r>
      <w:r w:rsidRPr="008F421F">
        <w:rPr>
          <w:color w:val="000000"/>
        </w:rPr>
        <w:t>. Oxon: Routledge.</w:t>
      </w:r>
    </w:p>
    <w:p w:rsidR="0038407D" w:rsidRPr="008F421F" w:rsidRDefault="0038407D" w:rsidP="0038407D">
      <w:pPr>
        <w:spacing w:after="180" w:line="360" w:lineRule="auto"/>
        <w:rPr>
          <w:rFonts w:ascii="Times New Roman" w:eastAsia="Times New Roman" w:hAnsi="Times New Roman" w:cs="Times New Roman"/>
          <w:color w:val="000000"/>
          <w:sz w:val="24"/>
          <w:szCs w:val="24"/>
          <w:lang w:eastAsia="en-GB"/>
        </w:rPr>
      </w:pPr>
      <w:r w:rsidRPr="008F421F">
        <w:rPr>
          <w:rFonts w:ascii="Times New Roman" w:eastAsia="Times New Roman" w:hAnsi="Times New Roman" w:cs="Times New Roman"/>
          <w:color w:val="000000"/>
          <w:sz w:val="24"/>
          <w:szCs w:val="24"/>
          <w:lang w:eastAsia="en-GB"/>
        </w:rPr>
        <w:t>Davies, D. and McGregor, D. (2017). </w:t>
      </w:r>
      <w:r w:rsidRPr="008F421F">
        <w:rPr>
          <w:rFonts w:ascii="Times New Roman" w:eastAsia="Times New Roman" w:hAnsi="Times New Roman" w:cs="Times New Roman"/>
          <w:i/>
          <w:iCs/>
          <w:color w:val="000000"/>
          <w:sz w:val="24"/>
          <w:szCs w:val="24"/>
          <w:lang w:eastAsia="en-GB"/>
        </w:rPr>
        <w:t>Teaching science creatively</w:t>
      </w:r>
      <w:r w:rsidRPr="008F421F">
        <w:rPr>
          <w:rFonts w:ascii="Times New Roman" w:eastAsia="Times New Roman" w:hAnsi="Times New Roman" w:cs="Times New Roman"/>
          <w:color w:val="000000"/>
          <w:sz w:val="24"/>
          <w:szCs w:val="24"/>
          <w:lang w:eastAsia="en-GB"/>
        </w:rPr>
        <w:t>. 2nd ed. Oxon: Routledge.</w:t>
      </w:r>
    </w:p>
    <w:p w:rsidR="0038407D" w:rsidRPr="008F421F" w:rsidRDefault="0038407D" w:rsidP="0038407D">
      <w:pPr>
        <w:spacing w:after="180" w:line="360" w:lineRule="auto"/>
        <w:rPr>
          <w:rFonts w:ascii="Times New Roman" w:eastAsia="Times New Roman" w:hAnsi="Times New Roman" w:cs="Times New Roman"/>
          <w:color w:val="000000"/>
          <w:sz w:val="24"/>
          <w:szCs w:val="24"/>
          <w:lang w:eastAsia="en-GB"/>
        </w:rPr>
      </w:pPr>
      <w:r w:rsidRPr="008F421F">
        <w:rPr>
          <w:rFonts w:ascii="Times New Roman" w:eastAsia="Times New Roman" w:hAnsi="Times New Roman" w:cs="Times New Roman"/>
          <w:color w:val="000000"/>
          <w:sz w:val="24"/>
          <w:szCs w:val="24"/>
          <w:lang w:eastAsia="en-GB"/>
        </w:rPr>
        <w:t>Desailly, J. (2012). </w:t>
      </w:r>
      <w:r w:rsidRPr="008F421F">
        <w:rPr>
          <w:rFonts w:ascii="Times New Roman" w:eastAsia="Times New Roman" w:hAnsi="Times New Roman" w:cs="Times New Roman"/>
          <w:i/>
          <w:iCs/>
          <w:color w:val="000000"/>
          <w:sz w:val="24"/>
          <w:szCs w:val="24"/>
          <w:lang w:eastAsia="en-GB"/>
        </w:rPr>
        <w:t>Creativity in the Primary Classroom</w:t>
      </w:r>
      <w:r w:rsidRPr="008F421F">
        <w:rPr>
          <w:rFonts w:ascii="Times New Roman" w:eastAsia="Times New Roman" w:hAnsi="Times New Roman" w:cs="Times New Roman"/>
          <w:color w:val="000000"/>
          <w:sz w:val="24"/>
          <w:szCs w:val="24"/>
          <w:lang w:eastAsia="en-GB"/>
        </w:rPr>
        <w:t>. [</w:t>
      </w:r>
      <w:proofErr w:type="spellStart"/>
      <w:proofErr w:type="gramStart"/>
      <w:r w:rsidRPr="008F421F">
        <w:rPr>
          <w:rFonts w:ascii="Times New Roman" w:eastAsia="Times New Roman" w:hAnsi="Times New Roman" w:cs="Times New Roman"/>
          <w:color w:val="000000"/>
          <w:sz w:val="24"/>
          <w:szCs w:val="24"/>
          <w:lang w:eastAsia="en-GB"/>
        </w:rPr>
        <w:t>ebook</w:t>
      </w:r>
      <w:proofErr w:type="spellEnd"/>
      <w:proofErr w:type="gramEnd"/>
      <w:r w:rsidRPr="008F421F">
        <w:rPr>
          <w:rFonts w:ascii="Times New Roman" w:eastAsia="Times New Roman" w:hAnsi="Times New Roman" w:cs="Times New Roman"/>
          <w:color w:val="000000"/>
          <w:sz w:val="24"/>
          <w:szCs w:val="24"/>
          <w:lang w:eastAsia="en-GB"/>
        </w:rPr>
        <w:t xml:space="preserve">] London: SAGE Publications. Available at: </w:t>
      </w:r>
      <w:hyperlink r:id="rId13" w:history="1">
        <w:r w:rsidRPr="008F421F">
          <w:rPr>
            <w:rStyle w:val="Hyperlink"/>
            <w:rFonts w:ascii="Times New Roman" w:eastAsia="Times New Roman" w:hAnsi="Times New Roman" w:cs="Times New Roman"/>
            <w:sz w:val="24"/>
            <w:szCs w:val="24"/>
            <w:lang w:eastAsia="en-GB"/>
          </w:rPr>
          <w:t>https://www-dawsonera-com.ezproxy.uwtsd.ac.uk/readonline/9781446258347</w:t>
        </w:r>
      </w:hyperlink>
      <w:r w:rsidRPr="008F421F">
        <w:rPr>
          <w:rFonts w:ascii="Times New Roman" w:eastAsia="Times New Roman" w:hAnsi="Times New Roman" w:cs="Times New Roman"/>
          <w:color w:val="000000"/>
          <w:sz w:val="24"/>
          <w:szCs w:val="24"/>
          <w:lang w:eastAsia="en-GB"/>
        </w:rPr>
        <w:t xml:space="preserve"> [Accessed: 25th February 2018].</w:t>
      </w:r>
    </w:p>
    <w:p w:rsidR="0038407D" w:rsidRPr="008F421F" w:rsidRDefault="0038407D" w:rsidP="0038407D">
      <w:pPr>
        <w:spacing w:line="360" w:lineRule="auto"/>
        <w:rPr>
          <w:rFonts w:ascii="Times New Roman" w:hAnsi="Times New Roman" w:cs="Times New Roman"/>
          <w:sz w:val="24"/>
          <w:szCs w:val="24"/>
        </w:rPr>
      </w:pPr>
      <w:r w:rsidRPr="008F421F">
        <w:rPr>
          <w:rFonts w:ascii="Times New Roman" w:hAnsi="Times New Roman" w:cs="Times New Roman"/>
          <w:sz w:val="24"/>
          <w:szCs w:val="24"/>
        </w:rPr>
        <w:t xml:space="preserve">Donaldson. G. (2015) </w:t>
      </w:r>
      <w:r w:rsidRPr="008F421F">
        <w:rPr>
          <w:rFonts w:ascii="Times New Roman" w:hAnsi="Times New Roman" w:cs="Times New Roman"/>
          <w:i/>
          <w:sz w:val="24"/>
          <w:szCs w:val="24"/>
        </w:rPr>
        <w:t xml:space="preserve">Successful Futures. </w:t>
      </w:r>
      <w:r w:rsidRPr="008F421F">
        <w:rPr>
          <w:rFonts w:ascii="Times New Roman" w:hAnsi="Times New Roman" w:cs="Times New Roman"/>
          <w:sz w:val="24"/>
          <w:szCs w:val="24"/>
        </w:rPr>
        <w:t xml:space="preserve">Cardiff: Welsh Government. </w:t>
      </w:r>
    </w:p>
    <w:p w:rsidR="0038407D" w:rsidRPr="008F421F" w:rsidRDefault="0038407D" w:rsidP="0038407D">
      <w:pPr>
        <w:pStyle w:val="NormalWeb"/>
        <w:spacing w:before="0" w:beforeAutospacing="0" w:after="180" w:afterAutospacing="0" w:line="360" w:lineRule="auto"/>
        <w:ind w:left="450" w:hanging="450"/>
        <w:rPr>
          <w:color w:val="000000"/>
        </w:rPr>
      </w:pPr>
      <w:r w:rsidRPr="008F421F">
        <w:rPr>
          <w:color w:val="000000"/>
        </w:rPr>
        <w:t>Duffy, B. (1998). </w:t>
      </w:r>
      <w:r w:rsidRPr="008F421F">
        <w:rPr>
          <w:i/>
          <w:iCs/>
          <w:color w:val="000000"/>
        </w:rPr>
        <w:t>Supporting creativity and imagination in the early years</w:t>
      </w:r>
      <w:r w:rsidRPr="008F421F">
        <w:rPr>
          <w:color w:val="000000"/>
        </w:rPr>
        <w:t>. Maidenhead: Open University Press.</w:t>
      </w:r>
    </w:p>
    <w:p w:rsidR="0038407D" w:rsidRPr="008F421F" w:rsidRDefault="0038407D" w:rsidP="0038407D">
      <w:pPr>
        <w:spacing w:after="180" w:line="360" w:lineRule="auto"/>
        <w:rPr>
          <w:rFonts w:ascii="Times New Roman" w:eastAsia="Times New Roman" w:hAnsi="Times New Roman" w:cs="Times New Roman"/>
          <w:color w:val="000000"/>
          <w:sz w:val="24"/>
          <w:szCs w:val="24"/>
          <w:lang w:eastAsia="en-GB"/>
        </w:rPr>
      </w:pPr>
      <w:r w:rsidRPr="008F421F">
        <w:rPr>
          <w:rFonts w:ascii="Times New Roman" w:eastAsia="Times New Roman" w:hAnsi="Times New Roman" w:cs="Times New Roman"/>
          <w:color w:val="000000"/>
          <w:sz w:val="24"/>
          <w:szCs w:val="24"/>
          <w:lang w:eastAsia="en-GB"/>
        </w:rPr>
        <w:t>Farmer, D. (2014). </w:t>
      </w:r>
      <w:r w:rsidRPr="008F421F">
        <w:rPr>
          <w:rFonts w:ascii="Times New Roman" w:eastAsia="Times New Roman" w:hAnsi="Times New Roman" w:cs="Times New Roman"/>
          <w:i/>
          <w:iCs/>
          <w:color w:val="000000"/>
          <w:sz w:val="24"/>
          <w:szCs w:val="24"/>
          <w:lang w:eastAsia="en-GB"/>
        </w:rPr>
        <w:t>Mantle of the Expert</w:t>
      </w:r>
      <w:r w:rsidRPr="008F421F">
        <w:rPr>
          <w:rFonts w:ascii="Times New Roman" w:eastAsia="Times New Roman" w:hAnsi="Times New Roman" w:cs="Times New Roman"/>
          <w:color w:val="000000"/>
          <w:sz w:val="24"/>
          <w:szCs w:val="24"/>
          <w:lang w:eastAsia="en-GB"/>
        </w:rPr>
        <w:t xml:space="preserve">. [Online]. Drama Resource. Available at: </w:t>
      </w:r>
      <w:hyperlink r:id="rId14" w:history="1">
        <w:r w:rsidRPr="008F421F">
          <w:rPr>
            <w:rStyle w:val="Hyperlink"/>
            <w:rFonts w:ascii="Times New Roman" w:eastAsia="Times New Roman" w:hAnsi="Times New Roman" w:cs="Times New Roman"/>
            <w:sz w:val="24"/>
            <w:szCs w:val="24"/>
            <w:lang w:eastAsia="en-GB"/>
          </w:rPr>
          <w:t>https://dramaresource.com/mantle-of-the-expert/</w:t>
        </w:r>
      </w:hyperlink>
      <w:r w:rsidRPr="008F421F">
        <w:rPr>
          <w:rFonts w:ascii="Times New Roman" w:eastAsia="Times New Roman" w:hAnsi="Times New Roman" w:cs="Times New Roman"/>
          <w:color w:val="000000"/>
          <w:sz w:val="24"/>
          <w:szCs w:val="24"/>
          <w:lang w:eastAsia="en-GB"/>
        </w:rPr>
        <w:t xml:space="preserve"> [Accessed: 2nd March 2018].</w:t>
      </w:r>
    </w:p>
    <w:p w:rsidR="0038407D" w:rsidRPr="008F421F" w:rsidRDefault="0038407D" w:rsidP="0038407D">
      <w:pPr>
        <w:pStyle w:val="NormalWeb"/>
        <w:spacing w:before="0" w:beforeAutospacing="0" w:after="180" w:afterAutospacing="0" w:line="360" w:lineRule="auto"/>
        <w:ind w:left="450" w:hanging="450"/>
        <w:rPr>
          <w:color w:val="000000"/>
        </w:rPr>
      </w:pPr>
      <w:proofErr w:type="spellStart"/>
      <w:r w:rsidRPr="008F421F">
        <w:rPr>
          <w:color w:val="000000"/>
        </w:rPr>
        <w:lastRenderedPageBreak/>
        <w:t>Grigg</w:t>
      </w:r>
      <w:proofErr w:type="spellEnd"/>
      <w:r w:rsidRPr="008F421F">
        <w:rPr>
          <w:color w:val="000000"/>
        </w:rPr>
        <w:t>, R. (2010). </w:t>
      </w:r>
      <w:r w:rsidRPr="008F421F">
        <w:rPr>
          <w:i/>
          <w:iCs/>
          <w:color w:val="000000"/>
        </w:rPr>
        <w:t>Becoming an outstanding primary school teacher</w:t>
      </w:r>
      <w:r w:rsidRPr="008F421F">
        <w:rPr>
          <w:color w:val="000000"/>
        </w:rPr>
        <w:t>. Essex: Pearson Education Limited.</w:t>
      </w:r>
    </w:p>
    <w:p w:rsidR="0038407D" w:rsidRPr="008F421F" w:rsidRDefault="0038407D" w:rsidP="0038407D">
      <w:pPr>
        <w:spacing w:after="180" w:line="360" w:lineRule="auto"/>
        <w:rPr>
          <w:rFonts w:ascii="Times New Roman" w:eastAsia="Times New Roman" w:hAnsi="Times New Roman" w:cs="Times New Roman"/>
          <w:color w:val="000000"/>
          <w:sz w:val="24"/>
          <w:szCs w:val="24"/>
          <w:lang w:eastAsia="en-GB"/>
        </w:rPr>
      </w:pPr>
      <w:proofErr w:type="spellStart"/>
      <w:r w:rsidRPr="008F421F">
        <w:rPr>
          <w:rFonts w:ascii="Times New Roman" w:eastAsia="Times New Roman" w:hAnsi="Times New Roman" w:cs="Times New Roman"/>
          <w:color w:val="000000"/>
          <w:sz w:val="24"/>
          <w:szCs w:val="24"/>
          <w:lang w:eastAsia="en-GB"/>
        </w:rPr>
        <w:t>Harlen</w:t>
      </w:r>
      <w:proofErr w:type="spellEnd"/>
      <w:r w:rsidRPr="008F421F">
        <w:rPr>
          <w:rFonts w:ascii="Times New Roman" w:eastAsia="Times New Roman" w:hAnsi="Times New Roman" w:cs="Times New Roman"/>
          <w:color w:val="000000"/>
          <w:sz w:val="24"/>
          <w:szCs w:val="24"/>
          <w:lang w:eastAsia="en-GB"/>
        </w:rPr>
        <w:t xml:space="preserve">, W. and </w:t>
      </w:r>
      <w:proofErr w:type="spellStart"/>
      <w:r w:rsidRPr="008F421F">
        <w:rPr>
          <w:rFonts w:ascii="Times New Roman" w:eastAsia="Times New Roman" w:hAnsi="Times New Roman" w:cs="Times New Roman"/>
          <w:color w:val="000000"/>
          <w:sz w:val="24"/>
          <w:szCs w:val="24"/>
          <w:lang w:eastAsia="en-GB"/>
        </w:rPr>
        <w:t>Qualter</w:t>
      </w:r>
      <w:proofErr w:type="spellEnd"/>
      <w:r w:rsidRPr="008F421F">
        <w:rPr>
          <w:rFonts w:ascii="Times New Roman" w:eastAsia="Times New Roman" w:hAnsi="Times New Roman" w:cs="Times New Roman"/>
          <w:color w:val="000000"/>
          <w:sz w:val="24"/>
          <w:szCs w:val="24"/>
          <w:lang w:eastAsia="en-GB"/>
        </w:rPr>
        <w:t>, A. (2014). </w:t>
      </w:r>
      <w:r w:rsidRPr="008F421F">
        <w:rPr>
          <w:rFonts w:ascii="Times New Roman" w:eastAsia="Times New Roman" w:hAnsi="Times New Roman" w:cs="Times New Roman"/>
          <w:i/>
          <w:iCs/>
          <w:color w:val="000000"/>
          <w:sz w:val="24"/>
          <w:szCs w:val="24"/>
          <w:lang w:eastAsia="en-GB"/>
        </w:rPr>
        <w:t>The teaching of science in primary schools</w:t>
      </w:r>
      <w:r w:rsidRPr="008F421F">
        <w:rPr>
          <w:rFonts w:ascii="Times New Roman" w:eastAsia="Times New Roman" w:hAnsi="Times New Roman" w:cs="Times New Roman"/>
          <w:color w:val="000000"/>
          <w:sz w:val="24"/>
          <w:szCs w:val="24"/>
          <w:lang w:eastAsia="en-GB"/>
        </w:rPr>
        <w:t>. New York: Routledge.</w:t>
      </w:r>
    </w:p>
    <w:p w:rsidR="0038407D" w:rsidRPr="008F421F" w:rsidRDefault="0038407D" w:rsidP="0038407D">
      <w:pPr>
        <w:spacing w:after="180" w:line="360" w:lineRule="auto"/>
        <w:rPr>
          <w:rFonts w:ascii="Times New Roman" w:eastAsia="Times New Roman" w:hAnsi="Times New Roman" w:cs="Times New Roman"/>
          <w:color w:val="000000"/>
          <w:sz w:val="24"/>
          <w:szCs w:val="24"/>
          <w:lang w:eastAsia="en-GB"/>
        </w:rPr>
      </w:pPr>
      <w:r w:rsidRPr="008F421F">
        <w:rPr>
          <w:rFonts w:ascii="Times New Roman" w:eastAsia="Times New Roman" w:hAnsi="Times New Roman" w:cs="Times New Roman"/>
          <w:color w:val="000000"/>
          <w:sz w:val="24"/>
          <w:szCs w:val="24"/>
          <w:lang w:eastAsia="en-GB"/>
        </w:rPr>
        <w:t>Heathcote, D. and Herbert, P. (1985). A drama of learning: Mantle of the expert. </w:t>
      </w:r>
      <w:r w:rsidRPr="008F421F">
        <w:rPr>
          <w:rFonts w:ascii="Times New Roman" w:eastAsia="Times New Roman" w:hAnsi="Times New Roman" w:cs="Times New Roman"/>
          <w:i/>
          <w:iCs/>
          <w:color w:val="000000"/>
          <w:sz w:val="24"/>
          <w:szCs w:val="24"/>
          <w:lang w:eastAsia="en-GB"/>
        </w:rPr>
        <w:t xml:space="preserve">Theory </w:t>
      </w:r>
      <w:proofErr w:type="gramStart"/>
      <w:r w:rsidRPr="008F421F">
        <w:rPr>
          <w:rFonts w:ascii="Times New Roman" w:eastAsia="Times New Roman" w:hAnsi="Times New Roman" w:cs="Times New Roman"/>
          <w:i/>
          <w:iCs/>
          <w:color w:val="000000"/>
          <w:sz w:val="24"/>
          <w:szCs w:val="24"/>
          <w:lang w:eastAsia="en-GB"/>
        </w:rPr>
        <w:t>Into</w:t>
      </w:r>
      <w:proofErr w:type="gramEnd"/>
      <w:r w:rsidRPr="008F421F">
        <w:rPr>
          <w:rFonts w:ascii="Times New Roman" w:eastAsia="Times New Roman" w:hAnsi="Times New Roman" w:cs="Times New Roman"/>
          <w:i/>
          <w:iCs/>
          <w:color w:val="000000"/>
          <w:sz w:val="24"/>
          <w:szCs w:val="24"/>
          <w:lang w:eastAsia="en-GB"/>
        </w:rPr>
        <w:t xml:space="preserve"> Practice</w:t>
      </w:r>
      <w:r w:rsidRPr="008F421F">
        <w:rPr>
          <w:rFonts w:ascii="Times New Roman" w:eastAsia="Times New Roman" w:hAnsi="Times New Roman" w:cs="Times New Roman"/>
          <w:color w:val="000000"/>
          <w:sz w:val="24"/>
          <w:szCs w:val="24"/>
          <w:lang w:eastAsia="en-GB"/>
        </w:rPr>
        <w:t xml:space="preserve">, [Online]. 24(3), pp.173-180. Available at: </w:t>
      </w:r>
      <w:hyperlink r:id="rId15" w:history="1">
        <w:r w:rsidRPr="008F421F">
          <w:rPr>
            <w:rStyle w:val="Hyperlink"/>
            <w:rFonts w:ascii="Times New Roman" w:eastAsia="Times New Roman" w:hAnsi="Times New Roman" w:cs="Times New Roman"/>
            <w:sz w:val="24"/>
            <w:szCs w:val="24"/>
            <w:lang w:eastAsia="en-GB"/>
          </w:rPr>
          <w:t>http://www.jstor.org.ezproxy.uwtsd.ac.uk/stable/1477037?seq=1#page_scan_tab_contents</w:t>
        </w:r>
      </w:hyperlink>
      <w:r w:rsidRPr="008F421F">
        <w:rPr>
          <w:rFonts w:ascii="Times New Roman" w:eastAsia="Times New Roman" w:hAnsi="Times New Roman" w:cs="Times New Roman"/>
          <w:color w:val="000000"/>
          <w:sz w:val="24"/>
          <w:szCs w:val="24"/>
          <w:lang w:eastAsia="en-GB"/>
        </w:rPr>
        <w:t xml:space="preserve">  [Accessed: 4th March 2018].</w:t>
      </w:r>
    </w:p>
    <w:p w:rsidR="0038407D" w:rsidRPr="008F421F" w:rsidRDefault="0038407D" w:rsidP="0038407D">
      <w:pPr>
        <w:spacing w:after="180" w:line="360" w:lineRule="auto"/>
        <w:rPr>
          <w:rFonts w:ascii="Times New Roman" w:eastAsia="Times New Roman" w:hAnsi="Times New Roman" w:cs="Times New Roman"/>
          <w:color w:val="000000"/>
          <w:sz w:val="24"/>
          <w:szCs w:val="24"/>
          <w:lang w:eastAsia="en-GB"/>
        </w:rPr>
      </w:pPr>
      <w:r w:rsidRPr="008F421F">
        <w:rPr>
          <w:rFonts w:ascii="Times New Roman" w:eastAsia="Times New Roman" w:hAnsi="Times New Roman" w:cs="Times New Roman"/>
          <w:color w:val="000000"/>
          <w:sz w:val="24"/>
          <w:szCs w:val="24"/>
          <w:lang w:eastAsia="en-GB"/>
        </w:rPr>
        <w:t>London, J. (</w:t>
      </w:r>
      <w:proofErr w:type="spellStart"/>
      <w:r w:rsidRPr="008F421F">
        <w:rPr>
          <w:rFonts w:ascii="Times New Roman" w:eastAsia="Times New Roman" w:hAnsi="Times New Roman" w:cs="Times New Roman"/>
          <w:color w:val="000000"/>
          <w:sz w:val="24"/>
          <w:szCs w:val="24"/>
          <w:lang w:eastAsia="en-GB"/>
        </w:rPr>
        <w:t>n.d.</w:t>
      </w:r>
      <w:proofErr w:type="spellEnd"/>
      <w:r w:rsidRPr="008F421F">
        <w:rPr>
          <w:rFonts w:ascii="Times New Roman" w:eastAsia="Times New Roman" w:hAnsi="Times New Roman" w:cs="Times New Roman"/>
          <w:color w:val="000000"/>
          <w:sz w:val="24"/>
          <w:szCs w:val="24"/>
          <w:lang w:eastAsia="en-GB"/>
        </w:rPr>
        <w:t>). </w:t>
      </w:r>
      <w:r w:rsidRPr="008F421F">
        <w:rPr>
          <w:rFonts w:ascii="Times New Roman" w:eastAsia="Times New Roman" w:hAnsi="Times New Roman" w:cs="Times New Roman"/>
          <w:i/>
          <w:iCs/>
          <w:color w:val="000000"/>
          <w:sz w:val="24"/>
          <w:szCs w:val="24"/>
          <w:lang w:eastAsia="en-GB"/>
        </w:rPr>
        <w:t>The Advantages of Brainstorming</w:t>
      </w:r>
      <w:r w:rsidRPr="008F421F">
        <w:rPr>
          <w:rFonts w:ascii="Times New Roman" w:eastAsia="Times New Roman" w:hAnsi="Times New Roman" w:cs="Times New Roman"/>
          <w:color w:val="000000"/>
          <w:sz w:val="24"/>
          <w:szCs w:val="24"/>
          <w:lang w:eastAsia="en-GB"/>
        </w:rPr>
        <w:t xml:space="preserve">. [Online]. Classroom.synonym.com. Available at: </w:t>
      </w:r>
      <w:hyperlink r:id="rId16" w:history="1">
        <w:r w:rsidRPr="008F421F">
          <w:rPr>
            <w:rStyle w:val="Hyperlink"/>
            <w:rFonts w:ascii="Times New Roman" w:eastAsia="Times New Roman" w:hAnsi="Times New Roman" w:cs="Times New Roman"/>
            <w:sz w:val="24"/>
            <w:szCs w:val="24"/>
            <w:lang w:eastAsia="en-GB"/>
          </w:rPr>
          <w:t>https://classroom.synonym.com/advantages-brainstorming-8220088.html</w:t>
        </w:r>
      </w:hyperlink>
      <w:r w:rsidRPr="008F421F">
        <w:rPr>
          <w:rFonts w:ascii="Times New Roman" w:eastAsia="Times New Roman" w:hAnsi="Times New Roman" w:cs="Times New Roman"/>
          <w:color w:val="000000"/>
          <w:sz w:val="24"/>
          <w:szCs w:val="24"/>
          <w:lang w:eastAsia="en-GB"/>
        </w:rPr>
        <w:t xml:space="preserve">  [Accessed: 28th February 2018].</w:t>
      </w:r>
    </w:p>
    <w:p w:rsidR="0038407D" w:rsidRPr="008F421F" w:rsidRDefault="0038407D" w:rsidP="0038407D">
      <w:pPr>
        <w:spacing w:after="180" w:line="360" w:lineRule="auto"/>
        <w:rPr>
          <w:rFonts w:ascii="Times New Roman" w:eastAsia="Times New Roman" w:hAnsi="Times New Roman" w:cs="Times New Roman"/>
          <w:color w:val="000000"/>
          <w:sz w:val="24"/>
          <w:szCs w:val="24"/>
          <w:lang w:eastAsia="en-GB"/>
        </w:rPr>
      </w:pPr>
      <w:r w:rsidRPr="008F421F">
        <w:rPr>
          <w:rFonts w:ascii="Times New Roman" w:eastAsia="Times New Roman" w:hAnsi="Times New Roman" w:cs="Times New Roman"/>
          <w:color w:val="000000"/>
          <w:sz w:val="24"/>
          <w:szCs w:val="24"/>
          <w:lang w:eastAsia="en-GB"/>
        </w:rPr>
        <w:t>Mantle of the Expert. (</w:t>
      </w:r>
      <w:proofErr w:type="spellStart"/>
      <w:r w:rsidRPr="008F421F">
        <w:rPr>
          <w:rFonts w:ascii="Times New Roman" w:eastAsia="Times New Roman" w:hAnsi="Times New Roman" w:cs="Times New Roman"/>
          <w:color w:val="000000"/>
          <w:sz w:val="24"/>
          <w:szCs w:val="24"/>
          <w:lang w:eastAsia="en-GB"/>
        </w:rPr>
        <w:t>n.d.</w:t>
      </w:r>
      <w:proofErr w:type="spellEnd"/>
      <w:r w:rsidRPr="008F421F">
        <w:rPr>
          <w:rFonts w:ascii="Times New Roman" w:eastAsia="Times New Roman" w:hAnsi="Times New Roman" w:cs="Times New Roman"/>
          <w:color w:val="000000"/>
          <w:sz w:val="24"/>
          <w:szCs w:val="24"/>
          <w:lang w:eastAsia="en-GB"/>
        </w:rPr>
        <w:t>). </w:t>
      </w:r>
      <w:r w:rsidRPr="008F421F">
        <w:rPr>
          <w:rFonts w:ascii="Times New Roman" w:eastAsia="Times New Roman" w:hAnsi="Times New Roman" w:cs="Times New Roman"/>
          <w:i/>
          <w:iCs/>
          <w:color w:val="000000"/>
          <w:sz w:val="24"/>
          <w:szCs w:val="24"/>
          <w:lang w:eastAsia="en-GB"/>
        </w:rPr>
        <w:t xml:space="preserve">How can </w:t>
      </w:r>
      <w:proofErr w:type="spellStart"/>
      <w:r w:rsidRPr="008F421F">
        <w:rPr>
          <w:rFonts w:ascii="Times New Roman" w:eastAsia="Times New Roman" w:hAnsi="Times New Roman" w:cs="Times New Roman"/>
          <w:i/>
          <w:iCs/>
          <w:color w:val="000000"/>
          <w:sz w:val="24"/>
          <w:szCs w:val="24"/>
          <w:lang w:eastAsia="en-GB"/>
        </w:rPr>
        <w:t>MoE</w:t>
      </w:r>
      <w:proofErr w:type="spellEnd"/>
      <w:r w:rsidRPr="008F421F">
        <w:rPr>
          <w:rFonts w:ascii="Times New Roman" w:eastAsia="Times New Roman" w:hAnsi="Times New Roman" w:cs="Times New Roman"/>
          <w:i/>
          <w:iCs/>
          <w:color w:val="000000"/>
          <w:sz w:val="24"/>
          <w:szCs w:val="24"/>
          <w:lang w:eastAsia="en-GB"/>
        </w:rPr>
        <w:t xml:space="preserve"> be used?</w:t>
      </w:r>
      <w:r w:rsidRPr="008F421F">
        <w:rPr>
          <w:rFonts w:ascii="Times New Roman" w:eastAsia="Times New Roman" w:hAnsi="Times New Roman" w:cs="Times New Roman"/>
          <w:color w:val="000000"/>
          <w:sz w:val="24"/>
          <w:szCs w:val="24"/>
          <w:lang w:eastAsia="en-GB"/>
        </w:rPr>
        <w:t xml:space="preserve"> [Online]. Available at: </w:t>
      </w:r>
      <w:hyperlink r:id="rId17" w:history="1">
        <w:r w:rsidRPr="008F421F">
          <w:rPr>
            <w:rStyle w:val="Hyperlink"/>
            <w:rFonts w:ascii="Times New Roman" w:eastAsia="Times New Roman" w:hAnsi="Times New Roman" w:cs="Times New Roman"/>
            <w:sz w:val="24"/>
            <w:szCs w:val="24"/>
            <w:lang w:eastAsia="en-GB"/>
          </w:rPr>
          <w:t>https://www.mantleoftheexpert.com/what-is-moe/how-can-moe-be-used/</w:t>
        </w:r>
      </w:hyperlink>
      <w:r w:rsidRPr="008F421F">
        <w:rPr>
          <w:rFonts w:ascii="Times New Roman" w:eastAsia="Times New Roman" w:hAnsi="Times New Roman" w:cs="Times New Roman"/>
          <w:color w:val="000000"/>
          <w:sz w:val="24"/>
          <w:szCs w:val="24"/>
          <w:lang w:eastAsia="en-GB"/>
        </w:rPr>
        <w:t xml:space="preserve">  [Accessed: 23rd February 2018].</w:t>
      </w:r>
    </w:p>
    <w:p w:rsidR="0038407D" w:rsidRPr="008F421F" w:rsidRDefault="0038407D" w:rsidP="0038407D">
      <w:pPr>
        <w:spacing w:after="180" w:line="360" w:lineRule="auto"/>
        <w:rPr>
          <w:rFonts w:ascii="Times New Roman" w:eastAsia="Times New Roman" w:hAnsi="Times New Roman" w:cs="Times New Roman"/>
          <w:color w:val="000000"/>
          <w:sz w:val="24"/>
          <w:szCs w:val="24"/>
          <w:lang w:eastAsia="en-GB"/>
        </w:rPr>
      </w:pPr>
      <w:r w:rsidRPr="008F421F">
        <w:rPr>
          <w:rFonts w:ascii="Times New Roman" w:eastAsia="Times New Roman" w:hAnsi="Times New Roman" w:cs="Times New Roman"/>
          <w:color w:val="000000"/>
          <w:sz w:val="24"/>
          <w:szCs w:val="24"/>
          <w:lang w:eastAsia="en-GB"/>
        </w:rPr>
        <w:t>National Advisory Committee on Creative and Cultural Education (1999). </w:t>
      </w:r>
      <w:r w:rsidRPr="008F421F">
        <w:rPr>
          <w:rFonts w:ascii="Times New Roman" w:eastAsia="Times New Roman" w:hAnsi="Times New Roman" w:cs="Times New Roman"/>
          <w:i/>
          <w:iCs/>
          <w:color w:val="000000"/>
          <w:sz w:val="24"/>
          <w:szCs w:val="24"/>
          <w:lang w:eastAsia="en-GB"/>
        </w:rPr>
        <w:t>All Our Futures: Creativity, Culture and Education</w:t>
      </w:r>
      <w:r w:rsidRPr="008F421F">
        <w:rPr>
          <w:rFonts w:ascii="Times New Roman" w:eastAsia="Times New Roman" w:hAnsi="Times New Roman" w:cs="Times New Roman"/>
          <w:color w:val="000000"/>
          <w:sz w:val="24"/>
          <w:szCs w:val="24"/>
          <w:lang w:eastAsia="en-GB"/>
        </w:rPr>
        <w:t xml:space="preserve">. [Online]. Warwick: NACCCE. Available at: </w:t>
      </w:r>
      <w:hyperlink r:id="rId18" w:history="1">
        <w:r w:rsidRPr="008F421F">
          <w:rPr>
            <w:rStyle w:val="Hyperlink"/>
            <w:rFonts w:ascii="Times New Roman" w:eastAsia="Times New Roman" w:hAnsi="Times New Roman" w:cs="Times New Roman"/>
            <w:sz w:val="24"/>
            <w:szCs w:val="24"/>
            <w:lang w:eastAsia="en-GB"/>
          </w:rPr>
          <w:t>http://sirkenrobinson.com/pdf/allourfutures.pdf</w:t>
        </w:r>
      </w:hyperlink>
      <w:r w:rsidRPr="008F421F">
        <w:rPr>
          <w:rFonts w:ascii="Times New Roman" w:eastAsia="Times New Roman" w:hAnsi="Times New Roman" w:cs="Times New Roman"/>
          <w:color w:val="000000"/>
          <w:sz w:val="24"/>
          <w:szCs w:val="24"/>
          <w:lang w:eastAsia="en-GB"/>
        </w:rPr>
        <w:t xml:space="preserve"> [Accessed: 19th February 2018].</w:t>
      </w:r>
    </w:p>
    <w:p w:rsidR="0038407D" w:rsidRDefault="0038407D" w:rsidP="0038407D">
      <w:pPr>
        <w:spacing w:after="180" w:line="360" w:lineRule="auto"/>
        <w:rPr>
          <w:rFonts w:ascii="Times New Roman" w:eastAsia="Times New Roman" w:hAnsi="Times New Roman" w:cs="Times New Roman"/>
          <w:color w:val="000000"/>
          <w:sz w:val="24"/>
          <w:szCs w:val="24"/>
          <w:lang w:eastAsia="en-GB"/>
        </w:rPr>
      </w:pPr>
      <w:proofErr w:type="spellStart"/>
      <w:r w:rsidRPr="008F421F">
        <w:rPr>
          <w:rFonts w:ascii="Times New Roman" w:eastAsia="Times New Roman" w:hAnsi="Times New Roman" w:cs="Times New Roman"/>
          <w:color w:val="000000"/>
          <w:sz w:val="24"/>
          <w:szCs w:val="24"/>
          <w:lang w:eastAsia="en-GB"/>
        </w:rPr>
        <w:t>Pandit</w:t>
      </w:r>
      <w:proofErr w:type="spellEnd"/>
      <w:r w:rsidRPr="008F421F">
        <w:rPr>
          <w:rFonts w:ascii="Times New Roman" w:eastAsia="Times New Roman" w:hAnsi="Times New Roman" w:cs="Times New Roman"/>
          <w:color w:val="000000"/>
          <w:sz w:val="24"/>
          <w:szCs w:val="24"/>
          <w:lang w:eastAsia="en-GB"/>
        </w:rPr>
        <w:t>, D. (2010). </w:t>
      </w:r>
      <w:r w:rsidRPr="008F421F">
        <w:rPr>
          <w:rFonts w:ascii="Times New Roman" w:eastAsia="Times New Roman" w:hAnsi="Times New Roman" w:cs="Times New Roman"/>
          <w:i/>
          <w:iCs/>
          <w:color w:val="000000"/>
          <w:sz w:val="24"/>
          <w:szCs w:val="24"/>
          <w:lang w:eastAsia="en-GB"/>
        </w:rPr>
        <w:t>Brainstorming in the classroom</w:t>
      </w:r>
      <w:r w:rsidRPr="008F421F">
        <w:rPr>
          <w:rFonts w:ascii="Times New Roman" w:eastAsia="Times New Roman" w:hAnsi="Times New Roman" w:cs="Times New Roman"/>
          <w:color w:val="000000"/>
          <w:sz w:val="24"/>
          <w:szCs w:val="24"/>
          <w:lang w:eastAsia="en-GB"/>
        </w:rPr>
        <w:t xml:space="preserve">. [Online]. Teacherplus.org. Available at: </w:t>
      </w:r>
      <w:hyperlink r:id="rId19" w:history="1">
        <w:r w:rsidRPr="008F421F">
          <w:rPr>
            <w:rStyle w:val="Hyperlink"/>
            <w:rFonts w:ascii="Times New Roman" w:eastAsia="Times New Roman" w:hAnsi="Times New Roman" w:cs="Times New Roman"/>
            <w:sz w:val="24"/>
            <w:szCs w:val="24"/>
            <w:lang w:eastAsia="en-GB"/>
          </w:rPr>
          <w:t>http://www.teacherplus.org/2008/october/brainstorming-in-the-classroom</w:t>
        </w:r>
      </w:hyperlink>
      <w:r w:rsidRPr="008F421F">
        <w:rPr>
          <w:rFonts w:ascii="Times New Roman" w:eastAsia="Times New Roman" w:hAnsi="Times New Roman" w:cs="Times New Roman"/>
          <w:color w:val="000000"/>
          <w:sz w:val="24"/>
          <w:szCs w:val="24"/>
          <w:lang w:eastAsia="en-GB"/>
        </w:rPr>
        <w:t xml:space="preserve"> [Accessed: 1st March 2018].</w:t>
      </w:r>
    </w:p>
    <w:p w:rsidR="0038407D" w:rsidRPr="00E9381C" w:rsidRDefault="0038407D" w:rsidP="0038407D">
      <w:pPr>
        <w:spacing w:after="180" w:line="360" w:lineRule="auto"/>
        <w:rPr>
          <w:rFonts w:ascii="Times New Roman" w:eastAsia="Times New Roman" w:hAnsi="Times New Roman" w:cs="Times New Roman"/>
          <w:sz w:val="32"/>
          <w:szCs w:val="24"/>
          <w:lang w:eastAsia="en-GB"/>
        </w:rPr>
      </w:pPr>
      <w:r w:rsidRPr="00E9381C">
        <w:rPr>
          <w:rFonts w:ascii="Times New Roman" w:hAnsi="Times New Roman" w:cs="Times New Roman"/>
          <w:sz w:val="24"/>
          <w:szCs w:val="20"/>
          <w:shd w:val="clear" w:color="auto" w:fill="FFFFFF"/>
        </w:rPr>
        <w:t>Pound, L. (2012). </w:t>
      </w:r>
      <w:r w:rsidRPr="00E9381C">
        <w:rPr>
          <w:rFonts w:ascii="Times New Roman" w:hAnsi="Times New Roman" w:cs="Times New Roman"/>
          <w:i/>
          <w:iCs/>
          <w:sz w:val="24"/>
          <w:szCs w:val="20"/>
          <w:shd w:val="clear" w:color="auto" w:fill="FFFFFF"/>
        </w:rPr>
        <w:t>How Children Learn</w:t>
      </w:r>
      <w:r w:rsidRPr="00E9381C">
        <w:rPr>
          <w:rFonts w:ascii="Times New Roman" w:hAnsi="Times New Roman" w:cs="Times New Roman"/>
          <w:sz w:val="24"/>
          <w:szCs w:val="20"/>
          <w:shd w:val="clear" w:color="auto" w:fill="FFFFFF"/>
        </w:rPr>
        <w:t>. Luton: Andrews UK</w:t>
      </w:r>
    </w:p>
    <w:p w:rsidR="0038407D" w:rsidRPr="008F421F" w:rsidRDefault="0038407D" w:rsidP="0038407D">
      <w:pPr>
        <w:spacing w:after="180" w:line="360" w:lineRule="auto"/>
        <w:ind w:left="450" w:hanging="450"/>
        <w:rPr>
          <w:rFonts w:ascii="Times New Roman" w:eastAsia="Times New Roman" w:hAnsi="Times New Roman" w:cs="Times New Roman"/>
          <w:color w:val="000000"/>
          <w:sz w:val="24"/>
          <w:szCs w:val="24"/>
          <w:lang w:eastAsia="en-GB"/>
        </w:rPr>
      </w:pPr>
      <w:r w:rsidRPr="008F421F">
        <w:rPr>
          <w:rFonts w:ascii="Times New Roman" w:eastAsia="Times New Roman" w:hAnsi="Times New Roman" w:cs="Times New Roman"/>
          <w:color w:val="000000"/>
          <w:sz w:val="24"/>
          <w:szCs w:val="24"/>
          <w:lang w:eastAsia="en-GB"/>
        </w:rPr>
        <w:t xml:space="preserve">Robinson, K. and </w:t>
      </w:r>
      <w:proofErr w:type="spellStart"/>
      <w:r w:rsidRPr="008F421F">
        <w:rPr>
          <w:rFonts w:ascii="Times New Roman" w:eastAsia="Times New Roman" w:hAnsi="Times New Roman" w:cs="Times New Roman"/>
          <w:color w:val="000000"/>
          <w:sz w:val="24"/>
          <w:szCs w:val="24"/>
          <w:lang w:eastAsia="en-GB"/>
        </w:rPr>
        <w:t>Aronica</w:t>
      </w:r>
      <w:proofErr w:type="spellEnd"/>
      <w:r w:rsidRPr="008F421F">
        <w:rPr>
          <w:rFonts w:ascii="Times New Roman" w:eastAsia="Times New Roman" w:hAnsi="Times New Roman" w:cs="Times New Roman"/>
          <w:color w:val="000000"/>
          <w:sz w:val="24"/>
          <w:szCs w:val="24"/>
          <w:lang w:eastAsia="en-GB"/>
        </w:rPr>
        <w:t>, L. (2015) </w:t>
      </w:r>
      <w:r w:rsidRPr="008F421F">
        <w:rPr>
          <w:rFonts w:ascii="Times New Roman" w:eastAsia="Times New Roman" w:hAnsi="Times New Roman" w:cs="Times New Roman"/>
          <w:i/>
          <w:iCs/>
          <w:color w:val="000000"/>
          <w:sz w:val="24"/>
          <w:szCs w:val="24"/>
          <w:lang w:eastAsia="en-GB"/>
        </w:rPr>
        <w:t>Creative schools</w:t>
      </w:r>
      <w:r w:rsidRPr="008F421F">
        <w:rPr>
          <w:rFonts w:ascii="Times New Roman" w:eastAsia="Times New Roman" w:hAnsi="Times New Roman" w:cs="Times New Roman"/>
          <w:color w:val="000000"/>
          <w:sz w:val="24"/>
          <w:szCs w:val="24"/>
          <w:lang w:eastAsia="en-GB"/>
        </w:rPr>
        <w:t>. UK: Allen Lane.</w:t>
      </w:r>
    </w:p>
    <w:p w:rsidR="0038407D" w:rsidRPr="008F421F" w:rsidRDefault="0038407D" w:rsidP="0038407D">
      <w:pPr>
        <w:spacing w:after="180" w:line="360" w:lineRule="auto"/>
        <w:rPr>
          <w:rFonts w:ascii="Times New Roman" w:eastAsia="Times New Roman" w:hAnsi="Times New Roman" w:cs="Times New Roman"/>
          <w:color w:val="000000"/>
          <w:sz w:val="24"/>
          <w:szCs w:val="24"/>
          <w:lang w:eastAsia="en-GB"/>
        </w:rPr>
      </w:pPr>
      <w:proofErr w:type="spellStart"/>
      <w:r w:rsidRPr="008F421F">
        <w:rPr>
          <w:rFonts w:ascii="Times New Roman" w:eastAsia="Times New Roman" w:hAnsi="Times New Roman" w:cs="Times New Roman"/>
          <w:color w:val="000000"/>
          <w:sz w:val="24"/>
          <w:szCs w:val="24"/>
          <w:lang w:eastAsia="en-GB"/>
        </w:rPr>
        <w:t>Starko</w:t>
      </w:r>
      <w:proofErr w:type="spellEnd"/>
      <w:r w:rsidRPr="008F421F">
        <w:rPr>
          <w:rFonts w:ascii="Times New Roman" w:eastAsia="Times New Roman" w:hAnsi="Times New Roman" w:cs="Times New Roman"/>
          <w:color w:val="000000"/>
          <w:sz w:val="24"/>
          <w:szCs w:val="24"/>
          <w:lang w:eastAsia="en-GB"/>
        </w:rPr>
        <w:t>, A. (2010). </w:t>
      </w:r>
      <w:r w:rsidRPr="008F421F">
        <w:rPr>
          <w:rFonts w:ascii="Times New Roman" w:eastAsia="Times New Roman" w:hAnsi="Times New Roman" w:cs="Times New Roman"/>
          <w:i/>
          <w:iCs/>
          <w:color w:val="000000"/>
          <w:sz w:val="24"/>
          <w:szCs w:val="24"/>
          <w:lang w:eastAsia="en-GB"/>
        </w:rPr>
        <w:t>Creativity in the Classroom</w:t>
      </w:r>
      <w:r w:rsidRPr="008F421F">
        <w:rPr>
          <w:rFonts w:ascii="Times New Roman" w:eastAsia="Times New Roman" w:hAnsi="Times New Roman" w:cs="Times New Roman"/>
          <w:color w:val="000000"/>
          <w:sz w:val="24"/>
          <w:szCs w:val="24"/>
          <w:lang w:eastAsia="en-GB"/>
        </w:rPr>
        <w:t>. 4th ed. [</w:t>
      </w:r>
      <w:proofErr w:type="spellStart"/>
      <w:r w:rsidRPr="008F421F">
        <w:rPr>
          <w:rFonts w:ascii="Times New Roman" w:eastAsia="Times New Roman" w:hAnsi="Times New Roman" w:cs="Times New Roman"/>
          <w:color w:val="000000"/>
          <w:sz w:val="24"/>
          <w:szCs w:val="24"/>
          <w:lang w:eastAsia="en-GB"/>
        </w:rPr>
        <w:t>ebook</w:t>
      </w:r>
      <w:proofErr w:type="spellEnd"/>
      <w:r w:rsidRPr="008F421F">
        <w:rPr>
          <w:rFonts w:ascii="Times New Roman" w:eastAsia="Times New Roman" w:hAnsi="Times New Roman" w:cs="Times New Roman"/>
          <w:color w:val="000000"/>
          <w:sz w:val="24"/>
          <w:szCs w:val="24"/>
          <w:lang w:eastAsia="en-GB"/>
        </w:rPr>
        <w:t xml:space="preserve">] Oxon: Routledge. Available at: </w:t>
      </w:r>
      <w:hyperlink r:id="rId20" w:history="1">
        <w:r w:rsidRPr="008F421F">
          <w:rPr>
            <w:rStyle w:val="Hyperlink"/>
            <w:rFonts w:ascii="Times New Roman" w:eastAsia="Times New Roman" w:hAnsi="Times New Roman" w:cs="Times New Roman"/>
            <w:sz w:val="24"/>
            <w:szCs w:val="24"/>
            <w:lang w:eastAsia="en-GB"/>
          </w:rPr>
          <w:t>https://www-dawsonera-com.ezproxy.uwtsd.ac.uk/readonline/9780203871492</w:t>
        </w:r>
      </w:hyperlink>
      <w:r w:rsidRPr="008F421F">
        <w:rPr>
          <w:rFonts w:ascii="Times New Roman" w:eastAsia="Times New Roman" w:hAnsi="Times New Roman" w:cs="Times New Roman"/>
          <w:color w:val="000000"/>
          <w:sz w:val="24"/>
          <w:szCs w:val="24"/>
          <w:lang w:eastAsia="en-GB"/>
        </w:rPr>
        <w:t xml:space="preserve"> [Accessed: 22nd February 2018].</w:t>
      </w:r>
    </w:p>
    <w:p w:rsidR="0038407D" w:rsidRPr="008F421F" w:rsidRDefault="0038407D" w:rsidP="0038407D">
      <w:pPr>
        <w:spacing w:after="180" w:line="360" w:lineRule="auto"/>
        <w:rPr>
          <w:rFonts w:ascii="Times New Roman" w:eastAsia="Times New Roman" w:hAnsi="Times New Roman" w:cs="Times New Roman"/>
          <w:color w:val="000000"/>
          <w:sz w:val="24"/>
          <w:szCs w:val="24"/>
          <w:lang w:eastAsia="en-GB"/>
        </w:rPr>
      </w:pPr>
      <w:r w:rsidRPr="008F421F">
        <w:rPr>
          <w:rFonts w:ascii="Times New Roman" w:eastAsia="Times New Roman" w:hAnsi="Times New Roman" w:cs="Times New Roman"/>
          <w:color w:val="000000"/>
          <w:sz w:val="24"/>
          <w:szCs w:val="24"/>
          <w:lang w:eastAsia="en-GB"/>
        </w:rPr>
        <w:t>Taylor, T. (2016). </w:t>
      </w:r>
      <w:r w:rsidRPr="008F421F">
        <w:rPr>
          <w:rFonts w:ascii="Times New Roman" w:eastAsia="Times New Roman" w:hAnsi="Times New Roman" w:cs="Times New Roman"/>
          <w:i/>
          <w:iCs/>
          <w:color w:val="000000"/>
          <w:sz w:val="24"/>
          <w:szCs w:val="24"/>
          <w:lang w:eastAsia="en-GB"/>
        </w:rPr>
        <w:t>A Brief Introduction to Mantle of the Expert</w:t>
      </w:r>
      <w:r w:rsidRPr="008F421F">
        <w:rPr>
          <w:rFonts w:ascii="Times New Roman" w:eastAsia="Times New Roman" w:hAnsi="Times New Roman" w:cs="Times New Roman"/>
          <w:color w:val="000000"/>
          <w:sz w:val="24"/>
          <w:szCs w:val="24"/>
          <w:lang w:eastAsia="en-GB"/>
        </w:rPr>
        <w:t xml:space="preserve">. [Online]. </w:t>
      </w:r>
      <w:proofErr w:type="gramStart"/>
      <w:r w:rsidRPr="008F421F">
        <w:rPr>
          <w:rFonts w:ascii="Times New Roman" w:eastAsia="Times New Roman" w:hAnsi="Times New Roman" w:cs="Times New Roman"/>
          <w:color w:val="000000"/>
          <w:sz w:val="24"/>
          <w:szCs w:val="24"/>
          <w:lang w:eastAsia="en-GB"/>
        </w:rPr>
        <w:t>imaginative-inquiry</w:t>
      </w:r>
      <w:proofErr w:type="gramEnd"/>
      <w:r w:rsidRPr="008F421F">
        <w:rPr>
          <w:rFonts w:ascii="Times New Roman" w:eastAsia="Times New Roman" w:hAnsi="Times New Roman" w:cs="Times New Roman"/>
          <w:color w:val="000000"/>
          <w:sz w:val="24"/>
          <w:szCs w:val="24"/>
          <w:lang w:eastAsia="en-GB"/>
        </w:rPr>
        <w:t xml:space="preserve">. Available at: </w:t>
      </w:r>
      <w:hyperlink r:id="rId21" w:history="1">
        <w:r w:rsidRPr="008F421F">
          <w:rPr>
            <w:rStyle w:val="Hyperlink"/>
            <w:rFonts w:ascii="Times New Roman" w:eastAsia="Times New Roman" w:hAnsi="Times New Roman" w:cs="Times New Roman"/>
            <w:sz w:val="24"/>
            <w:szCs w:val="24"/>
            <w:lang w:eastAsia="en-GB"/>
          </w:rPr>
          <w:t>http://www.imaginative-inquiry.co.uk/2016/04/a-brief-introduction-to-mantle-of-the-expert/</w:t>
        </w:r>
      </w:hyperlink>
      <w:r w:rsidRPr="008F421F">
        <w:rPr>
          <w:rFonts w:ascii="Times New Roman" w:eastAsia="Times New Roman" w:hAnsi="Times New Roman" w:cs="Times New Roman"/>
          <w:color w:val="000000"/>
          <w:sz w:val="24"/>
          <w:szCs w:val="24"/>
          <w:lang w:eastAsia="en-GB"/>
        </w:rPr>
        <w:t xml:space="preserve">  [Accessed: 23rd February 2018].</w:t>
      </w:r>
    </w:p>
    <w:p w:rsidR="0038407D" w:rsidRPr="008F421F" w:rsidRDefault="0038407D" w:rsidP="0038407D">
      <w:pPr>
        <w:spacing w:after="180" w:line="360" w:lineRule="auto"/>
        <w:rPr>
          <w:rFonts w:ascii="Times New Roman" w:eastAsia="Times New Roman" w:hAnsi="Times New Roman" w:cs="Times New Roman"/>
          <w:sz w:val="24"/>
          <w:szCs w:val="24"/>
          <w:lang w:eastAsia="en-GB"/>
        </w:rPr>
      </w:pPr>
      <w:r w:rsidRPr="008F421F">
        <w:rPr>
          <w:rFonts w:ascii="Times New Roman" w:eastAsia="Times New Roman" w:hAnsi="Times New Roman" w:cs="Times New Roman"/>
          <w:sz w:val="24"/>
          <w:szCs w:val="24"/>
          <w:lang w:eastAsia="en-GB"/>
        </w:rPr>
        <w:lastRenderedPageBreak/>
        <w:t>Williams, K. (2017) </w:t>
      </w:r>
      <w:r w:rsidRPr="008F421F">
        <w:rPr>
          <w:rFonts w:ascii="Times New Roman" w:eastAsia="Times New Roman" w:hAnsi="Times New Roman" w:cs="Times New Roman"/>
          <w:i/>
          <w:iCs/>
          <w:sz w:val="24"/>
          <w:szCs w:val="24"/>
          <w:lang w:eastAsia="en-GB"/>
        </w:rPr>
        <w:t>Education in Wales: Our national mission</w:t>
      </w:r>
      <w:r w:rsidRPr="008F421F">
        <w:rPr>
          <w:rFonts w:ascii="Times New Roman" w:eastAsia="Times New Roman" w:hAnsi="Times New Roman" w:cs="Times New Roman"/>
          <w:sz w:val="24"/>
          <w:szCs w:val="24"/>
          <w:lang w:eastAsia="en-GB"/>
        </w:rPr>
        <w:t xml:space="preserve">. [Online]. Cardiff: Welsh Government, Available at: </w:t>
      </w:r>
      <w:r w:rsidRPr="008F421F">
        <w:rPr>
          <w:rFonts w:ascii="Times New Roman" w:eastAsia="Times New Roman" w:hAnsi="Times New Roman" w:cs="Times New Roman"/>
          <w:color w:val="2E74B5" w:themeColor="accent1" w:themeShade="BF"/>
          <w:sz w:val="24"/>
          <w:szCs w:val="24"/>
          <w:u w:val="single"/>
          <w:lang w:eastAsia="en-GB"/>
        </w:rPr>
        <w:t>http://gov.wales/docs/dcells/publications/170926-education-in-wales-en.pdf</w:t>
      </w:r>
      <w:r w:rsidRPr="008F421F">
        <w:rPr>
          <w:rFonts w:ascii="Times New Roman" w:eastAsia="Times New Roman" w:hAnsi="Times New Roman" w:cs="Times New Roman"/>
          <w:sz w:val="24"/>
          <w:szCs w:val="24"/>
          <w:lang w:eastAsia="en-GB"/>
        </w:rPr>
        <w:t xml:space="preserve"> [Accessed: 20th February 2018].</w:t>
      </w:r>
    </w:p>
    <w:p w:rsidR="004A6CE2" w:rsidRPr="004A6CE2" w:rsidRDefault="004A6CE2" w:rsidP="004A6CE2">
      <w:pPr>
        <w:spacing w:after="180" w:line="360" w:lineRule="auto"/>
        <w:ind w:left="450" w:hanging="450"/>
        <w:rPr>
          <w:rFonts w:ascii="Times New Roman" w:eastAsia="Times New Roman" w:hAnsi="Times New Roman" w:cs="Times New Roman"/>
          <w:color w:val="000000"/>
          <w:sz w:val="24"/>
          <w:szCs w:val="24"/>
          <w:lang w:eastAsia="en-GB"/>
        </w:rPr>
      </w:pPr>
    </w:p>
    <w:sectPr w:rsidR="004A6CE2" w:rsidRPr="004A6CE2">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41E1" w:rsidRDefault="007E41E1" w:rsidP="00AC0558">
      <w:pPr>
        <w:spacing w:after="0" w:line="240" w:lineRule="auto"/>
      </w:pPr>
      <w:r>
        <w:separator/>
      </w:r>
    </w:p>
  </w:endnote>
  <w:endnote w:type="continuationSeparator" w:id="0">
    <w:p w:rsidR="007E41E1" w:rsidRDefault="007E41E1" w:rsidP="00AC0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57B55" w:rsidRDefault="00357B55" w:rsidP="00D82ECD">
    <w:pPr>
      <w:pStyle w:val="Footer"/>
      <w:tabs>
        <w:tab w:val="left" w:pos="7434"/>
      </w:tabs>
    </w:pPr>
    <w:r>
      <w:tab/>
    </w:r>
    <w:sdt>
      <w:sdtPr>
        <w:id w:val="-1047682120"/>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070045">
          <w:rPr>
            <w:noProof/>
          </w:rPr>
          <w:t>7</w:t>
        </w:r>
        <w:r>
          <w:rPr>
            <w:noProof/>
          </w:rPr>
          <w:fldChar w:fldCharType="end"/>
        </w:r>
      </w:sdtContent>
    </w:sdt>
    <w:r>
      <w:rPr>
        <w:noProof/>
      </w:rPr>
      <w:tab/>
    </w:r>
  </w:p>
  <w:p w:rsidR="00357B55" w:rsidRDefault="00357B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41E1" w:rsidRDefault="007E41E1" w:rsidP="00AC0558">
      <w:pPr>
        <w:spacing w:after="0" w:line="240" w:lineRule="auto"/>
      </w:pPr>
      <w:r>
        <w:separator/>
      </w:r>
    </w:p>
  </w:footnote>
  <w:footnote w:type="continuationSeparator" w:id="0">
    <w:p w:rsidR="007E41E1" w:rsidRDefault="007E41E1" w:rsidP="00AC055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57B55" w:rsidRDefault="00357B55">
    <w:pPr>
      <w:pStyle w:val="Header"/>
    </w:pPr>
    <w:r>
      <w:t>1500444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0558"/>
    <w:rsid w:val="000132EA"/>
    <w:rsid w:val="0002192F"/>
    <w:rsid w:val="00035747"/>
    <w:rsid w:val="000418BF"/>
    <w:rsid w:val="00053C93"/>
    <w:rsid w:val="0006130B"/>
    <w:rsid w:val="00070045"/>
    <w:rsid w:val="000D45D1"/>
    <w:rsid w:val="00120DD8"/>
    <w:rsid w:val="00157BA3"/>
    <w:rsid w:val="00183BC4"/>
    <w:rsid w:val="00191350"/>
    <w:rsid w:val="0025701A"/>
    <w:rsid w:val="002A4AB6"/>
    <w:rsid w:val="002D2C47"/>
    <w:rsid w:val="002E3330"/>
    <w:rsid w:val="003455BE"/>
    <w:rsid w:val="00357B55"/>
    <w:rsid w:val="003607A3"/>
    <w:rsid w:val="0038407D"/>
    <w:rsid w:val="003A1369"/>
    <w:rsid w:val="003F2A05"/>
    <w:rsid w:val="00435602"/>
    <w:rsid w:val="00460F05"/>
    <w:rsid w:val="004A3820"/>
    <w:rsid w:val="004A5FA2"/>
    <w:rsid w:val="004A6CE2"/>
    <w:rsid w:val="004E4232"/>
    <w:rsid w:val="00534992"/>
    <w:rsid w:val="00551B78"/>
    <w:rsid w:val="0056087B"/>
    <w:rsid w:val="00564663"/>
    <w:rsid w:val="00572EBE"/>
    <w:rsid w:val="00580CF2"/>
    <w:rsid w:val="005D1C15"/>
    <w:rsid w:val="00612C90"/>
    <w:rsid w:val="0067296E"/>
    <w:rsid w:val="006C09B0"/>
    <w:rsid w:val="006E54F1"/>
    <w:rsid w:val="00721C75"/>
    <w:rsid w:val="00783862"/>
    <w:rsid w:val="007A5D65"/>
    <w:rsid w:val="007B641A"/>
    <w:rsid w:val="007E41E1"/>
    <w:rsid w:val="007F1C1D"/>
    <w:rsid w:val="0085584B"/>
    <w:rsid w:val="008F4673"/>
    <w:rsid w:val="008F64F0"/>
    <w:rsid w:val="00912B20"/>
    <w:rsid w:val="009210FB"/>
    <w:rsid w:val="00950931"/>
    <w:rsid w:val="009668F3"/>
    <w:rsid w:val="009A2962"/>
    <w:rsid w:val="00A14C87"/>
    <w:rsid w:val="00AC0558"/>
    <w:rsid w:val="00AE0BE5"/>
    <w:rsid w:val="00B90EDD"/>
    <w:rsid w:val="00BB363F"/>
    <w:rsid w:val="00BD25E0"/>
    <w:rsid w:val="00BE2D81"/>
    <w:rsid w:val="00C12555"/>
    <w:rsid w:val="00C6100D"/>
    <w:rsid w:val="00CA7C28"/>
    <w:rsid w:val="00D82ECD"/>
    <w:rsid w:val="00D95AC8"/>
    <w:rsid w:val="00DA3766"/>
    <w:rsid w:val="00DB09E4"/>
    <w:rsid w:val="00E17BBE"/>
    <w:rsid w:val="00E37CE3"/>
    <w:rsid w:val="00E73212"/>
    <w:rsid w:val="00EB4362"/>
    <w:rsid w:val="00EE7548"/>
    <w:rsid w:val="00F47321"/>
    <w:rsid w:val="00FF7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72926CF-3146-4028-90A1-868BBC221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0558"/>
    <w:pPr>
      <w:spacing w:line="256" w:lineRule="auto"/>
    </w:pPr>
  </w:style>
  <w:style w:type="paragraph" w:styleId="Heading2">
    <w:name w:val="heading 2"/>
    <w:basedOn w:val="Normal"/>
    <w:link w:val="Heading2Char"/>
    <w:uiPriority w:val="9"/>
    <w:qFormat/>
    <w:rsid w:val="004A6CE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0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558"/>
  </w:style>
  <w:style w:type="paragraph" w:styleId="Footer">
    <w:name w:val="footer"/>
    <w:basedOn w:val="Normal"/>
    <w:link w:val="FooterChar"/>
    <w:uiPriority w:val="99"/>
    <w:unhideWhenUsed/>
    <w:rsid w:val="00AC0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558"/>
  </w:style>
  <w:style w:type="character" w:styleId="Hyperlink">
    <w:name w:val="Hyperlink"/>
    <w:basedOn w:val="DefaultParagraphFont"/>
    <w:uiPriority w:val="99"/>
    <w:unhideWhenUsed/>
    <w:rsid w:val="00435602"/>
    <w:rPr>
      <w:color w:val="0563C1" w:themeColor="hyperlink"/>
      <w:u w:val="single"/>
    </w:rPr>
  </w:style>
  <w:style w:type="paragraph" w:customStyle="1" w:styleId="BodyText1">
    <w:name w:val="Body Text1"/>
    <w:basedOn w:val="Normal"/>
    <w:rsid w:val="00A14C87"/>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rsid w:val="00A14C87"/>
    <w:pPr>
      <w:spacing w:after="0" w:line="240" w:lineRule="auto"/>
    </w:pPr>
    <w:rPr>
      <w:sz w:val="24"/>
      <w:szCs w:val="24"/>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4A6CE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4A6CE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4293052">
      <w:bodyDiv w:val="1"/>
      <w:marLeft w:val="0"/>
      <w:marRight w:val="0"/>
      <w:marTop w:val="0"/>
      <w:marBottom w:val="0"/>
      <w:divBdr>
        <w:top w:val="none" w:sz="0" w:space="0" w:color="auto"/>
        <w:left w:val="none" w:sz="0" w:space="0" w:color="auto"/>
        <w:bottom w:val="none" w:sz="0" w:space="0" w:color="auto"/>
        <w:right w:val="none" w:sz="0" w:space="0" w:color="auto"/>
      </w:divBdr>
    </w:div>
    <w:div w:id="701053302">
      <w:bodyDiv w:val="1"/>
      <w:marLeft w:val="0"/>
      <w:marRight w:val="0"/>
      <w:marTop w:val="0"/>
      <w:marBottom w:val="0"/>
      <w:divBdr>
        <w:top w:val="none" w:sz="0" w:space="0" w:color="auto"/>
        <w:left w:val="none" w:sz="0" w:space="0" w:color="auto"/>
        <w:bottom w:val="none" w:sz="0" w:space="0" w:color="auto"/>
        <w:right w:val="none" w:sz="0" w:space="0" w:color="auto"/>
      </w:divBdr>
    </w:div>
    <w:div w:id="767311036">
      <w:bodyDiv w:val="1"/>
      <w:marLeft w:val="0"/>
      <w:marRight w:val="0"/>
      <w:marTop w:val="0"/>
      <w:marBottom w:val="0"/>
      <w:divBdr>
        <w:top w:val="none" w:sz="0" w:space="0" w:color="auto"/>
        <w:left w:val="none" w:sz="0" w:space="0" w:color="auto"/>
        <w:bottom w:val="none" w:sz="0" w:space="0" w:color="auto"/>
        <w:right w:val="none" w:sz="0" w:space="0" w:color="auto"/>
      </w:divBdr>
    </w:div>
    <w:div w:id="822890747">
      <w:bodyDiv w:val="1"/>
      <w:marLeft w:val="0"/>
      <w:marRight w:val="0"/>
      <w:marTop w:val="0"/>
      <w:marBottom w:val="0"/>
      <w:divBdr>
        <w:top w:val="none" w:sz="0" w:space="0" w:color="auto"/>
        <w:left w:val="none" w:sz="0" w:space="0" w:color="auto"/>
        <w:bottom w:val="none" w:sz="0" w:space="0" w:color="auto"/>
        <w:right w:val="none" w:sz="0" w:space="0" w:color="auto"/>
      </w:divBdr>
    </w:div>
    <w:div w:id="866677846">
      <w:bodyDiv w:val="1"/>
      <w:marLeft w:val="0"/>
      <w:marRight w:val="0"/>
      <w:marTop w:val="0"/>
      <w:marBottom w:val="0"/>
      <w:divBdr>
        <w:top w:val="none" w:sz="0" w:space="0" w:color="auto"/>
        <w:left w:val="none" w:sz="0" w:space="0" w:color="auto"/>
        <w:bottom w:val="none" w:sz="0" w:space="0" w:color="auto"/>
        <w:right w:val="none" w:sz="0" w:space="0" w:color="auto"/>
      </w:divBdr>
    </w:div>
    <w:div w:id="104236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awsonera-com.ezproxy.uwtsd.ac.uk/readonline/9781446258347" TargetMode="External"/><Relationship Id="rId18" Type="http://schemas.openxmlformats.org/officeDocument/2006/relationships/hyperlink" Target="http://sirkenrobinson.com/pdf/allourfutures.pdf" TargetMode="External"/><Relationship Id="rId3" Type="http://schemas.openxmlformats.org/officeDocument/2006/relationships/settings" Target="settings.xml"/><Relationship Id="rId21" Type="http://schemas.openxmlformats.org/officeDocument/2006/relationships/hyperlink" Target="http://www.imaginative-inquiry.co.uk/2016/04/a-brief-introduction-to-mantle-of-the-expert/" TargetMode="External"/><Relationship Id="rId7" Type="http://schemas.openxmlformats.org/officeDocument/2006/relationships/image" Target="media/image1.png"/><Relationship Id="rId12" Type="http://schemas.openxmlformats.org/officeDocument/2006/relationships/hyperlink" Target="https://www-tandfonline-com.ezproxy.uwtsd.ac.uk/doi/pdf/10.1080/03004279.2015.961689?needAccess=true" TargetMode="External"/><Relationship Id="rId17" Type="http://schemas.openxmlformats.org/officeDocument/2006/relationships/hyperlink" Target="https://www.mantleoftheexpert.com/what-is-moe/how-can-moe-be-used/"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lassroom.synonym.com/advantages-brainstorming-8220088.html" TargetMode="External"/><Relationship Id="rId20" Type="http://schemas.openxmlformats.org/officeDocument/2006/relationships/hyperlink" Target="https://www-dawsonera-com.ezproxy.uwtsd.ac.uk/readonline/978020387149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awsonera-com.ezproxy.uwtsd.ac.uk/readonline/9780203934388"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jstor.org.ezproxy.uwtsd.ac.uk/stable/1477037?seq=1#page_scan_tab_contents" TargetMode="External"/><Relationship Id="rId23" Type="http://schemas.openxmlformats.org/officeDocument/2006/relationships/footer" Target="footer1.xml"/><Relationship Id="rId10" Type="http://schemas.openxmlformats.org/officeDocument/2006/relationships/hyperlink" Target="https://mantleoftheexpert.co.nz/assessment-and-mantle-of-the-expert/" TargetMode="External"/><Relationship Id="rId19" Type="http://schemas.openxmlformats.org/officeDocument/2006/relationships/hyperlink" Target="http://www.teacherplus.org/2008/october/brainstorming-in-the-classroom" TargetMode="External"/><Relationship Id="rId4" Type="http://schemas.openxmlformats.org/officeDocument/2006/relationships/webSettings" Target="webSettings.xml"/><Relationship Id="rId9" Type="http://schemas.openxmlformats.org/officeDocument/2006/relationships/hyperlink" Target="https://youtu.be/i7yQbz7gp5M" TargetMode="External"/><Relationship Id="rId14" Type="http://schemas.openxmlformats.org/officeDocument/2006/relationships/hyperlink" Target="https://dramaresource.com/mantle-of-the-exper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AA3279-9175-4E45-ABB2-5FE03EB90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1350</Words>
  <Characters>7699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Wilson</dc:creator>
  <cp:keywords/>
  <dc:description/>
  <cp:lastModifiedBy>Bethan Wilson</cp:lastModifiedBy>
  <cp:revision>3</cp:revision>
  <dcterms:created xsi:type="dcterms:W3CDTF">2018-03-13T22:55:00Z</dcterms:created>
  <dcterms:modified xsi:type="dcterms:W3CDTF">2018-03-13T23:40:00Z</dcterms:modified>
</cp:coreProperties>
</file>