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5A5779" w14:textId="13383213" w:rsidR="00B73247" w:rsidRPr="00B73247" w:rsidRDefault="00B73247" w:rsidP="00B73247">
      <w:pPr>
        <w:jc w:val="center"/>
        <w:rPr>
          <w:u w:val="single"/>
        </w:rPr>
      </w:pPr>
      <w:r w:rsidRPr="00B73247">
        <w:rPr>
          <w:u w:val="single"/>
        </w:rPr>
        <w:t>Task 3</w:t>
      </w:r>
    </w:p>
    <w:p w14:paraId="6039969B" w14:textId="77777777" w:rsidR="00B73247" w:rsidRDefault="00B73247" w:rsidP="00B73247">
      <w:pPr>
        <w:jc w:val="center"/>
        <w:rPr>
          <w:u w:val="single"/>
        </w:rPr>
      </w:pPr>
    </w:p>
    <w:p w14:paraId="74825376" w14:textId="146714D9" w:rsidR="00B73247" w:rsidRDefault="00B73247" w:rsidP="00B73247">
      <w:pPr>
        <w:rPr>
          <w:rFonts w:cstheme="minorHAnsi"/>
          <w:sz w:val="24"/>
          <w:szCs w:val="24"/>
        </w:rPr>
      </w:pPr>
      <w:r>
        <w:rPr>
          <w:rFonts w:cstheme="minorHAnsi"/>
          <w:sz w:val="24"/>
          <w:szCs w:val="24"/>
        </w:rPr>
        <w:t xml:space="preserve">(AC3.1) </w:t>
      </w:r>
      <w:r w:rsidRPr="008E0F90">
        <w:rPr>
          <w:rFonts w:cstheme="minorHAnsi"/>
          <w:sz w:val="24"/>
          <w:szCs w:val="24"/>
        </w:rPr>
        <w:t xml:space="preserve">Waite, K </w:t>
      </w:r>
      <w:r w:rsidRPr="008E0F90">
        <w:rPr>
          <w:rFonts w:cstheme="minorHAnsi"/>
          <w:i/>
          <w:iCs/>
          <w:sz w:val="24"/>
          <w:szCs w:val="24"/>
        </w:rPr>
        <w:t xml:space="preserve">et al. </w:t>
      </w:r>
      <w:r w:rsidRPr="008E0F90">
        <w:rPr>
          <w:rFonts w:cstheme="minorHAnsi"/>
          <w:sz w:val="24"/>
          <w:szCs w:val="24"/>
        </w:rPr>
        <w:t>(2021)</w:t>
      </w:r>
      <w:r w:rsidR="00C03290">
        <w:rPr>
          <w:rFonts w:cstheme="minorHAnsi"/>
          <w:sz w:val="24"/>
          <w:szCs w:val="24"/>
        </w:rPr>
        <w:t xml:space="preserve"> defines work life balance ‘as the ability of individuals to successfully pursue their work and non-work lives, without undue pressures from one undermining the satisfactory experience another’</w:t>
      </w:r>
      <w:r w:rsidR="00735542">
        <w:rPr>
          <w:rFonts w:cstheme="minorHAnsi"/>
          <w:sz w:val="24"/>
          <w:szCs w:val="24"/>
        </w:rPr>
        <w:t xml:space="preserve"> </w:t>
      </w:r>
    </w:p>
    <w:p w14:paraId="3EAAC74B" w14:textId="77777777" w:rsidR="00735542" w:rsidRDefault="00735542" w:rsidP="00B73247">
      <w:pPr>
        <w:rPr>
          <w:rFonts w:cstheme="minorHAnsi"/>
          <w:sz w:val="24"/>
          <w:szCs w:val="24"/>
        </w:rPr>
      </w:pPr>
    </w:p>
    <w:p w14:paraId="46F9C626" w14:textId="3FC198CD" w:rsidR="00735542" w:rsidRDefault="00735542" w:rsidP="00B73247">
      <w:pPr>
        <w:rPr>
          <w:rFonts w:cstheme="minorHAnsi"/>
          <w:sz w:val="24"/>
          <w:szCs w:val="24"/>
        </w:rPr>
      </w:pPr>
      <w:r>
        <w:rPr>
          <w:rFonts w:cstheme="minorHAnsi"/>
          <w:sz w:val="24"/>
          <w:szCs w:val="24"/>
        </w:rPr>
        <w:t xml:space="preserve">Work life balance defined in this way is the relationship between the employee as an individual and their own wants and needs, the business as an organisation with their own goals and objectives and the marrying of the two in a healthy way. A positive work life balance for both the employee and the organisation means that for the organisation, the employee can work and perform in their professional life to a high standard, ensuring their goals and deadlines are met. For the employee, they can go to work and still have enough time to fulfil their own personal objectives, be able to satisfy all their basic human needs. </w:t>
      </w:r>
    </w:p>
    <w:p w14:paraId="5461414A" w14:textId="77777777" w:rsidR="00735542" w:rsidRDefault="00735542" w:rsidP="00B73247">
      <w:pPr>
        <w:rPr>
          <w:rFonts w:cstheme="minorHAnsi"/>
          <w:sz w:val="24"/>
          <w:szCs w:val="24"/>
        </w:rPr>
      </w:pPr>
    </w:p>
    <w:p w14:paraId="0FF24104" w14:textId="77777777" w:rsidR="00DD5238" w:rsidRDefault="00274468" w:rsidP="00B73247">
      <w:pPr>
        <w:rPr>
          <w:rFonts w:cstheme="minorHAnsi"/>
          <w:sz w:val="24"/>
          <w:szCs w:val="24"/>
        </w:rPr>
      </w:pPr>
      <w:r>
        <w:rPr>
          <w:rFonts w:cstheme="minorHAnsi"/>
          <w:sz w:val="24"/>
          <w:szCs w:val="24"/>
        </w:rPr>
        <w:t>Within the UK, there is specific legislation which protect workers rights</w:t>
      </w:r>
      <w:r w:rsidR="00663237">
        <w:rPr>
          <w:rFonts w:cstheme="minorHAnsi"/>
          <w:sz w:val="24"/>
          <w:szCs w:val="24"/>
        </w:rPr>
        <w:t xml:space="preserve"> </w:t>
      </w:r>
      <w:r w:rsidR="00DD5238">
        <w:rPr>
          <w:rFonts w:cstheme="minorHAnsi"/>
          <w:sz w:val="24"/>
          <w:szCs w:val="24"/>
        </w:rPr>
        <w:t xml:space="preserve">when it comes to ensuring they have a healthy work-life balance. These include; </w:t>
      </w:r>
    </w:p>
    <w:p w14:paraId="4A36A537" w14:textId="0B9FEA19" w:rsidR="00DD5238" w:rsidRDefault="00DD5238" w:rsidP="00DD5238">
      <w:pPr>
        <w:pStyle w:val="ListParagraph"/>
        <w:numPr>
          <w:ilvl w:val="0"/>
          <w:numId w:val="1"/>
        </w:numPr>
        <w:rPr>
          <w:rFonts w:cstheme="minorHAnsi"/>
          <w:sz w:val="24"/>
          <w:szCs w:val="24"/>
        </w:rPr>
      </w:pPr>
      <w:r>
        <w:rPr>
          <w:rFonts w:cstheme="minorHAnsi"/>
          <w:sz w:val="24"/>
          <w:szCs w:val="24"/>
        </w:rPr>
        <w:t>Equality Act (2010)</w:t>
      </w:r>
    </w:p>
    <w:p w14:paraId="2804DBDD" w14:textId="1769CA27" w:rsidR="00DD5238" w:rsidRDefault="00DD5238" w:rsidP="00DD5238">
      <w:pPr>
        <w:pStyle w:val="ListParagraph"/>
        <w:numPr>
          <w:ilvl w:val="0"/>
          <w:numId w:val="1"/>
        </w:numPr>
        <w:rPr>
          <w:rFonts w:cstheme="minorHAnsi"/>
          <w:sz w:val="24"/>
          <w:szCs w:val="24"/>
        </w:rPr>
      </w:pPr>
      <w:r>
        <w:rPr>
          <w:rFonts w:cstheme="minorHAnsi"/>
          <w:sz w:val="24"/>
          <w:szCs w:val="24"/>
        </w:rPr>
        <w:t>Employment Rights Acts (1996)</w:t>
      </w:r>
    </w:p>
    <w:p w14:paraId="6D5B58E0" w14:textId="4CCD7887" w:rsidR="00DD5238" w:rsidRDefault="00DD5238" w:rsidP="00DD5238">
      <w:pPr>
        <w:pStyle w:val="ListParagraph"/>
        <w:numPr>
          <w:ilvl w:val="0"/>
          <w:numId w:val="1"/>
        </w:numPr>
        <w:rPr>
          <w:rFonts w:cstheme="minorHAnsi"/>
          <w:sz w:val="24"/>
          <w:szCs w:val="24"/>
        </w:rPr>
      </w:pPr>
      <w:r>
        <w:rPr>
          <w:rFonts w:cstheme="minorHAnsi"/>
          <w:sz w:val="24"/>
          <w:szCs w:val="24"/>
        </w:rPr>
        <w:t>The Working time Regulations (1998)</w:t>
      </w:r>
    </w:p>
    <w:p w14:paraId="6801B5A8" w14:textId="77777777" w:rsidR="00DD5238" w:rsidRDefault="00DD5238" w:rsidP="00DD5238">
      <w:pPr>
        <w:rPr>
          <w:rFonts w:cstheme="minorHAnsi"/>
          <w:sz w:val="24"/>
          <w:szCs w:val="24"/>
        </w:rPr>
      </w:pPr>
    </w:p>
    <w:p w14:paraId="53CCDE56" w14:textId="104F689B" w:rsidR="00DD5238" w:rsidRDefault="00DD5238" w:rsidP="00DD5238">
      <w:pPr>
        <w:rPr>
          <w:rFonts w:cstheme="minorHAnsi"/>
          <w:sz w:val="24"/>
          <w:szCs w:val="24"/>
        </w:rPr>
      </w:pPr>
      <w:r>
        <w:rPr>
          <w:rFonts w:cstheme="minorHAnsi"/>
          <w:sz w:val="24"/>
          <w:szCs w:val="24"/>
        </w:rPr>
        <w:t xml:space="preserve">Whilst there are other legislations which protect workers rights, the above cover key provisions such as a maximum 48 hour working week, employee’s rights to request flexible working, and employee’s rights to request reasonable adjustments in their workplace in the case of disabilities. (Gov.uk, 2024)  </w:t>
      </w:r>
    </w:p>
    <w:p w14:paraId="78071E88" w14:textId="77777777" w:rsidR="004D65BB" w:rsidRDefault="004D65BB" w:rsidP="00DD5238">
      <w:pPr>
        <w:rPr>
          <w:rFonts w:cstheme="minorHAnsi"/>
          <w:sz w:val="24"/>
          <w:szCs w:val="24"/>
        </w:rPr>
      </w:pPr>
    </w:p>
    <w:p w14:paraId="558A65F6" w14:textId="5BFC573C" w:rsidR="004D65BB" w:rsidRDefault="004D65BB" w:rsidP="00484168">
      <w:pPr>
        <w:rPr>
          <w:rFonts w:cstheme="minorHAnsi"/>
          <w:sz w:val="24"/>
          <w:szCs w:val="24"/>
        </w:rPr>
      </w:pPr>
      <w:r>
        <w:rPr>
          <w:rFonts w:cstheme="minorHAnsi"/>
          <w:sz w:val="24"/>
          <w:szCs w:val="24"/>
        </w:rPr>
        <w:t xml:space="preserve">(AC3.2) </w:t>
      </w:r>
      <w:r w:rsidR="00484168">
        <w:rPr>
          <w:rFonts w:cstheme="minorHAnsi"/>
          <w:sz w:val="24"/>
          <w:szCs w:val="24"/>
        </w:rPr>
        <w:t xml:space="preserve">According to the CIPD (2024), there are 7 underlying elements which influence an </w:t>
      </w:r>
      <w:proofErr w:type="gramStart"/>
      <w:r w:rsidR="00484168">
        <w:rPr>
          <w:rFonts w:cstheme="minorHAnsi"/>
          <w:sz w:val="24"/>
          <w:szCs w:val="24"/>
        </w:rPr>
        <w:t>employees</w:t>
      </w:r>
      <w:proofErr w:type="gramEnd"/>
      <w:r w:rsidR="00484168">
        <w:rPr>
          <w:rFonts w:cstheme="minorHAnsi"/>
          <w:sz w:val="24"/>
          <w:szCs w:val="24"/>
        </w:rPr>
        <w:t xml:space="preserve"> wellbeing. These are;</w:t>
      </w:r>
    </w:p>
    <w:p w14:paraId="034ECAED" w14:textId="179639F0" w:rsidR="00484168" w:rsidRDefault="00484168" w:rsidP="00484168">
      <w:pPr>
        <w:pStyle w:val="ListParagraph"/>
        <w:numPr>
          <w:ilvl w:val="0"/>
          <w:numId w:val="3"/>
        </w:numPr>
        <w:rPr>
          <w:rFonts w:cstheme="minorHAnsi"/>
          <w:sz w:val="24"/>
          <w:szCs w:val="24"/>
        </w:rPr>
      </w:pPr>
      <w:r>
        <w:rPr>
          <w:rFonts w:cstheme="minorHAnsi"/>
          <w:sz w:val="24"/>
          <w:szCs w:val="24"/>
        </w:rPr>
        <w:t>Health</w:t>
      </w:r>
    </w:p>
    <w:p w14:paraId="2C98A615" w14:textId="4B61AB62" w:rsidR="00484168" w:rsidRDefault="00484168" w:rsidP="00484168">
      <w:pPr>
        <w:pStyle w:val="ListParagraph"/>
        <w:numPr>
          <w:ilvl w:val="0"/>
          <w:numId w:val="3"/>
        </w:numPr>
        <w:rPr>
          <w:rFonts w:cstheme="minorHAnsi"/>
          <w:sz w:val="24"/>
          <w:szCs w:val="24"/>
        </w:rPr>
      </w:pPr>
      <w:r>
        <w:rPr>
          <w:rFonts w:cstheme="minorHAnsi"/>
          <w:sz w:val="24"/>
          <w:szCs w:val="24"/>
        </w:rPr>
        <w:t>Good Work</w:t>
      </w:r>
    </w:p>
    <w:p w14:paraId="6BECA277" w14:textId="715B356D" w:rsidR="00484168" w:rsidRDefault="00484168" w:rsidP="00484168">
      <w:pPr>
        <w:pStyle w:val="ListParagraph"/>
        <w:numPr>
          <w:ilvl w:val="0"/>
          <w:numId w:val="3"/>
        </w:numPr>
        <w:rPr>
          <w:rFonts w:cstheme="minorHAnsi"/>
          <w:sz w:val="24"/>
          <w:szCs w:val="24"/>
        </w:rPr>
      </w:pPr>
      <w:r>
        <w:rPr>
          <w:rFonts w:cstheme="minorHAnsi"/>
          <w:sz w:val="24"/>
          <w:szCs w:val="24"/>
        </w:rPr>
        <w:t>Values/Principles</w:t>
      </w:r>
    </w:p>
    <w:p w14:paraId="2E26EB24" w14:textId="0FC0FD21" w:rsidR="00484168" w:rsidRDefault="00484168" w:rsidP="00484168">
      <w:pPr>
        <w:pStyle w:val="ListParagraph"/>
        <w:numPr>
          <w:ilvl w:val="0"/>
          <w:numId w:val="3"/>
        </w:numPr>
        <w:rPr>
          <w:rFonts w:cstheme="minorHAnsi"/>
          <w:sz w:val="24"/>
          <w:szCs w:val="24"/>
        </w:rPr>
      </w:pPr>
      <w:r>
        <w:rPr>
          <w:rFonts w:cstheme="minorHAnsi"/>
          <w:sz w:val="24"/>
          <w:szCs w:val="24"/>
        </w:rPr>
        <w:t>Collective Social</w:t>
      </w:r>
    </w:p>
    <w:p w14:paraId="2D520603" w14:textId="3B9DD596" w:rsidR="00484168" w:rsidRDefault="00484168" w:rsidP="00484168">
      <w:pPr>
        <w:pStyle w:val="ListParagraph"/>
        <w:numPr>
          <w:ilvl w:val="0"/>
          <w:numId w:val="3"/>
        </w:numPr>
        <w:rPr>
          <w:rFonts w:cstheme="minorHAnsi"/>
          <w:sz w:val="24"/>
          <w:szCs w:val="24"/>
        </w:rPr>
      </w:pPr>
      <w:r>
        <w:rPr>
          <w:rFonts w:cstheme="minorHAnsi"/>
          <w:sz w:val="24"/>
          <w:szCs w:val="24"/>
        </w:rPr>
        <w:t>Personal Growth</w:t>
      </w:r>
    </w:p>
    <w:p w14:paraId="74805BF7" w14:textId="62FAF482" w:rsidR="00484168" w:rsidRDefault="00484168" w:rsidP="00484168">
      <w:pPr>
        <w:pStyle w:val="ListParagraph"/>
        <w:numPr>
          <w:ilvl w:val="0"/>
          <w:numId w:val="3"/>
        </w:numPr>
        <w:rPr>
          <w:rFonts w:cstheme="minorHAnsi"/>
          <w:sz w:val="24"/>
          <w:szCs w:val="24"/>
        </w:rPr>
      </w:pPr>
      <w:r>
        <w:rPr>
          <w:rFonts w:cstheme="minorHAnsi"/>
          <w:sz w:val="24"/>
          <w:szCs w:val="24"/>
        </w:rPr>
        <w:t>Good Lifestyle Choices</w:t>
      </w:r>
    </w:p>
    <w:p w14:paraId="568DCA04" w14:textId="3ABFB8D3" w:rsidR="00484168" w:rsidRDefault="00484168" w:rsidP="00484168">
      <w:pPr>
        <w:pStyle w:val="ListParagraph"/>
        <w:numPr>
          <w:ilvl w:val="0"/>
          <w:numId w:val="3"/>
        </w:numPr>
        <w:rPr>
          <w:rFonts w:cstheme="minorHAnsi"/>
          <w:sz w:val="24"/>
          <w:szCs w:val="24"/>
        </w:rPr>
      </w:pPr>
      <w:r>
        <w:rPr>
          <w:rFonts w:cstheme="minorHAnsi"/>
          <w:sz w:val="24"/>
          <w:szCs w:val="24"/>
        </w:rPr>
        <w:t>Financial Wellbeing</w:t>
      </w:r>
    </w:p>
    <w:p w14:paraId="0693ADAA" w14:textId="4214C775" w:rsidR="00484168" w:rsidRDefault="00484168" w:rsidP="00484168">
      <w:pPr>
        <w:ind w:left="360"/>
        <w:rPr>
          <w:rFonts w:cstheme="minorHAnsi"/>
          <w:sz w:val="24"/>
          <w:szCs w:val="24"/>
        </w:rPr>
      </w:pPr>
      <w:r>
        <w:rPr>
          <w:rFonts w:cstheme="minorHAnsi"/>
          <w:sz w:val="24"/>
          <w:szCs w:val="24"/>
        </w:rPr>
        <w:t xml:space="preserve">Whilst this is a very broad list of what constitutes wellbeing, they cover all aspects of life. Wellbeing at </w:t>
      </w:r>
      <w:proofErr w:type="gramStart"/>
      <w:r>
        <w:rPr>
          <w:rFonts w:cstheme="minorHAnsi"/>
          <w:sz w:val="24"/>
          <w:szCs w:val="24"/>
        </w:rPr>
        <w:t>it’s</w:t>
      </w:r>
      <w:proofErr w:type="gramEnd"/>
      <w:r>
        <w:rPr>
          <w:rFonts w:cstheme="minorHAnsi"/>
          <w:sz w:val="24"/>
          <w:szCs w:val="24"/>
        </w:rPr>
        <w:t xml:space="preserve"> core is feeling unburdened or unstressed, which allows you to perform at your peak capacity.</w:t>
      </w:r>
    </w:p>
    <w:p w14:paraId="57CE7433" w14:textId="2F0C11EE" w:rsidR="00484168" w:rsidRPr="00484168" w:rsidRDefault="00484168" w:rsidP="00484168">
      <w:pPr>
        <w:ind w:left="360"/>
        <w:rPr>
          <w:rFonts w:cstheme="minorHAnsi"/>
          <w:sz w:val="24"/>
          <w:szCs w:val="24"/>
        </w:rPr>
      </w:pPr>
      <w:r>
        <w:rPr>
          <w:rFonts w:cstheme="minorHAnsi"/>
          <w:sz w:val="24"/>
          <w:szCs w:val="24"/>
        </w:rPr>
        <w:lastRenderedPageBreak/>
        <w:t xml:space="preserve">Looking at the 7 elements above, if any of these elements, such as your financial wellbeing are being affected, for example you as an individual are in debt, this can cause you to have a negative outlook on work, life and affect your everyday ability to perform. By ensuring that you look after your own personal wellbeing in each of the above categories, you as an individual will be able to perform optimally. Wellbeing is incredibly important on an individual level, and to any organisation staff wellbeing should be an area of high importance, as if key members in your organisation are suffering from poor wellbeing, this can have a drastic impact on meeting targets, and can also negatively affect other staff member’s wellbeing which can cause a domino effect. </w:t>
      </w:r>
    </w:p>
    <w:p w14:paraId="552FF30A" w14:textId="77777777" w:rsidR="00DD5238" w:rsidRDefault="00DD5238" w:rsidP="00DD5238">
      <w:pPr>
        <w:rPr>
          <w:rFonts w:cstheme="minorHAnsi"/>
          <w:sz w:val="24"/>
          <w:szCs w:val="24"/>
        </w:rPr>
      </w:pPr>
    </w:p>
    <w:p w14:paraId="1BAC9B9D" w14:textId="4DFE7F4D" w:rsidR="00117DC2" w:rsidRPr="00117DC2" w:rsidRDefault="00117DC2" w:rsidP="00117DC2">
      <w:pPr>
        <w:rPr>
          <w:rFonts w:cstheme="minorHAnsi"/>
          <w:sz w:val="24"/>
          <w:szCs w:val="24"/>
        </w:rPr>
      </w:pPr>
      <w:r>
        <w:rPr>
          <w:rFonts w:cstheme="minorHAnsi"/>
          <w:sz w:val="24"/>
          <w:szCs w:val="24"/>
        </w:rPr>
        <w:t xml:space="preserve">(AC3.3) There are several different legislations which protect people against discrimination in the UK. One of these is the Equality Act (2010). The Equality Act protects people against discrimination based on several characteristics, such as gender or race, and is the main piece of legislation within the UK which protects people from discrimination. The Equality Act protects people from a few types of discrimination, harassment and ensures that organisations are to provide reasonable adjustments for those who require them as a legal requirement.  </w:t>
      </w:r>
    </w:p>
    <w:p w14:paraId="28E4D1B8" w14:textId="77777777" w:rsidR="00117DC2" w:rsidRDefault="00117DC2" w:rsidP="00DD5238">
      <w:pPr>
        <w:rPr>
          <w:rFonts w:cstheme="minorHAnsi"/>
          <w:sz w:val="24"/>
          <w:szCs w:val="24"/>
        </w:rPr>
      </w:pPr>
    </w:p>
    <w:p w14:paraId="23472BAC" w14:textId="77777777" w:rsidR="00117DC2" w:rsidRDefault="00117DC2" w:rsidP="00DD5238">
      <w:pPr>
        <w:rPr>
          <w:rFonts w:cstheme="minorHAnsi"/>
          <w:sz w:val="24"/>
          <w:szCs w:val="24"/>
        </w:rPr>
      </w:pPr>
      <w:r>
        <w:rPr>
          <w:rFonts w:cstheme="minorHAnsi"/>
          <w:sz w:val="24"/>
          <w:szCs w:val="24"/>
        </w:rPr>
        <w:t>There is also the employment rights act (1996) which provides provisions and guidelines to employers and employees on their rights related to unfair dismissal and redundancy. One of the key provisions of the act literally is the right to not be unfairly dismissed. The act also ensures that employers must provide terms and conditions (a contract) to their employees and ensures that employees can not be unfairly treated or dismissed if they join a trade union.</w:t>
      </w:r>
    </w:p>
    <w:p w14:paraId="00D2A644" w14:textId="77777777" w:rsidR="00117DC2" w:rsidRDefault="00117DC2" w:rsidP="00DD5238">
      <w:pPr>
        <w:rPr>
          <w:rFonts w:cstheme="minorHAnsi"/>
          <w:sz w:val="24"/>
          <w:szCs w:val="24"/>
        </w:rPr>
      </w:pPr>
    </w:p>
    <w:p w14:paraId="29A31095" w14:textId="48BFBD57" w:rsidR="00DD5238" w:rsidRPr="00DD5238" w:rsidRDefault="00117DC2" w:rsidP="00DD5238">
      <w:pPr>
        <w:rPr>
          <w:rFonts w:cstheme="minorHAnsi"/>
          <w:sz w:val="24"/>
          <w:szCs w:val="24"/>
        </w:rPr>
      </w:pPr>
      <w:r>
        <w:rPr>
          <w:rFonts w:cstheme="minorHAnsi"/>
          <w:sz w:val="24"/>
          <w:szCs w:val="24"/>
        </w:rPr>
        <w:t xml:space="preserve"> There is also the Human Rights Act (1998) which ensures that both inside and outside of work, individuals within the UK are given rights and freedoms</w:t>
      </w:r>
      <w:r w:rsidR="009526F6">
        <w:rPr>
          <w:rFonts w:cstheme="minorHAnsi"/>
          <w:sz w:val="24"/>
          <w:szCs w:val="24"/>
        </w:rPr>
        <w:t>,</w:t>
      </w:r>
      <w:r>
        <w:rPr>
          <w:rFonts w:cstheme="minorHAnsi"/>
          <w:sz w:val="24"/>
          <w:szCs w:val="24"/>
        </w:rPr>
        <w:t xml:space="preserve"> such as the Freedom of thought, conscience, and religion. Freedom of expression and a right to life. </w:t>
      </w:r>
      <w:proofErr w:type="gramStart"/>
      <w:r w:rsidR="006C3970">
        <w:rPr>
          <w:rFonts w:cstheme="minorHAnsi"/>
          <w:sz w:val="24"/>
          <w:szCs w:val="24"/>
        </w:rPr>
        <w:t>All of</w:t>
      </w:r>
      <w:proofErr w:type="gramEnd"/>
      <w:r w:rsidR="006C3970">
        <w:rPr>
          <w:rFonts w:cstheme="minorHAnsi"/>
          <w:sz w:val="24"/>
          <w:szCs w:val="24"/>
        </w:rPr>
        <w:t xml:space="preserve"> the rights and </w:t>
      </w:r>
      <w:r w:rsidR="009526F6">
        <w:rPr>
          <w:rFonts w:cstheme="minorHAnsi"/>
          <w:sz w:val="24"/>
          <w:szCs w:val="24"/>
        </w:rPr>
        <w:t>freedoms</w:t>
      </w:r>
      <w:r w:rsidR="006C3970">
        <w:rPr>
          <w:rFonts w:cstheme="minorHAnsi"/>
          <w:sz w:val="24"/>
          <w:szCs w:val="24"/>
        </w:rPr>
        <w:t xml:space="preserve"> provided to us in the Human Rights Act allow us all to live in a democratic society which allows us to challenge each other and our employers in a civil way, and arguably without the Human Rights Act (Or, the European Convention on Human Rights before it) a lot of the liberties which we take for granted today would potentially not exist. </w:t>
      </w:r>
    </w:p>
    <w:p w14:paraId="14A3D709" w14:textId="77777777" w:rsidR="00C03290" w:rsidRDefault="00C03290" w:rsidP="00B73247"/>
    <w:p w14:paraId="1E1A6CB5" w14:textId="77777777" w:rsidR="00B73247" w:rsidRDefault="00B73247"/>
    <w:p w14:paraId="36275C8C" w14:textId="3163B6CF" w:rsidR="008A29BF" w:rsidRDefault="008A29BF">
      <w:r>
        <w:t>(AC 3.4)</w:t>
      </w:r>
    </w:p>
    <w:p w14:paraId="2978B48F" w14:textId="541E8177" w:rsidR="008A29BF" w:rsidRDefault="008A29BF">
      <w:r>
        <w:t xml:space="preserve">Raimi. L and Kah. J (2022) says that organisations which practice DEI (Diversity, Inclusion and Equity) is what provides first world countries their workforce basic rights, social justice, </w:t>
      </w:r>
      <w:r w:rsidR="00CE695E">
        <w:t>respect,</w:t>
      </w:r>
      <w:r>
        <w:t xml:space="preserve"> and dignity as human beings. </w:t>
      </w:r>
    </w:p>
    <w:p w14:paraId="09EAA11C" w14:textId="77777777" w:rsidR="008A29BF" w:rsidRDefault="008A29BF"/>
    <w:p w14:paraId="2EB146E7" w14:textId="4342DE2E" w:rsidR="008A29BF" w:rsidRDefault="008A29BF">
      <w:r>
        <w:lastRenderedPageBreak/>
        <w:t>Raimi. L and Kah. J (2022)</w:t>
      </w:r>
      <w:r>
        <w:t xml:space="preserve"> says that diversity programs are designed to attract, </w:t>
      </w:r>
      <w:r w:rsidR="00CE695E">
        <w:t>attend,</w:t>
      </w:r>
      <w:r>
        <w:t xml:space="preserve"> and retain a diverse population within the workforce. What this encourages is a culture where people of different </w:t>
      </w:r>
      <w:r w:rsidR="00CE695E">
        <w:t>races</w:t>
      </w:r>
      <w:r>
        <w:t>, age, gender’s, different characteristics, are all able to work together in harmony and bring in their own shared experiences and worldviews to work together.</w:t>
      </w:r>
      <w:r w:rsidR="00CE695E">
        <w:t xml:space="preserve"> This can be value for any organisation as having such varied experiences means that new ideas can be generated and decisions can be made based on unbiased views.</w:t>
      </w:r>
    </w:p>
    <w:p w14:paraId="2DB4B4BC" w14:textId="24ABB488" w:rsidR="00CE695E" w:rsidRDefault="00CE695E"/>
    <w:p w14:paraId="3BDEF0C1" w14:textId="3BE89BC2" w:rsidR="00CE695E" w:rsidRPr="00CE695E" w:rsidRDefault="00CE695E">
      <w:r>
        <w:t xml:space="preserve">Waite, k </w:t>
      </w:r>
      <w:r>
        <w:rPr>
          <w:i/>
          <w:iCs/>
        </w:rPr>
        <w:t>et al</w:t>
      </w:r>
      <w:r>
        <w:t xml:space="preserve"> (2021) </w:t>
      </w:r>
      <w:r w:rsidR="000933CB">
        <w:t xml:space="preserve">says that inclusion is where people’s differences are valued and used to enable everyone to thrive at work. Where as Diversity could be likened to the activity of recruitment, where </w:t>
      </w:r>
      <w:proofErr w:type="gramStart"/>
      <w:r w:rsidR="000933CB">
        <w:t>it’s</w:t>
      </w:r>
      <w:proofErr w:type="gramEnd"/>
      <w:r w:rsidR="000933CB">
        <w:t xml:space="preserve"> an organisations social, moral, and legal responsibility to ensure that it provides every opportunity to recruit a diverse workforce, inclusion is the ‘pay off’ of recruiting and supporting a diverse workforce. Through being diverse in the recruitment process, an inclusive culture can be fostered which allows everybody to thrive within. Through promoting diversity and inclusion within the workplace, several strengths can be passed onto an organisation, such as those highlighted above, as well as to the individual. An individual working in an environment where diversity and inclusion is promoted is more likely to be able to gain insights which they otherwise would not have gained, and be able to understand and learn from people of different cultures which could arguably improve their own worldview.  </w:t>
      </w:r>
    </w:p>
    <w:p w14:paraId="07D54CBC" w14:textId="77777777" w:rsidR="008A29BF" w:rsidRDefault="008A29BF"/>
    <w:p w14:paraId="6FE04863" w14:textId="34DF6021" w:rsidR="008A29BF" w:rsidRDefault="008A29BF">
      <w:r>
        <w:t>(AC 3.5)</w:t>
      </w:r>
    </w:p>
    <w:p w14:paraId="5FC4CC76" w14:textId="77777777" w:rsidR="00B73247" w:rsidRDefault="00B73247"/>
    <w:p w14:paraId="2EB4B83C" w14:textId="5899994C" w:rsidR="00B73247" w:rsidRDefault="0080372B">
      <w:r>
        <w:t xml:space="preserve">The Employment Rights Act (1996) as in AC 3.3 provides guidance for both organisations and employees on their rights when it comes to both fair, and unfair dismissal. The Employment Rights Act states that an organisation may fairly dismiss an employee if they deem that they uncapable of performing their roles any longer, due to a lack of skills, competence, or qualification if they consistently fail to meet deadlines, or to fulfil their job requirements. </w:t>
      </w:r>
    </w:p>
    <w:p w14:paraId="2476F26F" w14:textId="77777777" w:rsidR="0080372B" w:rsidRDefault="0080372B"/>
    <w:p w14:paraId="5281CA7C" w14:textId="5D98E7A0" w:rsidR="0080372B" w:rsidRDefault="0080372B">
      <w:r>
        <w:t>They may also dismiss employees on terms of bad conduct both in and out of work (bad conduct outside of work could be classed as illegal activity for example.). Redundancy is also classed as ‘fair dismissal’ under the act. This is where the employer needs to reduce their workforce because of financial reasons.</w:t>
      </w:r>
    </w:p>
    <w:p w14:paraId="2A0C3DEB" w14:textId="77777777" w:rsidR="0080372B" w:rsidRDefault="0080372B"/>
    <w:p w14:paraId="2AD05CA8" w14:textId="723E984D" w:rsidR="0080372B" w:rsidRDefault="0080372B">
      <w:r>
        <w:t xml:space="preserve">An unfair dismissal occurs when a dismissal occurs without falling into any of the above categories of dismissal. An example of unfair dismissal could be firing a worker who is pregnant to avoid having to pay maternity leave to the member of staff affected. Looking at other acts in AC 2.3 such as the Equality Act 2010, a dismissal could be deemed as unfair if a staff member was dismissed because they were being discriminated against because of a protected characteristic, for example firing someone based on their race, </w:t>
      </w:r>
      <w:proofErr w:type="gramStart"/>
      <w:r>
        <w:t>age</w:t>
      </w:r>
      <w:proofErr w:type="gramEnd"/>
      <w:r>
        <w:t xml:space="preserve"> or gender.  </w:t>
      </w:r>
    </w:p>
    <w:p w14:paraId="0FE8CFD2" w14:textId="77777777" w:rsidR="00B73247" w:rsidRDefault="00B73247"/>
    <w:p w14:paraId="59C20507" w14:textId="77777777" w:rsidR="00B73247" w:rsidRDefault="00B73247"/>
    <w:p w14:paraId="72447168" w14:textId="77777777" w:rsidR="00B73247" w:rsidRDefault="00B73247"/>
    <w:p w14:paraId="40A8C88D" w14:textId="77777777" w:rsidR="00B73247" w:rsidRDefault="00B73247"/>
    <w:p w14:paraId="1807A34F" w14:textId="77777777" w:rsidR="00B73247" w:rsidRDefault="00B73247"/>
    <w:p w14:paraId="37707A45" w14:textId="77777777" w:rsidR="00B73247" w:rsidRDefault="00B73247"/>
    <w:p w14:paraId="77BF76BF" w14:textId="77777777" w:rsidR="00B73247" w:rsidRDefault="00B73247"/>
    <w:p w14:paraId="118FCD1F" w14:textId="77777777" w:rsidR="00B73247" w:rsidRDefault="00B73247"/>
    <w:p w14:paraId="6B932826" w14:textId="77777777" w:rsidR="00B73247" w:rsidRDefault="00B73247"/>
    <w:p w14:paraId="26AA3AB1" w14:textId="77777777" w:rsidR="00B73247" w:rsidRDefault="00B73247"/>
    <w:p w14:paraId="1A037B56" w14:textId="77777777" w:rsidR="00B73247" w:rsidRDefault="00B73247"/>
    <w:p w14:paraId="07028A53" w14:textId="77777777" w:rsidR="00B73247" w:rsidRDefault="00B73247"/>
    <w:p w14:paraId="05F9FBEC" w14:textId="77777777" w:rsidR="00B73247" w:rsidRDefault="00B73247"/>
    <w:p w14:paraId="227DEB1A" w14:textId="77777777" w:rsidR="00B73247" w:rsidRDefault="00B73247"/>
    <w:p w14:paraId="49F849D1" w14:textId="77777777" w:rsidR="00B73247" w:rsidRDefault="00B73247"/>
    <w:p w14:paraId="60F5664E" w14:textId="77777777" w:rsidR="00B73247" w:rsidRDefault="00B73247"/>
    <w:p w14:paraId="0154A6EB" w14:textId="77777777" w:rsidR="00B73247" w:rsidRDefault="00B73247"/>
    <w:p w14:paraId="79649063" w14:textId="77777777" w:rsidR="00B73247" w:rsidRDefault="00B73247"/>
    <w:p w14:paraId="10F606FA" w14:textId="77777777" w:rsidR="00B73247" w:rsidRDefault="00B73247"/>
    <w:p w14:paraId="5ED52E5F" w14:textId="77777777" w:rsidR="00B73247" w:rsidRDefault="00B73247"/>
    <w:p w14:paraId="255B358C" w14:textId="77777777" w:rsidR="00B73247" w:rsidRDefault="00B73247"/>
    <w:p w14:paraId="2FE3FA01" w14:textId="77777777" w:rsidR="00B73247" w:rsidRDefault="00B73247"/>
    <w:p w14:paraId="4B875043" w14:textId="77777777" w:rsidR="00B73247" w:rsidRDefault="00B73247"/>
    <w:p w14:paraId="3BCC7769" w14:textId="77777777" w:rsidR="00B73247" w:rsidRDefault="00B73247"/>
    <w:p w14:paraId="6E5DC668" w14:textId="79917E57" w:rsidR="00B73247" w:rsidRDefault="00B73247" w:rsidP="00B73247">
      <w:pPr>
        <w:jc w:val="center"/>
        <w:rPr>
          <w:u w:val="single"/>
        </w:rPr>
      </w:pPr>
      <w:r w:rsidRPr="00B73247">
        <w:rPr>
          <w:u w:val="single"/>
        </w:rPr>
        <w:t>Reference List</w:t>
      </w:r>
    </w:p>
    <w:p w14:paraId="2B6AA8A3" w14:textId="22CCE117" w:rsidR="004D65BB" w:rsidRDefault="004D65BB" w:rsidP="004D65BB">
      <w:pPr>
        <w:spacing w:after="0" w:line="240" w:lineRule="auto"/>
        <w:rPr>
          <w:rFonts w:ascii="Times New Roman" w:eastAsia="Times New Roman" w:hAnsi="Times New Roman" w:cs="Times New Roman"/>
          <w:kern w:val="0"/>
          <w:sz w:val="24"/>
          <w:szCs w:val="24"/>
          <w:lang w:eastAsia="en-GB"/>
          <w14:ligatures w14:val="none"/>
        </w:rPr>
      </w:pPr>
      <w:r w:rsidRPr="004D65BB">
        <w:rPr>
          <w:rFonts w:ascii="Times New Roman" w:eastAsia="Times New Roman" w:hAnsi="Times New Roman" w:cs="Times New Roman"/>
          <w:kern w:val="0"/>
          <w:sz w:val="24"/>
          <w:szCs w:val="24"/>
          <w:lang w:eastAsia="en-GB"/>
          <w14:ligatures w14:val="none"/>
        </w:rPr>
        <w:t xml:space="preserve">Aboobaker, N., Edward, M. and K. A., Z. (2019) ‘Workplace Spirituality, Employee Wellbeing and Intention to Stay: A Multi-Group Analysis of Teachers’ Career Choice’, </w:t>
      </w:r>
      <w:r w:rsidRPr="004D65BB">
        <w:rPr>
          <w:rFonts w:ascii="Times New Roman" w:eastAsia="Times New Roman" w:hAnsi="Times New Roman" w:cs="Times New Roman"/>
          <w:i/>
          <w:iCs/>
          <w:kern w:val="0"/>
          <w:sz w:val="24"/>
          <w:szCs w:val="24"/>
          <w:lang w:eastAsia="en-GB"/>
          <w14:ligatures w14:val="none"/>
        </w:rPr>
        <w:t>International journal of educational management</w:t>
      </w:r>
      <w:r w:rsidRPr="004D65BB">
        <w:rPr>
          <w:rFonts w:ascii="Times New Roman" w:eastAsia="Times New Roman" w:hAnsi="Times New Roman" w:cs="Times New Roman"/>
          <w:kern w:val="0"/>
          <w:sz w:val="24"/>
          <w:szCs w:val="24"/>
          <w:lang w:eastAsia="en-GB"/>
          <w14:ligatures w14:val="none"/>
        </w:rPr>
        <w:t xml:space="preserve">, 33(1), pp. 28–44. Available at: </w:t>
      </w:r>
      <w:hyperlink r:id="rId7" w:history="1">
        <w:r w:rsidRPr="004D65BB">
          <w:rPr>
            <w:rStyle w:val="Hyperlink"/>
            <w:rFonts w:ascii="Times New Roman" w:eastAsia="Times New Roman" w:hAnsi="Times New Roman" w:cs="Times New Roman"/>
            <w:kern w:val="0"/>
            <w:sz w:val="24"/>
            <w:szCs w:val="24"/>
            <w:lang w:eastAsia="en-GB"/>
            <w14:ligatures w14:val="none"/>
          </w:rPr>
          <w:t>https://doi.org/10.1108/IJEM-02-2018-0049</w:t>
        </w:r>
      </w:hyperlink>
    </w:p>
    <w:p w14:paraId="2F3C1554" w14:textId="77777777" w:rsidR="004D65BB" w:rsidRDefault="004D65BB" w:rsidP="00766545"/>
    <w:p w14:paraId="6A0E5933" w14:textId="424912EF" w:rsidR="00484168" w:rsidRPr="00484168" w:rsidRDefault="00484168" w:rsidP="00766545">
      <w:r>
        <w:t xml:space="preserve">CIPD (2024) </w:t>
      </w:r>
      <w:r>
        <w:rPr>
          <w:i/>
          <w:iCs/>
        </w:rPr>
        <w:t xml:space="preserve">Wellbeing factsheet  </w:t>
      </w:r>
      <w:hyperlink r:id="rId8" w:history="1">
        <w:r w:rsidRPr="00484168">
          <w:rPr>
            <w:rStyle w:val="Hyperlink"/>
          </w:rPr>
          <w:t>https://www.cipd.org/uk/knowledge/factsheets/well-being-factsheet/</w:t>
        </w:r>
      </w:hyperlink>
      <w:r>
        <w:t xml:space="preserve"> </w:t>
      </w:r>
      <w:r>
        <w:rPr>
          <w:i/>
          <w:iCs/>
        </w:rPr>
        <w:t xml:space="preserve"> </w:t>
      </w:r>
      <w:r>
        <w:t>(Accessed 09/06/2024)</w:t>
      </w:r>
    </w:p>
    <w:p w14:paraId="3422820C" w14:textId="4BACE139" w:rsidR="00766545" w:rsidRPr="00766545" w:rsidRDefault="00766545" w:rsidP="00766545">
      <w:r>
        <w:t xml:space="preserve">GOV.UK (2024) </w:t>
      </w:r>
      <w:r w:rsidRPr="00766545">
        <w:rPr>
          <w:i/>
          <w:iCs/>
        </w:rPr>
        <w:t xml:space="preserve">Equality </w:t>
      </w:r>
      <w:r>
        <w:rPr>
          <w:i/>
          <w:iCs/>
        </w:rPr>
        <w:t xml:space="preserve">Act 2010 </w:t>
      </w:r>
      <w:r>
        <w:t xml:space="preserve">Available at: </w:t>
      </w:r>
      <w:hyperlink r:id="rId9" w:history="1">
        <w:r w:rsidRPr="00853910">
          <w:rPr>
            <w:rStyle w:val="Hyperlink"/>
          </w:rPr>
          <w:t>https://www.legislation.gov.uk/ukpga/2010/15/contents</w:t>
        </w:r>
      </w:hyperlink>
      <w:r>
        <w:t xml:space="preserve"> </w:t>
      </w:r>
      <w:r w:rsidR="00484168">
        <w:t>(Accessed 09/06/2024)</w:t>
      </w:r>
    </w:p>
    <w:p w14:paraId="10252ED5" w14:textId="2291BA82" w:rsidR="00766545" w:rsidRPr="00766545" w:rsidRDefault="00766545" w:rsidP="00766545">
      <w:r>
        <w:t xml:space="preserve">GOV.UK (2024) </w:t>
      </w:r>
      <w:r>
        <w:rPr>
          <w:i/>
          <w:iCs/>
        </w:rPr>
        <w:t xml:space="preserve">Employment Rights Act 1996 </w:t>
      </w:r>
      <w:r>
        <w:t xml:space="preserve">Available at: </w:t>
      </w:r>
      <w:hyperlink r:id="rId10" w:history="1">
        <w:r w:rsidRPr="00853910">
          <w:rPr>
            <w:rStyle w:val="Hyperlink"/>
          </w:rPr>
          <w:t>https://www.legislation.gov.uk/ukpga/1996/18/contents</w:t>
        </w:r>
      </w:hyperlink>
      <w:r>
        <w:t xml:space="preserve"> </w:t>
      </w:r>
      <w:r w:rsidR="00484168">
        <w:t>(Accessed 09/06/2024)</w:t>
      </w:r>
      <w:r w:rsidR="00484168">
        <w:t xml:space="preserve"> </w:t>
      </w:r>
    </w:p>
    <w:p w14:paraId="683084D2" w14:textId="11E17623" w:rsidR="00B73247" w:rsidRDefault="00766545" w:rsidP="00766545">
      <w:r>
        <w:lastRenderedPageBreak/>
        <w:t xml:space="preserve">GOV.UK (2024) </w:t>
      </w:r>
      <w:r w:rsidRPr="00766545">
        <w:rPr>
          <w:i/>
          <w:iCs/>
        </w:rPr>
        <w:t>The Working Time Regulations 1998</w:t>
      </w:r>
      <w:r>
        <w:t xml:space="preserve"> Available at: </w:t>
      </w:r>
      <w:hyperlink r:id="rId11" w:history="1">
        <w:r w:rsidRPr="00853910">
          <w:rPr>
            <w:rStyle w:val="Hyperlink"/>
          </w:rPr>
          <w:t>https://www.legislation.gov.uk/uksi/1998/1833/contents</w:t>
        </w:r>
      </w:hyperlink>
      <w:r w:rsidR="00484168">
        <w:t xml:space="preserve"> </w:t>
      </w:r>
      <w:r w:rsidR="00484168">
        <w:t>(Accessed 09/06/2024)</w:t>
      </w:r>
    </w:p>
    <w:p w14:paraId="2D8800C1" w14:textId="0C53A982" w:rsidR="00787D53" w:rsidRDefault="00787D53" w:rsidP="00766545">
      <w:r>
        <w:t xml:space="preserve">Mental Health at Work (2024) </w:t>
      </w:r>
      <w:hyperlink r:id="rId12" w:history="1">
        <w:r w:rsidR="008A29BF" w:rsidRPr="00853910">
          <w:rPr>
            <w:rStyle w:val="Hyperlink"/>
          </w:rPr>
          <w:t>https://cdn.mentalhealthatwork.org.uk/wp-content/uploads/2024/02/16170922/The-mental-health-impact-on-people-sufferring-in-work-poverty-research-summary.pdf</w:t>
        </w:r>
        <w:r w:rsidR="008A29BF" w:rsidRPr="00853910">
          <w:rPr>
            <w:rStyle w:val="Hyperlink"/>
          </w:rPr>
          <w:t xml:space="preserve"> Accessed 2024</w:t>
        </w:r>
      </w:hyperlink>
      <w:r w:rsidR="00484168">
        <w:t xml:space="preserve"> (Accessed 09/06/2024)</w:t>
      </w:r>
    </w:p>
    <w:p w14:paraId="407242B3" w14:textId="77777777" w:rsidR="008A29BF" w:rsidRPr="008A29BF" w:rsidRDefault="008A29BF" w:rsidP="008A29BF">
      <w:pPr>
        <w:spacing w:after="0" w:line="240" w:lineRule="auto"/>
        <w:rPr>
          <w:rFonts w:ascii="Times New Roman" w:eastAsia="Times New Roman" w:hAnsi="Times New Roman" w:cs="Times New Roman"/>
          <w:kern w:val="0"/>
          <w:sz w:val="24"/>
          <w:szCs w:val="24"/>
          <w:lang w:eastAsia="en-GB"/>
          <w14:ligatures w14:val="none"/>
        </w:rPr>
      </w:pPr>
      <w:r w:rsidRPr="008A29BF">
        <w:rPr>
          <w:rFonts w:ascii="Times New Roman" w:eastAsia="Times New Roman" w:hAnsi="Times New Roman" w:cs="Times New Roman"/>
          <w:kern w:val="0"/>
          <w:sz w:val="24"/>
          <w:szCs w:val="24"/>
          <w:lang w:eastAsia="en-GB"/>
          <w14:ligatures w14:val="none"/>
        </w:rPr>
        <w:t xml:space="preserve">Raimi, L. and Kah, J. (2022) </w:t>
      </w:r>
      <w:r w:rsidRPr="008A29BF">
        <w:rPr>
          <w:rFonts w:ascii="Times New Roman" w:eastAsia="Times New Roman" w:hAnsi="Times New Roman" w:cs="Times New Roman"/>
          <w:i/>
          <w:iCs/>
          <w:kern w:val="0"/>
          <w:sz w:val="24"/>
          <w:szCs w:val="24"/>
          <w:lang w:eastAsia="en-GB"/>
          <w14:ligatures w14:val="none"/>
        </w:rPr>
        <w:t xml:space="preserve">Mainstreaming diversity, </w:t>
      </w:r>
      <w:proofErr w:type="gramStart"/>
      <w:r w:rsidRPr="008A29BF">
        <w:rPr>
          <w:rFonts w:ascii="Times New Roman" w:eastAsia="Times New Roman" w:hAnsi="Times New Roman" w:cs="Times New Roman"/>
          <w:i/>
          <w:iCs/>
          <w:kern w:val="0"/>
          <w:sz w:val="24"/>
          <w:szCs w:val="24"/>
          <w:lang w:eastAsia="en-GB"/>
          <w14:ligatures w14:val="none"/>
        </w:rPr>
        <w:t>equity</w:t>
      </w:r>
      <w:proofErr w:type="gramEnd"/>
      <w:r w:rsidRPr="008A29BF">
        <w:rPr>
          <w:rFonts w:ascii="Times New Roman" w:eastAsia="Times New Roman" w:hAnsi="Times New Roman" w:cs="Times New Roman"/>
          <w:i/>
          <w:iCs/>
          <w:kern w:val="0"/>
          <w:sz w:val="24"/>
          <w:szCs w:val="24"/>
          <w:lang w:eastAsia="en-GB"/>
          <w14:ligatures w14:val="none"/>
        </w:rPr>
        <w:t xml:space="preserve"> and inclusion as future workplace ethics</w:t>
      </w:r>
      <w:r w:rsidRPr="008A29BF">
        <w:rPr>
          <w:rFonts w:ascii="Times New Roman" w:eastAsia="Times New Roman" w:hAnsi="Times New Roman" w:cs="Times New Roman"/>
          <w:kern w:val="0"/>
          <w:sz w:val="24"/>
          <w:szCs w:val="24"/>
          <w:lang w:eastAsia="en-GB"/>
          <w14:ligatures w14:val="none"/>
        </w:rPr>
        <w:t>. Hershey, PA: IGI Global.</w:t>
      </w:r>
    </w:p>
    <w:p w14:paraId="6EBF206B" w14:textId="77777777" w:rsidR="008A29BF" w:rsidRDefault="008A29BF" w:rsidP="00B73247">
      <w:pPr>
        <w:rPr>
          <w:rFonts w:cstheme="minorHAnsi"/>
          <w:sz w:val="24"/>
          <w:szCs w:val="24"/>
        </w:rPr>
      </w:pPr>
    </w:p>
    <w:p w14:paraId="366824B9" w14:textId="5A223E5B" w:rsidR="00B73247" w:rsidRDefault="00B73247" w:rsidP="00B73247">
      <w:pPr>
        <w:rPr>
          <w:rFonts w:cstheme="minorHAnsi"/>
          <w:sz w:val="24"/>
          <w:szCs w:val="24"/>
        </w:rPr>
      </w:pPr>
      <w:r w:rsidRPr="008E0F90">
        <w:rPr>
          <w:rFonts w:cstheme="minorHAnsi"/>
          <w:sz w:val="24"/>
          <w:szCs w:val="24"/>
        </w:rPr>
        <w:t xml:space="preserve">Waite, K </w:t>
      </w:r>
      <w:r w:rsidRPr="008E0F90">
        <w:rPr>
          <w:rFonts w:cstheme="minorHAnsi"/>
          <w:i/>
          <w:iCs/>
          <w:sz w:val="24"/>
          <w:szCs w:val="24"/>
        </w:rPr>
        <w:t xml:space="preserve">et al. </w:t>
      </w:r>
      <w:r w:rsidRPr="008E0F90">
        <w:rPr>
          <w:rFonts w:cstheme="minorHAnsi"/>
          <w:sz w:val="24"/>
          <w:szCs w:val="24"/>
        </w:rPr>
        <w:t xml:space="preserve">(2021) </w:t>
      </w:r>
      <w:r w:rsidRPr="008E0F90">
        <w:rPr>
          <w:rFonts w:cstheme="minorHAnsi"/>
          <w:i/>
          <w:iCs/>
          <w:sz w:val="24"/>
          <w:szCs w:val="24"/>
        </w:rPr>
        <w:t>People Practise, a complete guide.</w:t>
      </w:r>
      <w:r w:rsidRPr="008E0F90">
        <w:rPr>
          <w:rFonts w:cstheme="minorHAnsi"/>
          <w:sz w:val="24"/>
          <w:szCs w:val="24"/>
        </w:rPr>
        <w:t xml:space="preserve"> London: Kogan Page </w:t>
      </w:r>
    </w:p>
    <w:p w14:paraId="2F219544" w14:textId="77777777" w:rsidR="00B73247" w:rsidRPr="00B73247" w:rsidRDefault="00B73247" w:rsidP="00B73247">
      <w:pPr>
        <w:jc w:val="center"/>
        <w:rPr>
          <w:u w:val="single"/>
        </w:rPr>
      </w:pPr>
    </w:p>
    <w:sectPr w:rsidR="00B73247" w:rsidRPr="00B73247">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4AB391" w14:textId="77777777" w:rsidR="009B437C" w:rsidRDefault="009B437C" w:rsidP="00484168">
      <w:pPr>
        <w:spacing w:after="0" w:line="240" w:lineRule="auto"/>
      </w:pPr>
      <w:r>
        <w:separator/>
      </w:r>
    </w:p>
  </w:endnote>
  <w:endnote w:type="continuationSeparator" w:id="0">
    <w:p w14:paraId="541F80FE" w14:textId="77777777" w:rsidR="009B437C" w:rsidRDefault="009B437C" w:rsidP="00484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92130" w14:textId="77777777" w:rsidR="009B437C" w:rsidRDefault="009B437C" w:rsidP="00484168">
      <w:pPr>
        <w:spacing w:after="0" w:line="240" w:lineRule="auto"/>
      </w:pPr>
      <w:r>
        <w:separator/>
      </w:r>
    </w:p>
  </w:footnote>
  <w:footnote w:type="continuationSeparator" w:id="0">
    <w:p w14:paraId="22B5B680" w14:textId="77777777" w:rsidR="009B437C" w:rsidRDefault="009B437C" w:rsidP="004841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D1CD66" w14:textId="7786B90E" w:rsidR="00484168" w:rsidRDefault="00484168" w:rsidP="00484168">
    <w:pPr>
      <w:pStyle w:val="Header"/>
    </w:pPr>
    <w:r>
      <w:t xml:space="preserve">Word Count – </w:t>
    </w:r>
    <w:r w:rsidR="005C3E35">
      <w:t xml:space="preserve">1200 </w:t>
    </w:r>
    <w:r>
      <w:t>- Centre Number 669 CIPD membership number - 88202293</w:t>
    </w:r>
  </w:p>
  <w:p w14:paraId="60275E22" w14:textId="77777777" w:rsidR="00484168" w:rsidRDefault="004841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E720DE"/>
    <w:multiLevelType w:val="hybridMultilevel"/>
    <w:tmpl w:val="2492577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BAE1903"/>
    <w:multiLevelType w:val="hybridMultilevel"/>
    <w:tmpl w:val="81948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A96CD3"/>
    <w:multiLevelType w:val="hybridMultilevel"/>
    <w:tmpl w:val="38407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2031313">
    <w:abstractNumId w:val="0"/>
  </w:num>
  <w:num w:numId="2" w16cid:durableId="1696073239">
    <w:abstractNumId w:val="1"/>
  </w:num>
  <w:num w:numId="3" w16cid:durableId="19798038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247"/>
    <w:rsid w:val="000933CB"/>
    <w:rsid w:val="00117DC2"/>
    <w:rsid w:val="00274468"/>
    <w:rsid w:val="00484168"/>
    <w:rsid w:val="004D65BB"/>
    <w:rsid w:val="005C3E35"/>
    <w:rsid w:val="00663237"/>
    <w:rsid w:val="006C3970"/>
    <w:rsid w:val="00735542"/>
    <w:rsid w:val="00766545"/>
    <w:rsid w:val="00787D53"/>
    <w:rsid w:val="0080372B"/>
    <w:rsid w:val="008A29BF"/>
    <w:rsid w:val="009526F6"/>
    <w:rsid w:val="009B437C"/>
    <w:rsid w:val="00B71F42"/>
    <w:rsid w:val="00B73247"/>
    <w:rsid w:val="00C03290"/>
    <w:rsid w:val="00CE695E"/>
    <w:rsid w:val="00DD5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51AD5"/>
  <w15:docId w15:val="{4DC94E25-5DA7-48C3-B618-E0DE46901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6545"/>
    <w:rPr>
      <w:color w:val="0563C1" w:themeColor="hyperlink"/>
      <w:u w:val="single"/>
    </w:rPr>
  </w:style>
  <w:style w:type="character" w:styleId="UnresolvedMention">
    <w:name w:val="Unresolved Mention"/>
    <w:basedOn w:val="DefaultParagraphFont"/>
    <w:uiPriority w:val="99"/>
    <w:semiHidden/>
    <w:unhideWhenUsed/>
    <w:rsid w:val="00766545"/>
    <w:rPr>
      <w:color w:val="605E5C"/>
      <w:shd w:val="clear" w:color="auto" w:fill="E1DFDD"/>
    </w:rPr>
  </w:style>
  <w:style w:type="paragraph" w:styleId="ListParagraph">
    <w:name w:val="List Paragraph"/>
    <w:basedOn w:val="Normal"/>
    <w:uiPriority w:val="34"/>
    <w:qFormat/>
    <w:rsid w:val="00DD5238"/>
    <w:pPr>
      <w:ind w:left="720"/>
      <w:contextualSpacing/>
    </w:pPr>
  </w:style>
  <w:style w:type="paragraph" w:styleId="Header">
    <w:name w:val="header"/>
    <w:basedOn w:val="Normal"/>
    <w:link w:val="HeaderChar"/>
    <w:uiPriority w:val="99"/>
    <w:unhideWhenUsed/>
    <w:rsid w:val="00484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168"/>
  </w:style>
  <w:style w:type="paragraph" w:styleId="Footer">
    <w:name w:val="footer"/>
    <w:basedOn w:val="Normal"/>
    <w:link w:val="FooterChar"/>
    <w:uiPriority w:val="99"/>
    <w:unhideWhenUsed/>
    <w:rsid w:val="00484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0862508">
      <w:bodyDiv w:val="1"/>
      <w:marLeft w:val="0"/>
      <w:marRight w:val="0"/>
      <w:marTop w:val="0"/>
      <w:marBottom w:val="0"/>
      <w:divBdr>
        <w:top w:val="none" w:sz="0" w:space="0" w:color="auto"/>
        <w:left w:val="none" w:sz="0" w:space="0" w:color="auto"/>
        <w:bottom w:val="none" w:sz="0" w:space="0" w:color="auto"/>
        <w:right w:val="none" w:sz="0" w:space="0" w:color="auto"/>
      </w:divBdr>
      <w:divsChild>
        <w:div w:id="2060591731">
          <w:marLeft w:val="0"/>
          <w:marRight w:val="0"/>
          <w:marTop w:val="0"/>
          <w:marBottom w:val="0"/>
          <w:divBdr>
            <w:top w:val="none" w:sz="0" w:space="0" w:color="auto"/>
            <w:left w:val="none" w:sz="0" w:space="0" w:color="auto"/>
            <w:bottom w:val="none" w:sz="0" w:space="0" w:color="auto"/>
            <w:right w:val="none" w:sz="0" w:space="0" w:color="auto"/>
          </w:divBdr>
          <w:divsChild>
            <w:div w:id="156220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244978">
      <w:bodyDiv w:val="1"/>
      <w:marLeft w:val="0"/>
      <w:marRight w:val="0"/>
      <w:marTop w:val="0"/>
      <w:marBottom w:val="0"/>
      <w:divBdr>
        <w:top w:val="none" w:sz="0" w:space="0" w:color="auto"/>
        <w:left w:val="none" w:sz="0" w:space="0" w:color="auto"/>
        <w:bottom w:val="none" w:sz="0" w:space="0" w:color="auto"/>
        <w:right w:val="none" w:sz="0" w:space="0" w:color="auto"/>
      </w:divBdr>
    </w:div>
    <w:div w:id="819425872">
      <w:bodyDiv w:val="1"/>
      <w:marLeft w:val="0"/>
      <w:marRight w:val="0"/>
      <w:marTop w:val="0"/>
      <w:marBottom w:val="0"/>
      <w:divBdr>
        <w:top w:val="none" w:sz="0" w:space="0" w:color="auto"/>
        <w:left w:val="none" w:sz="0" w:space="0" w:color="auto"/>
        <w:bottom w:val="none" w:sz="0" w:space="0" w:color="auto"/>
        <w:right w:val="none" w:sz="0" w:space="0" w:color="auto"/>
      </w:divBdr>
      <w:divsChild>
        <w:div w:id="2087411066">
          <w:marLeft w:val="0"/>
          <w:marRight w:val="0"/>
          <w:marTop w:val="0"/>
          <w:marBottom w:val="0"/>
          <w:divBdr>
            <w:top w:val="none" w:sz="0" w:space="0" w:color="auto"/>
            <w:left w:val="none" w:sz="0" w:space="0" w:color="auto"/>
            <w:bottom w:val="none" w:sz="0" w:space="0" w:color="auto"/>
            <w:right w:val="none" w:sz="0" w:space="0" w:color="auto"/>
          </w:divBdr>
          <w:divsChild>
            <w:div w:id="136408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well-being-factshee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08/IJEM-02-2018-0049" TargetMode="External"/><Relationship Id="rId12" Type="http://schemas.openxmlformats.org/officeDocument/2006/relationships/hyperlink" Target="https://cdn.mentalhealthatwork.org.uk/wp-content/uploads/2024/02/16170922/The-mental-health-impact-on-people-sufferring-in-work-poverty-research-summary.pdf%20Accessed%2020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si/1998/1833/conten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1996/18/contents"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1735</TotalTime>
  <Pages>5</Pages>
  <Words>1370</Words>
  <Characters>7813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Bond</dc:creator>
  <cp:keywords/>
  <dc:description/>
  <cp:lastModifiedBy>Iwan Bond</cp:lastModifiedBy>
  <cp:revision>3</cp:revision>
  <dcterms:created xsi:type="dcterms:W3CDTF">2024-06-08T11:23:00Z</dcterms:created>
  <dcterms:modified xsi:type="dcterms:W3CDTF">2024-06-09T17:09:00Z</dcterms:modified>
</cp:coreProperties>
</file>