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17E84" w14:textId="28BC43D7" w:rsidR="002E34C3" w:rsidRDefault="000B67C6" w:rsidP="002E34C3">
      <w:pPr>
        <w:spacing w:line="480" w:lineRule="auto"/>
        <w:rPr>
          <w:rFonts w:ascii="Times New Roman" w:hAnsi="Times New Roman" w:cs="Times New Roman"/>
          <w:sz w:val="24"/>
          <w:szCs w:val="24"/>
        </w:rPr>
      </w:pPr>
      <w:r>
        <w:rPr>
          <w:rFonts w:ascii="Times New Roman" w:hAnsi="Times New Roman" w:cs="Times New Roman"/>
          <w:sz w:val="24"/>
          <w:szCs w:val="24"/>
        </w:rPr>
        <w:t xml:space="preserve">Student’s Name: </w:t>
      </w:r>
      <w:r w:rsidR="00587882">
        <w:rPr>
          <w:rFonts w:ascii="Times New Roman" w:hAnsi="Times New Roman" w:cs="Times New Roman"/>
          <w:sz w:val="24"/>
          <w:szCs w:val="24"/>
        </w:rPr>
        <w:t>Stefan Anghel Draghici</w:t>
      </w:r>
    </w:p>
    <w:p w14:paraId="771F41A7" w14:textId="26686962" w:rsidR="002E34C3" w:rsidRDefault="000B67C6" w:rsidP="002E34C3">
      <w:pPr>
        <w:spacing w:line="480" w:lineRule="auto"/>
        <w:rPr>
          <w:rFonts w:ascii="Times New Roman" w:hAnsi="Times New Roman" w:cs="Times New Roman"/>
          <w:sz w:val="24"/>
          <w:szCs w:val="24"/>
        </w:rPr>
      </w:pPr>
      <w:r>
        <w:rPr>
          <w:rFonts w:ascii="Times New Roman" w:hAnsi="Times New Roman" w:cs="Times New Roman"/>
          <w:sz w:val="24"/>
          <w:szCs w:val="24"/>
        </w:rPr>
        <w:t xml:space="preserve">Professor’s Name: </w:t>
      </w:r>
      <w:r w:rsidR="00587882">
        <w:rPr>
          <w:rFonts w:ascii="Times New Roman" w:hAnsi="Times New Roman" w:cs="Times New Roman"/>
          <w:sz w:val="24"/>
          <w:szCs w:val="24"/>
        </w:rPr>
        <w:t>Dale Clarke</w:t>
      </w:r>
    </w:p>
    <w:p w14:paraId="05268A40" w14:textId="1F7EC3DF" w:rsidR="002E34C3" w:rsidRDefault="000B67C6" w:rsidP="002E34C3">
      <w:pPr>
        <w:spacing w:line="480" w:lineRule="auto"/>
        <w:rPr>
          <w:rFonts w:ascii="Times New Roman" w:hAnsi="Times New Roman" w:cs="Times New Roman"/>
          <w:sz w:val="24"/>
          <w:szCs w:val="24"/>
        </w:rPr>
      </w:pPr>
      <w:r>
        <w:rPr>
          <w:rFonts w:ascii="Times New Roman" w:hAnsi="Times New Roman" w:cs="Times New Roman"/>
          <w:sz w:val="24"/>
          <w:szCs w:val="24"/>
        </w:rPr>
        <w:t>Course:</w:t>
      </w:r>
      <w:r w:rsidR="00587882">
        <w:rPr>
          <w:rFonts w:ascii="Times New Roman" w:hAnsi="Times New Roman" w:cs="Times New Roman"/>
          <w:sz w:val="24"/>
          <w:szCs w:val="24"/>
        </w:rPr>
        <w:t xml:space="preserve"> Financial Management For The Hotel Industry(BMIH5002</w:t>
      </w:r>
      <w:r w:rsidR="004F0C3D">
        <w:rPr>
          <w:rFonts w:ascii="Times New Roman" w:hAnsi="Times New Roman" w:cs="Times New Roman"/>
          <w:sz w:val="24"/>
          <w:szCs w:val="24"/>
        </w:rPr>
        <w:t>/BMIH5007</w:t>
      </w:r>
      <w:r w:rsidR="00587882">
        <w:rPr>
          <w:rFonts w:ascii="Times New Roman" w:hAnsi="Times New Roman" w:cs="Times New Roman"/>
          <w:sz w:val="24"/>
          <w:szCs w:val="24"/>
        </w:rPr>
        <w:t>)</w:t>
      </w:r>
    </w:p>
    <w:p w14:paraId="329276EB" w14:textId="59430A88" w:rsidR="002E34C3" w:rsidRDefault="000B67C6" w:rsidP="002E34C3">
      <w:pPr>
        <w:spacing w:line="480" w:lineRule="auto"/>
        <w:rPr>
          <w:rFonts w:ascii="Times New Roman" w:hAnsi="Times New Roman" w:cs="Times New Roman"/>
          <w:sz w:val="24"/>
          <w:szCs w:val="24"/>
        </w:rPr>
      </w:pPr>
      <w:r>
        <w:rPr>
          <w:rFonts w:ascii="Times New Roman" w:hAnsi="Times New Roman" w:cs="Times New Roman"/>
          <w:sz w:val="24"/>
          <w:szCs w:val="24"/>
        </w:rPr>
        <w:t xml:space="preserve">Date: </w:t>
      </w:r>
      <w:r w:rsidR="00587882">
        <w:rPr>
          <w:rFonts w:ascii="Times New Roman" w:hAnsi="Times New Roman" w:cs="Times New Roman"/>
          <w:sz w:val="24"/>
          <w:szCs w:val="24"/>
        </w:rPr>
        <w:t>30/05/2022</w:t>
      </w:r>
    </w:p>
    <w:p w14:paraId="37E8DBA8" w14:textId="77777777" w:rsidR="009A48C8" w:rsidRPr="008753C3" w:rsidRDefault="000B67C6" w:rsidP="008753C3">
      <w:pPr>
        <w:spacing w:line="480" w:lineRule="auto"/>
        <w:jc w:val="center"/>
        <w:rPr>
          <w:rFonts w:ascii="Times New Roman" w:hAnsi="Times New Roman" w:cs="Times New Roman"/>
          <w:b/>
          <w:sz w:val="24"/>
          <w:szCs w:val="24"/>
        </w:rPr>
      </w:pPr>
      <w:r w:rsidRPr="008753C3">
        <w:rPr>
          <w:rFonts w:ascii="Times New Roman" w:hAnsi="Times New Roman" w:cs="Times New Roman"/>
          <w:b/>
          <w:sz w:val="24"/>
          <w:szCs w:val="24"/>
        </w:rPr>
        <w:t xml:space="preserve">Analysis of </w:t>
      </w:r>
      <w:r w:rsidR="008753C3" w:rsidRPr="008753C3">
        <w:rPr>
          <w:rFonts w:ascii="Times New Roman" w:hAnsi="Times New Roman" w:cs="Times New Roman"/>
          <w:b/>
          <w:sz w:val="24"/>
          <w:szCs w:val="24"/>
        </w:rPr>
        <w:t>the Financial Statements of Hilton Hotels</w:t>
      </w:r>
    </w:p>
    <w:p w14:paraId="7B3F7E0A" w14:textId="77777777" w:rsidR="008753C3" w:rsidRPr="008753C3" w:rsidRDefault="000B67C6" w:rsidP="007C7C37">
      <w:pPr>
        <w:spacing w:line="480" w:lineRule="auto"/>
        <w:jc w:val="both"/>
        <w:rPr>
          <w:rFonts w:ascii="Times New Roman" w:hAnsi="Times New Roman" w:cs="Times New Roman"/>
          <w:b/>
          <w:sz w:val="24"/>
          <w:szCs w:val="24"/>
        </w:rPr>
      </w:pPr>
      <w:r w:rsidRPr="008753C3">
        <w:rPr>
          <w:rFonts w:ascii="Times New Roman" w:hAnsi="Times New Roman" w:cs="Times New Roman"/>
          <w:b/>
          <w:sz w:val="24"/>
          <w:szCs w:val="24"/>
        </w:rPr>
        <w:t xml:space="preserve">Introduction </w:t>
      </w:r>
    </w:p>
    <w:p w14:paraId="4DD346CF" w14:textId="77777777" w:rsidR="00797FC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Ratio analysis plays an important role in determining the streng</w:t>
      </w:r>
      <w:r w:rsidR="00F55D2D">
        <w:rPr>
          <w:rFonts w:ascii="Times New Roman" w:hAnsi="Times New Roman" w:cs="Times New Roman"/>
          <w:sz w:val="24"/>
          <w:szCs w:val="24"/>
        </w:rPr>
        <w:t xml:space="preserve">ths and weaknesses of an </w:t>
      </w:r>
      <w:proofErr w:type="spellStart"/>
      <w:r w:rsidR="00F55D2D">
        <w:rPr>
          <w:rFonts w:ascii="Times New Roman" w:hAnsi="Times New Roman" w:cs="Times New Roman"/>
          <w:sz w:val="24"/>
          <w:szCs w:val="24"/>
        </w:rPr>
        <w:t>organis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especially in regard to financial performance. </w:t>
      </w:r>
      <w:r w:rsidR="00EB4B72">
        <w:rPr>
          <w:rFonts w:ascii="Times New Roman" w:hAnsi="Times New Roman" w:cs="Times New Roman"/>
          <w:sz w:val="24"/>
          <w:szCs w:val="24"/>
        </w:rPr>
        <w:t xml:space="preserve">The first form of analysis applicable </w:t>
      </w:r>
      <w:r w:rsidR="0014478B">
        <w:rPr>
          <w:rFonts w:ascii="Times New Roman" w:hAnsi="Times New Roman" w:cs="Times New Roman"/>
          <w:sz w:val="24"/>
          <w:szCs w:val="24"/>
        </w:rPr>
        <w:t xml:space="preserve">to the study is horizontal analysis. </w:t>
      </w:r>
      <w:r w:rsidR="00506613">
        <w:rPr>
          <w:rFonts w:ascii="Times New Roman" w:hAnsi="Times New Roman" w:cs="Times New Roman"/>
          <w:sz w:val="24"/>
          <w:szCs w:val="24"/>
        </w:rPr>
        <w:t xml:space="preserve">The analysis is used to show changes in a specific financial analysis over a period of time. </w:t>
      </w:r>
      <w:r w:rsidR="008E4C93">
        <w:rPr>
          <w:rFonts w:ascii="Times New Roman" w:hAnsi="Times New Roman" w:cs="Times New Roman"/>
          <w:sz w:val="24"/>
          <w:szCs w:val="24"/>
        </w:rPr>
        <w:t xml:space="preserve">The analysis contains a comparison of financial statements for Hilton PLC for 2019 and 2020. </w:t>
      </w:r>
      <w:r w:rsidR="00287C49">
        <w:rPr>
          <w:rFonts w:ascii="Times New Roman" w:hAnsi="Times New Roman" w:cs="Times New Roman"/>
          <w:sz w:val="24"/>
          <w:szCs w:val="24"/>
        </w:rPr>
        <w:t xml:space="preserve">As recommended by </w:t>
      </w:r>
      <w:proofErr w:type="spellStart"/>
      <w:r w:rsidR="005C49BD">
        <w:rPr>
          <w:rFonts w:ascii="Times New Roman" w:hAnsi="Times New Roman" w:cs="Times New Roman"/>
          <w:color w:val="222222"/>
          <w:sz w:val="24"/>
          <w:szCs w:val="24"/>
          <w:shd w:val="clear" w:color="auto" w:fill="FFFFFF"/>
        </w:rPr>
        <w:t>Faccia</w:t>
      </w:r>
      <w:proofErr w:type="spellEnd"/>
      <w:r w:rsidR="005C49BD">
        <w:rPr>
          <w:rFonts w:ascii="Times New Roman" w:hAnsi="Times New Roman" w:cs="Times New Roman"/>
          <w:color w:val="222222"/>
          <w:sz w:val="24"/>
          <w:szCs w:val="24"/>
          <w:shd w:val="clear" w:color="auto" w:fill="FFFFFF"/>
        </w:rPr>
        <w:t xml:space="preserve"> and Mosco</w:t>
      </w:r>
      <w:r w:rsidR="00AF2F5F">
        <w:rPr>
          <w:rFonts w:ascii="Times New Roman" w:hAnsi="Times New Roman" w:cs="Times New Roman"/>
          <w:sz w:val="24"/>
          <w:szCs w:val="24"/>
        </w:rPr>
        <w:t xml:space="preserve"> </w:t>
      </w:r>
      <w:r w:rsidR="00287C49">
        <w:rPr>
          <w:rFonts w:ascii="Times New Roman" w:hAnsi="Times New Roman" w:cs="Times New Roman"/>
          <w:sz w:val="24"/>
          <w:szCs w:val="24"/>
        </w:rPr>
        <w:t>(</w:t>
      </w:r>
      <w:r w:rsidR="005C49BD">
        <w:rPr>
          <w:rFonts w:ascii="Times New Roman" w:hAnsi="Times New Roman" w:cs="Times New Roman"/>
          <w:sz w:val="24"/>
          <w:szCs w:val="24"/>
        </w:rPr>
        <w:t>2</w:t>
      </w:r>
      <w:r w:rsidR="00287C49">
        <w:rPr>
          <w:rFonts w:ascii="Times New Roman" w:hAnsi="Times New Roman" w:cs="Times New Roman"/>
          <w:sz w:val="24"/>
          <w:szCs w:val="24"/>
        </w:rPr>
        <w:t xml:space="preserve">), the earliest year, which in this case is 2019, should be used as the base period. </w:t>
      </w:r>
      <w:r w:rsidR="00880EB5">
        <w:rPr>
          <w:rFonts w:ascii="Times New Roman" w:hAnsi="Times New Roman" w:cs="Times New Roman"/>
          <w:sz w:val="24"/>
          <w:szCs w:val="24"/>
        </w:rPr>
        <w:t xml:space="preserve">The analysis in both cases was calculated using Excel. </w:t>
      </w:r>
    </w:p>
    <w:p w14:paraId="3D5052BC" w14:textId="77777777" w:rsidR="008E4C93" w:rsidRDefault="000B67C6" w:rsidP="007C7C37">
      <w:pPr>
        <w:spacing w:line="480" w:lineRule="auto"/>
        <w:jc w:val="both"/>
        <w:rPr>
          <w:rFonts w:ascii="Times New Roman" w:hAnsi="Times New Roman" w:cs="Times New Roman"/>
          <w:b/>
          <w:sz w:val="24"/>
          <w:szCs w:val="24"/>
        </w:rPr>
      </w:pPr>
      <w:r w:rsidRPr="008753C3">
        <w:rPr>
          <w:rFonts w:ascii="Times New Roman" w:hAnsi="Times New Roman" w:cs="Times New Roman"/>
          <w:b/>
          <w:sz w:val="24"/>
          <w:szCs w:val="24"/>
        </w:rPr>
        <w:t>Horizontal Analysis of the Balance Sheet</w:t>
      </w:r>
    </w:p>
    <w:tbl>
      <w:tblPr>
        <w:tblW w:w="8338" w:type="dxa"/>
        <w:tblInd w:w="108" w:type="dxa"/>
        <w:tblLook w:val="04A0" w:firstRow="1" w:lastRow="0" w:firstColumn="1" w:lastColumn="0" w:noHBand="0" w:noVBand="1"/>
      </w:tblPr>
      <w:tblGrid>
        <w:gridCol w:w="3340"/>
        <w:gridCol w:w="1220"/>
        <w:gridCol w:w="1218"/>
        <w:gridCol w:w="1284"/>
        <w:gridCol w:w="1276"/>
      </w:tblGrid>
      <w:tr w:rsidR="00880EB5" w:rsidRPr="00880EB5" w14:paraId="6F9DB9F5" w14:textId="77777777" w:rsidTr="00880EB5">
        <w:trPr>
          <w:trHeight w:val="300"/>
        </w:trPr>
        <w:tc>
          <w:tcPr>
            <w:tcW w:w="3340" w:type="dxa"/>
            <w:tcBorders>
              <w:top w:val="nil"/>
              <w:left w:val="nil"/>
              <w:bottom w:val="nil"/>
              <w:right w:val="nil"/>
            </w:tcBorders>
            <w:shd w:val="clear" w:color="auto" w:fill="auto"/>
            <w:noWrap/>
            <w:vAlign w:val="bottom"/>
            <w:hideMark/>
          </w:tcPr>
          <w:p w14:paraId="4D82C07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 xml:space="preserve">Entry </w:t>
            </w:r>
          </w:p>
        </w:tc>
        <w:tc>
          <w:tcPr>
            <w:tcW w:w="1220" w:type="dxa"/>
            <w:tcBorders>
              <w:top w:val="nil"/>
              <w:left w:val="nil"/>
              <w:bottom w:val="nil"/>
              <w:right w:val="nil"/>
            </w:tcBorders>
            <w:shd w:val="clear" w:color="auto" w:fill="auto"/>
            <w:noWrap/>
            <w:vAlign w:val="bottom"/>
            <w:hideMark/>
          </w:tcPr>
          <w:p w14:paraId="2C1EDB6B"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2020</w:t>
            </w:r>
          </w:p>
        </w:tc>
        <w:tc>
          <w:tcPr>
            <w:tcW w:w="1218" w:type="dxa"/>
            <w:tcBorders>
              <w:top w:val="nil"/>
              <w:left w:val="nil"/>
              <w:bottom w:val="nil"/>
              <w:right w:val="nil"/>
            </w:tcBorders>
            <w:shd w:val="clear" w:color="auto" w:fill="auto"/>
            <w:noWrap/>
            <w:vAlign w:val="bottom"/>
            <w:hideMark/>
          </w:tcPr>
          <w:p w14:paraId="36D45C35" w14:textId="77777777" w:rsidR="00880EB5" w:rsidRPr="00880EB5" w:rsidRDefault="00880EB5" w:rsidP="007C7C37">
            <w:pPr>
              <w:spacing w:after="0" w:line="240" w:lineRule="auto"/>
              <w:jc w:val="both"/>
              <w:rPr>
                <w:rFonts w:ascii="Calibri" w:eastAsia="Times New Roman" w:hAnsi="Calibri" w:cs="Calibri"/>
                <w:color w:val="000000"/>
              </w:rPr>
            </w:pPr>
            <w:r>
              <w:rPr>
                <w:rFonts w:ascii="Calibri" w:eastAsia="Times New Roman" w:hAnsi="Calibri" w:cs="Calibri"/>
                <w:color w:val="000000"/>
              </w:rPr>
              <w:t>2019</w:t>
            </w:r>
          </w:p>
        </w:tc>
        <w:tc>
          <w:tcPr>
            <w:tcW w:w="1284" w:type="dxa"/>
            <w:tcBorders>
              <w:top w:val="nil"/>
              <w:left w:val="nil"/>
              <w:bottom w:val="nil"/>
              <w:right w:val="nil"/>
            </w:tcBorders>
            <w:shd w:val="clear" w:color="auto" w:fill="auto"/>
            <w:noWrap/>
            <w:vAlign w:val="bottom"/>
            <w:hideMark/>
          </w:tcPr>
          <w:p w14:paraId="0BE229E9" w14:textId="77777777" w:rsidR="00880EB5" w:rsidRPr="00880EB5" w:rsidRDefault="00880EB5" w:rsidP="007C7C37">
            <w:p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       </w:t>
            </w:r>
            <w:r w:rsidRPr="00880EB5">
              <w:rPr>
                <w:rFonts w:ascii="Calibri" w:eastAsia="Times New Roman" w:hAnsi="Calibri" w:cs="Calibri"/>
                <w:color w:val="000000"/>
              </w:rPr>
              <w:t>Change</w:t>
            </w:r>
          </w:p>
        </w:tc>
        <w:tc>
          <w:tcPr>
            <w:tcW w:w="1276" w:type="dxa"/>
            <w:tcBorders>
              <w:top w:val="nil"/>
              <w:left w:val="nil"/>
              <w:bottom w:val="nil"/>
              <w:right w:val="nil"/>
            </w:tcBorders>
            <w:shd w:val="clear" w:color="auto" w:fill="auto"/>
            <w:noWrap/>
            <w:vAlign w:val="bottom"/>
            <w:hideMark/>
          </w:tcPr>
          <w:p w14:paraId="7E6E7C26" w14:textId="77777777" w:rsidR="00880EB5" w:rsidRPr="00880EB5" w:rsidRDefault="00880EB5" w:rsidP="007C7C37">
            <w:pPr>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    </w:t>
            </w:r>
            <w:r w:rsidRPr="00880EB5">
              <w:rPr>
                <w:rFonts w:ascii="Calibri" w:eastAsia="Times New Roman" w:hAnsi="Calibri" w:cs="Calibri"/>
                <w:color w:val="000000"/>
              </w:rPr>
              <w:t xml:space="preserve">%Change </w:t>
            </w:r>
          </w:p>
        </w:tc>
      </w:tr>
      <w:tr w:rsidR="00880EB5" w:rsidRPr="00880EB5" w14:paraId="644CC860" w14:textId="77777777" w:rsidTr="00880EB5">
        <w:trPr>
          <w:trHeight w:val="300"/>
        </w:trPr>
        <w:tc>
          <w:tcPr>
            <w:tcW w:w="3340" w:type="dxa"/>
            <w:tcBorders>
              <w:top w:val="nil"/>
              <w:left w:val="nil"/>
              <w:bottom w:val="nil"/>
              <w:right w:val="nil"/>
            </w:tcBorders>
            <w:shd w:val="clear" w:color="auto" w:fill="auto"/>
            <w:noWrap/>
            <w:vAlign w:val="bottom"/>
            <w:hideMark/>
          </w:tcPr>
          <w:p w14:paraId="10F3EB76"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Current Assets</w:t>
            </w:r>
          </w:p>
        </w:tc>
        <w:tc>
          <w:tcPr>
            <w:tcW w:w="1220" w:type="dxa"/>
            <w:tcBorders>
              <w:top w:val="nil"/>
              <w:left w:val="nil"/>
              <w:bottom w:val="nil"/>
              <w:right w:val="nil"/>
            </w:tcBorders>
            <w:shd w:val="clear" w:color="auto" w:fill="auto"/>
            <w:noWrap/>
            <w:vAlign w:val="bottom"/>
            <w:hideMark/>
          </w:tcPr>
          <w:p w14:paraId="789CC04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4,202,000</w:t>
            </w:r>
          </w:p>
        </w:tc>
        <w:tc>
          <w:tcPr>
            <w:tcW w:w="1218" w:type="dxa"/>
            <w:tcBorders>
              <w:top w:val="nil"/>
              <w:left w:val="nil"/>
              <w:bottom w:val="nil"/>
              <w:right w:val="nil"/>
            </w:tcBorders>
            <w:shd w:val="clear" w:color="auto" w:fill="auto"/>
            <w:noWrap/>
            <w:vAlign w:val="bottom"/>
            <w:hideMark/>
          </w:tcPr>
          <w:p w14:paraId="3089E074"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2,093,000</w:t>
            </w:r>
          </w:p>
        </w:tc>
        <w:tc>
          <w:tcPr>
            <w:tcW w:w="1284" w:type="dxa"/>
            <w:tcBorders>
              <w:top w:val="nil"/>
              <w:left w:val="nil"/>
              <w:bottom w:val="nil"/>
              <w:right w:val="nil"/>
            </w:tcBorders>
            <w:shd w:val="clear" w:color="auto" w:fill="auto"/>
            <w:noWrap/>
            <w:vAlign w:val="bottom"/>
            <w:hideMark/>
          </w:tcPr>
          <w:p w14:paraId="3474888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2,109,000</w:t>
            </w:r>
          </w:p>
        </w:tc>
        <w:tc>
          <w:tcPr>
            <w:tcW w:w="1276" w:type="dxa"/>
            <w:tcBorders>
              <w:top w:val="nil"/>
              <w:left w:val="nil"/>
              <w:bottom w:val="nil"/>
              <w:right w:val="nil"/>
            </w:tcBorders>
            <w:shd w:val="clear" w:color="auto" w:fill="auto"/>
            <w:noWrap/>
            <w:vAlign w:val="bottom"/>
            <w:hideMark/>
          </w:tcPr>
          <w:p w14:paraId="75A55F7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101</w:t>
            </w:r>
          </w:p>
        </w:tc>
      </w:tr>
      <w:tr w:rsidR="00880EB5" w:rsidRPr="00880EB5" w14:paraId="784C84BF" w14:textId="77777777" w:rsidTr="00880EB5">
        <w:trPr>
          <w:trHeight w:val="300"/>
        </w:trPr>
        <w:tc>
          <w:tcPr>
            <w:tcW w:w="3340" w:type="dxa"/>
            <w:tcBorders>
              <w:top w:val="nil"/>
              <w:left w:val="nil"/>
              <w:bottom w:val="nil"/>
              <w:right w:val="nil"/>
            </w:tcBorders>
            <w:shd w:val="clear" w:color="auto" w:fill="auto"/>
            <w:noWrap/>
            <w:vAlign w:val="bottom"/>
            <w:hideMark/>
          </w:tcPr>
          <w:p w14:paraId="70AFEADB"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Non-Current Assets</w:t>
            </w:r>
          </w:p>
        </w:tc>
        <w:tc>
          <w:tcPr>
            <w:tcW w:w="1220" w:type="dxa"/>
            <w:tcBorders>
              <w:top w:val="nil"/>
              <w:left w:val="nil"/>
              <w:bottom w:val="nil"/>
              <w:right w:val="nil"/>
            </w:tcBorders>
            <w:shd w:val="clear" w:color="auto" w:fill="auto"/>
            <w:noWrap/>
            <w:vAlign w:val="bottom"/>
            <w:hideMark/>
          </w:tcPr>
          <w:p w14:paraId="27D1C78D"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15,810,000</w:t>
            </w:r>
          </w:p>
        </w:tc>
        <w:tc>
          <w:tcPr>
            <w:tcW w:w="1218" w:type="dxa"/>
            <w:tcBorders>
              <w:top w:val="nil"/>
              <w:left w:val="nil"/>
              <w:bottom w:val="nil"/>
              <w:right w:val="nil"/>
            </w:tcBorders>
            <w:shd w:val="clear" w:color="auto" w:fill="auto"/>
            <w:noWrap/>
            <w:vAlign w:val="bottom"/>
            <w:hideMark/>
          </w:tcPr>
          <w:p w14:paraId="35E1269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12,558,000</w:t>
            </w:r>
          </w:p>
        </w:tc>
        <w:tc>
          <w:tcPr>
            <w:tcW w:w="1284" w:type="dxa"/>
            <w:tcBorders>
              <w:top w:val="nil"/>
              <w:left w:val="nil"/>
              <w:bottom w:val="nil"/>
              <w:right w:val="nil"/>
            </w:tcBorders>
            <w:shd w:val="clear" w:color="auto" w:fill="auto"/>
            <w:noWrap/>
            <w:vAlign w:val="bottom"/>
            <w:hideMark/>
          </w:tcPr>
          <w:p w14:paraId="19925BCE"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3,252,000</w:t>
            </w:r>
          </w:p>
        </w:tc>
        <w:tc>
          <w:tcPr>
            <w:tcW w:w="1276" w:type="dxa"/>
            <w:tcBorders>
              <w:top w:val="nil"/>
              <w:left w:val="nil"/>
              <w:bottom w:val="nil"/>
              <w:right w:val="nil"/>
            </w:tcBorders>
            <w:shd w:val="clear" w:color="auto" w:fill="auto"/>
            <w:noWrap/>
            <w:vAlign w:val="bottom"/>
            <w:hideMark/>
          </w:tcPr>
          <w:p w14:paraId="1ED8A55C"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26</w:t>
            </w:r>
          </w:p>
        </w:tc>
      </w:tr>
      <w:tr w:rsidR="00880EB5" w:rsidRPr="00880EB5" w14:paraId="0F6C6A30" w14:textId="77777777" w:rsidTr="00880EB5">
        <w:trPr>
          <w:trHeight w:val="300"/>
        </w:trPr>
        <w:tc>
          <w:tcPr>
            <w:tcW w:w="3340" w:type="dxa"/>
            <w:tcBorders>
              <w:top w:val="nil"/>
              <w:left w:val="nil"/>
              <w:bottom w:val="nil"/>
              <w:right w:val="nil"/>
            </w:tcBorders>
            <w:shd w:val="clear" w:color="auto" w:fill="auto"/>
            <w:noWrap/>
            <w:vAlign w:val="bottom"/>
            <w:hideMark/>
          </w:tcPr>
          <w:p w14:paraId="2A8D9AC9"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Total Assets</w:t>
            </w:r>
          </w:p>
        </w:tc>
        <w:tc>
          <w:tcPr>
            <w:tcW w:w="1220" w:type="dxa"/>
            <w:tcBorders>
              <w:top w:val="nil"/>
              <w:left w:val="nil"/>
              <w:bottom w:val="nil"/>
              <w:right w:val="nil"/>
            </w:tcBorders>
            <w:shd w:val="clear" w:color="auto" w:fill="auto"/>
            <w:noWrap/>
            <w:vAlign w:val="bottom"/>
            <w:hideMark/>
          </w:tcPr>
          <w:p w14:paraId="1577CD31"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16,755,000</w:t>
            </w:r>
          </w:p>
        </w:tc>
        <w:tc>
          <w:tcPr>
            <w:tcW w:w="1218" w:type="dxa"/>
            <w:tcBorders>
              <w:top w:val="nil"/>
              <w:left w:val="nil"/>
              <w:bottom w:val="nil"/>
              <w:right w:val="nil"/>
            </w:tcBorders>
            <w:shd w:val="clear" w:color="auto" w:fill="auto"/>
            <w:noWrap/>
            <w:vAlign w:val="bottom"/>
            <w:hideMark/>
          </w:tcPr>
          <w:p w14:paraId="30077ECF"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14,957,000</w:t>
            </w:r>
          </w:p>
        </w:tc>
        <w:tc>
          <w:tcPr>
            <w:tcW w:w="1284" w:type="dxa"/>
            <w:tcBorders>
              <w:top w:val="nil"/>
              <w:left w:val="nil"/>
              <w:bottom w:val="nil"/>
              <w:right w:val="nil"/>
            </w:tcBorders>
            <w:shd w:val="clear" w:color="auto" w:fill="auto"/>
            <w:noWrap/>
            <w:vAlign w:val="bottom"/>
            <w:hideMark/>
          </w:tcPr>
          <w:p w14:paraId="2A9892E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1,798,000</w:t>
            </w:r>
          </w:p>
        </w:tc>
        <w:tc>
          <w:tcPr>
            <w:tcW w:w="1276" w:type="dxa"/>
            <w:tcBorders>
              <w:top w:val="nil"/>
              <w:left w:val="nil"/>
              <w:bottom w:val="nil"/>
              <w:right w:val="nil"/>
            </w:tcBorders>
            <w:shd w:val="clear" w:color="auto" w:fill="auto"/>
            <w:noWrap/>
            <w:vAlign w:val="bottom"/>
            <w:hideMark/>
          </w:tcPr>
          <w:p w14:paraId="3A48A19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12</w:t>
            </w:r>
          </w:p>
        </w:tc>
      </w:tr>
      <w:tr w:rsidR="00880EB5" w:rsidRPr="00880EB5" w14:paraId="11F3C4A4" w14:textId="77777777" w:rsidTr="00880EB5">
        <w:trPr>
          <w:trHeight w:val="300"/>
        </w:trPr>
        <w:tc>
          <w:tcPr>
            <w:tcW w:w="3340" w:type="dxa"/>
            <w:tcBorders>
              <w:top w:val="nil"/>
              <w:left w:val="nil"/>
              <w:bottom w:val="nil"/>
              <w:right w:val="nil"/>
            </w:tcBorders>
            <w:shd w:val="clear" w:color="auto" w:fill="auto"/>
            <w:noWrap/>
            <w:vAlign w:val="bottom"/>
            <w:hideMark/>
          </w:tcPr>
          <w:p w14:paraId="4D3273B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Current Liabilities</w:t>
            </w:r>
          </w:p>
        </w:tc>
        <w:tc>
          <w:tcPr>
            <w:tcW w:w="1220" w:type="dxa"/>
            <w:tcBorders>
              <w:top w:val="nil"/>
              <w:left w:val="nil"/>
              <w:bottom w:val="nil"/>
              <w:right w:val="nil"/>
            </w:tcBorders>
            <w:shd w:val="clear" w:color="auto" w:fill="auto"/>
            <w:noWrap/>
            <w:vAlign w:val="bottom"/>
            <w:hideMark/>
          </w:tcPr>
          <w:p w14:paraId="238E7A91"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2,431,000</w:t>
            </w:r>
          </w:p>
        </w:tc>
        <w:tc>
          <w:tcPr>
            <w:tcW w:w="1218" w:type="dxa"/>
            <w:tcBorders>
              <w:top w:val="nil"/>
              <w:left w:val="nil"/>
              <w:bottom w:val="nil"/>
              <w:right w:val="nil"/>
            </w:tcBorders>
            <w:shd w:val="clear" w:color="auto" w:fill="auto"/>
            <w:noWrap/>
            <w:vAlign w:val="bottom"/>
            <w:hideMark/>
          </w:tcPr>
          <w:p w14:paraId="2C00D7E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2,871,000</w:t>
            </w:r>
          </w:p>
        </w:tc>
        <w:tc>
          <w:tcPr>
            <w:tcW w:w="1284" w:type="dxa"/>
            <w:tcBorders>
              <w:top w:val="nil"/>
              <w:left w:val="nil"/>
              <w:bottom w:val="nil"/>
              <w:right w:val="nil"/>
            </w:tcBorders>
            <w:shd w:val="clear" w:color="auto" w:fill="auto"/>
            <w:noWrap/>
            <w:vAlign w:val="bottom"/>
            <w:hideMark/>
          </w:tcPr>
          <w:p w14:paraId="3767A0D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-440,000</w:t>
            </w:r>
          </w:p>
        </w:tc>
        <w:tc>
          <w:tcPr>
            <w:tcW w:w="1276" w:type="dxa"/>
            <w:tcBorders>
              <w:top w:val="nil"/>
              <w:left w:val="nil"/>
              <w:bottom w:val="nil"/>
              <w:right w:val="nil"/>
            </w:tcBorders>
            <w:shd w:val="clear" w:color="auto" w:fill="auto"/>
            <w:noWrap/>
            <w:vAlign w:val="bottom"/>
            <w:hideMark/>
          </w:tcPr>
          <w:p w14:paraId="1D9255D6"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-15</w:t>
            </w:r>
          </w:p>
        </w:tc>
      </w:tr>
      <w:tr w:rsidR="00880EB5" w:rsidRPr="00880EB5" w14:paraId="11AC826D" w14:textId="77777777" w:rsidTr="00880EB5">
        <w:trPr>
          <w:trHeight w:val="300"/>
        </w:trPr>
        <w:tc>
          <w:tcPr>
            <w:tcW w:w="3340" w:type="dxa"/>
            <w:tcBorders>
              <w:top w:val="nil"/>
              <w:left w:val="nil"/>
              <w:bottom w:val="nil"/>
              <w:right w:val="nil"/>
            </w:tcBorders>
            <w:shd w:val="clear" w:color="auto" w:fill="auto"/>
            <w:noWrap/>
            <w:vAlign w:val="bottom"/>
            <w:hideMark/>
          </w:tcPr>
          <w:p w14:paraId="4FCB8F82"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Non-Current Liabilities</w:t>
            </w:r>
          </w:p>
        </w:tc>
        <w:tc>
          <w:tcPr>
            <w:tcW w:w="1220" w:type="dxa"/>
            <w:tcBorders>
              <w:top w:val="nil"/>
              <w:left w:val="nil"/>
              <w:bottom w:val="nil"/>
              <w:right w:val="nil"/>
            </w:tcBorders>
            <w:shd w:val="clear" w:color="auto" w:fill="auto"/>
            <w:noWrap/>
            <w:vAlign w:val="bottom"/>
            <w:hideMark/>
          </w:tcPr>
          <w:p w14:paraId="4F4D5674"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15,810,000</w:t>
            </w:r>
          </w:p>
        </w:tc>
        <w:tc>
          <w:tcPr>
            <w:tcW w:w="1218" w:type="dxa"/>
            <w:tcBorders>
              <w:top w:val="nil"/>
              <w:left w:val="nil"/>
              <w:bottom w:val="nil"/>
              <w:right w:val="nil"/>
            </w:tcBorders>
            <w:shd w:val="clear" w:color="auto" w:fill="auto"/>
            <w:noWrap/>
            <w:vAlign w:val="bottom"/>
            <w:hideMark/>
          </w:tcPr>
          <w:p w14:paraId="64FA6D04"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12,558,000</w:t>
            </w:r>
          </w:p>
        </w:tc>
        <w:tc>
          <w:tcPr>
            <w:tcW w:w="1284" w:type="dxa"/>
            <w:tcBorders>
              <w:top w:val="nil"/>
              <w:left w:val="nil"/>
              <w:bottom w:val="nil"/>
              <w:right w:val="nil"/>
            </w:tcBorders>
            <w:shd w:val="clear" w:color="auto" w:fill="auto"/>
            <w:noWrap/>
            <w:vAlign w:val="bottom"/>
            <w:hideMark/>
          </w:tcPr>
          <w:p w14:paraId="76351A3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3,252,000</w:t>
            </w:r>
          </w:p>
        </w:tc>
        <w:tc>
          <w:tcPr>
            <w:tcW w:w="1276" w:type="dxa"/>
            <w:tcBorders>
              <w:top w:val="nil"/>
              <w:left w:val="nil"/>
              <w:bottom w:val="nil"/>
              <w:right w:val="nil"/>
            </w:tcBorders>
            <w:shd w:val="clear" w:color="auto" w:fill="auto"/>
            <w:noWrap/>
            <w:vAlign w:val="bottom"/>
            <w:hideMark/>
          </w:tcPr>
          <w:p w14:paraId="6E3C12DC"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26</w:t>
            </w:r>
          </w:p>
        </w:tc>
      </w:tr>
      <w:tr w:rsidR="00880EB5" w:rsidRPr="00880EB5" w14:paraId="60783D14" w14:textId="77777777" w:rsidTr="00880EB5">
        <w:trPr>
          <w:trHeight w:val="300"/>
        </w:trPr>
        <w:tc>
          <w:tcPr>
            <w:tcW w:w="3340" w:type="dxa"/>
            <w:tcBorders>
              <w:top w:val="nil"/>
              <w:left w:val="nil"/>
              <w:bottom w:val="nil"/>
              <w:right w:val="nil"/>
            </w:tcBorders>
            <w:shd w:val="clear" w:color="auto" w:fill="auto"/>
            <w:noWrap/>
            <w:vAlign w:val="bottom"/>
            <w:hideMark/>
          </w:tcPr>
          <w:p w14:paraId="221456DB"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Total Liabilities</w:t>
            </w:r>
          </w:p>
        </w:tc>
        <w:tc>
          <w:tcPr>
            <w:tcW w:w="1220" w:type="dxa"/>
            <w:tcBorders>
              <w:top w:val="nil"/>
              <w:left w:val="nil"/>
              <w:bottom w:val="nil"/>
              <w:right w:val="nil"/>
            </w:tcBorders>
            <w:shd w:val="clear" w:color="auto" w:fill="auto"/>
            <w:noWrap/>
            <w:vAlign w:val="bottom"/>
            <w:hideMark/>
          </w:tcPr>
          <w:p w14:paraId="0154DF7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18,241,000</w:t>
            </w:r>
          </w:p>
        </w:tc>
        <w:tc>
          <w:tcPr>
            <w:tcW w:w="1218" w:type="dxa"/>
            <w:tcBorders>
              <w:top w:val="nil"/>
              <w:left w:val="nil"/>
              <w:bottom w:val="nil"/>
              <w:right w:val="nil"/>
            </w:tcBorders>
            <w:shd w:val="clear" w:color="auto" w:fill="auto"/>
            <w:noWrap/>
            <w:vAlign w:val="bottom"/>
            <w:hideMark/>
          </w:tcPr>
          <w:p w14:paraId="300C70EE"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15,429,000</w:t>
            </w:r>
          </w:p>
        </w:tc>
        <w:tc>
          <w:tcPr>
            <w:tcW w:w="1284" w:type="dxa"/>
            <w:tcBorders>
              <w:top w:val="nil"/>
              <w:left w:val="nil"/>
              <w:bottom w:val="nil"/>
              <w:right w:val="nil"/>
            </w:tcBorders>
            <w:shd w:val="clear" w:color="auto" w:fill="auto"/>
            <w:noWrap/>
            <w:vAlign w:val="bottom"/>
            <w:hideMark/>
          </w:tcPr>
          <w:p w14:paraId="6855188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2,812,000</w:t>
            </w:r>
          </w:p>
        </w:tc>
        <w:tc>
          <w:tcPr>
            <w:tcW w:w="1276" w:type="dxa"/>
            <w:tcBorders>
              <w:top w:val="nil"/>
              <w:left w:val="nil"/>
              <w:bottom w:val="nil"/>
              <w:right w:val="nil"/>
            </w:tcBorders>
            <w:shd w:val="clear" w:color="auto" w:fill="auto"/>
            <w:noWrap/>
            <w:vAlign w:val="bottom"/>
            <w:hideMark/>
          </w:tcPr>
          <w:p w14:paraId="2399DB21"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18</w:t>
            </w:r>
          </w:p>
        </w:tc>
      </w:tr>
      <w:tr w:rsidR="00880EB5" w:rsidRPr="00880EB5" w14:paraId="225BE95F" w14:textId="77777777" w:rsidTr="00880EB5">
        <w:trPr>
          <w:trHeight w:val="300"/>
        </w:trPr>
        <w:tc>
          <w:tcPr>
            <w:tcW w:w="3340" w:type="dxa"/>
            <w:tcBorders>
              <w:top w:val="nil"/>
              <w:left w:val="nil"/>
              <w:bottom w:val="nil"/>
              <w:right w:val="nil"/>
            </w:tcBorders>
            <w:shd w:val="clear" w:color="auto" w:fill="auto"/>
            <w:noWrap/>
            <w:vAlign w:val="bottom"/>
            <w:hideMark/>
          </w:tcPr>
          <w:p w14:paraId="7FCC1C07"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Common Stock</w:t>
            </w:r>
          </w:p>
        </w:tc>
        <w:tc>
          <w:tcPr>
            <w:tcW w:w="1220" w:type="dxa"/>
            <w:tcBorders>
              <w:top w:val="nil"/>
              <w:left w:val="nil"/>
              <w:bottom w:val="nil"/>
              <w:right w:val="nil"/>
            </w:tcBorders>
            <w:shd w:val="clear" w:color="auto" w:fill="auto"/>
            <w:noWrap/>
            <w:vAlign w:val="bottom"/>
            <w:hideMark/>
          </w:tcPr>
          <w:p w14:paraId="545C2ABC"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3,000</w:t>
            </w:r>
          </w:p>
        </w:tc>
        <w:tc>
          <w:tcPr>
            <w:tcW w:w="1218" w:type="dxa"/>
            <w:tcBorders>
              <w:top w:val="nil"/>
              <w:left w:val="nil"/>
              <w:bottom w:val="nil"/>
              <w:right w:val="nil"/>
            </w:tcBorders>
            <w:shd w:val="clear" w:color="auto" w:fill="auto"/>
            <w:noWrap/>
            <w:vAlign w:val="bottom"/>
            <w:hideMark/>
          </w:tcPr>
          <w:p w14:paraId="6EE0413D"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3,000</w:t>
            </w:r>
          </w:p>
        </w:tc>
        <w:tc>
          <w:tcPr>
            <w:tcW w:w="1284" w:type="dxa"/>
            <w:tcBorders>
              <w:top w:val="nil"/>
              <w:left w:val="nil"/>
              <w:bottom w:val="nil"/>
              <w:right w:val="nil"/>
            </w:tcBorders>
            <w:shd w:val="clear" w:color="auto" w:fill="auto"/>
            <w:noWrap/>
            <w:vAlign w:val="bottom"/>
            <w:hideMark/>
          </w:tcPr>
          <w:p w14:paraId="2C33C449"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0</w:t>
            </w:r>
          </w:p>
        </w:tc>
        <w:tc>
          <w:tcPr>
            <w:tcW w:w="1276" w:type="dxa"/>
            <w:tcBorders>
              <w:top w:val="nil"/>
              <w:left w:val="nil"/>
              <w:bottom w:val="nil"/>
              <w:right w:val="nil"/>
            </w:tcBorders>
            <w:shd w:val="clear" w:color="auto" w:fill="auto"/>
            <w:noWrap/>
            <w:vAlign w:val="bottom"/>
            <w:hideMark/>
          </w:tcPr>
          <w:p w14:paraId="58FDF99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0</w:t>
            </w:r>
          </w:p>
        </w:tc>
      </w:tr>
      <w:tr w:rsidR="00880EB5" w:rsidRPr="00880EB5" w14:paraId="2E5933F3" w14:textId="77777777" w:rsidTr="00880EB5">
        <w:trPr>
          <w:trHeight w:val="300"/>
        </w:trPr>
        <w:tc>
          <w:tcPr>
            <w:tcW w:w="3340" w:type="dxa"/>
            <w:tcBorders>
              <w:top w:val="nil"/>
              <w:left w:val="nil"/>
              <w:bottom w:val="nil"/>
              <w:right w:val="nil"/>
            </w:tcBorders>
            <w:shd w:val="clear" w:color="auto" w:fill="auto"/>
            <w:noWrap/>
            <w:vAlign w:val="bottom"/>
            <w:hideMark/>
          </w:tcPr>
          <w:p w14:paraId="3B14B61B"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Retained Earnings</w:t>
            </w:r>
          </w:p>
        </w:tc>
        <w:tc>
          <w:tcPr>
            <w:tcW w:w="1220" w:type="dxa"/>
            <w:tcBorders>
              <w:top w:val="nil"/>
              <w:left w:val="nil"/>
              <w:bottom w:val="nil"/>
              <w:right w:val="nil"/>
            </w:tcBorders>
            <w:shd w:val="clear" w:color="auto" w:fill="auto"/>
            <w:noWrap/>
            <w:vAlign w:val="bottom"/>
            <w:hideMark/>
          </w:tcPr>
          <w:p w14:paraId="249B066C"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-6,732,000</w:t>
            </w:r>
          </w:p>
        </w:tc>
        <w:tc>
          <w:tcPr>
            <w:tcW w:w="1218" w:type="dxa"/>
            <w:tcBorders>
              <w:top w:val="nil"/>
              <w:left w:val="nil"/>
              <w:bottom w:val="nil"/>
              <w:right w:val="nil"/>
            </w:tcBorders>
            <w:shd w:val="clear" w:color="auto" w:fill="auto"/>
            <w:noWrap/>
            <w:vAlign w:val="bottom"/>
            <w:hideMark/>
          </w:tcPr>
          <w:p w14:paraId="6A52243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-5,595,000</w:t>
            </w:r>
          </w:p>
        </w:tc>
        <w:tc>
          <w:tcPr>
            <w:tcW w:w="1284" w:type="dxa"/>
            <w:tcBorders>
              <w:top w:val="nil"/>
              <w:left w:val="nil"/>
              <w:bottom w:val="nil"/>
              <w:right w:val="nil"/>
            </w:tcBorders>
            <w:shd w:val="clear" w:color="auto" w:fill="auto"/>
            <w:noWrap/>
            <w:vAlign w:val="bottom"/>
            <w:hideMark/>
          </w:tcPr>
          <w:p w14:paraId="6C434629"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-1,137,000</w:t>
            </w:r>
          </w:p>
        </w:tc>
        <w:tc>
          <w:tcPr>
            <w:tcW w:w="1276" w:type="dxa"/>
            <w:tcBorders>
              <w:top w:val="nil"/>
              <w:left w:val="nil"/>
              <w:bottom w:val="nil"/>
              <w:right w:val="nil"/>
            </w:tcBorders>
            <w:shd w:val="clear" w:color="auto" w:fill="auto"/>
            <w:noWrap/>
            <w:vAlign w:val="bottom"/>
            <w:hideMark/>
          </w:tcPr>
          <w:p w14:paraId="6BE7955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20</w:t>
            </w:r>
          </w:p>
        </w:tc>
      </w:tr>
      <w:tr w:rsidR="00880EB5" w:rsidRPr="00880EB5" w14:paraId="47253C36" w14:textId="77777777" w:rsidTr="00880EB5">
        <w:trPr>
          <w:trHeight w:val="300"/>
        </w:trPr>
        <w:tc>
          <w:tcPr>
            <w:tcW w:w="3340" w:type="dxa"/>
            <w:tcBorders>
              <w:top w:val="nil"/>
              <w:left w:val="nil"/>
              <w:bottom w:val="nil"/>
              <w:right w:val="nil"/>
            </w:tcBorders>
            <w:shd w:val="clear" w:color="auto" w:fill="auto"/>
            <w:noWrap/>
            <w:vAlign w:val="bottom"/>
            <w:hideMark/>
          </w:tcPr>
          <w:p w14:paraId="2F2AC92B"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Total Stockholder's Equity</w:t>
            </w:r>
          </w:p>
        </w:tc>
        <w:tc>
          <w:tcPr>
            <w:tcW w:w="1220" w:type="dxa"/>
            <w:tcBorders>
              <w:top w:val="nil"/>
              <w:left w:val="nil"/>
              <w:bottom w:val="nil"/>
              <w:right w:val="nil"/>
            </w:tcBorders>
            <w:shd w:val="clear" w:color="auto" w:fill="auto"/>
            <w:noWrap/>
            <w:vAlign w:val="bottom"/>
            <w:hideMark/>
          </w:tcPr>
          <w:p w14:paraId="177452F0"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-1,490,000</w:t>
            </w:r>
          </w:p>
        </w:tc>
        <w:tc>
          <w:tcPr>
            <w:tcW w:w="1218" w:type="dxa"/>
            <w:tcBorders>
              <w:top w:val="nil"/>
              <w:left w:val="nil"/>
              <w:bottom w:val="nil"/>
              <w:right w:val="nil"/>
            </w:tcBorders>
            <w:shd w:val="clear" w:color="auto" w:fill="auto"/>
            <w:noWrap/>
            <w:vAlign w:val="bottom"/>
            <w:hideMark/>
          </w:tcPr>
          <w:p w14:paraId="649E6C45"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-482,000</w:t>
            </w:r>
          </w:p>
        </w:tc>
        <w:tc>
          <w:tcPr>
            <w:tcW w:w="1284" w:type="dxa"/>
            <w:tcBorders>
              <w:top w:val="nil"/>
              <w:left w:val="nil"/>
              <w:bottom w:val="nil"/>
              <w:right w:val="nil"/>
            </w:tcBorders>
            <w:shd w:val="clear" w:color="auto" w:fill="auto"/>
            <w:noWrap/>
            <w:vAlign w:val="bottom"/>
            <w:hideMark/>
          </w:tcPr>
          <w:p w14:paraId="2CAC7DE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-1,008,000</w:t>
            </w:r>
          </w:p>
        </w:tc>
        <w:tc>
          <w:tcPr>
            <w:tcW w:w="1276" w:type="dxa"/>
            <w:tcBorders>
              <w:top w:val="nil"/>
              <w:left w:val="nil"/>
              <w:bottom w:val="nil"/>
              <w:right w:val="nil"/>
            </w:tcBorders>
            <w:shd w:val="clear" w:color="auto" w:fill="auto"/>
            <w:noWrap/>
            <w:vAlign w:val="bottom"/>
            <w:hideMark/>
          </w:tcPr>
          <w:p w14:paraId="7067549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209</w:t>
            </w:r>
          </w:p>
        </w:tc>
      </w:tr>
      <w:tr w:rsidR="00880EB5" w:rsidRPr="00880EB5" w14:paraId="18052696" w14:textId="77777777" w:rsidTr="00880EB5">
        <w:trPr>
          <w:trHeight w:val="300"/>
        </w:trPr>
        <w:tc>
          <w:tcPr>
            <w:tcW w:w="3340" w:type="dxa"/>
            <w:tcBorders>
              <w:top w:val="nil"/>
              <w:left w:val="nil"/>
              <w:bottom w:val="nil"/>
              <w:right w:val="nil"/>
            </w:tcBorders>
            <w:shd w:val="clear" w:color="auto" w:fill="auto"/>
            <w:noWrap/>
            <w:vAlign w:val="bottom"/>
            <w:hideMark/>
          </w:tcPr>
          <w:p w14:paraId="7A83BA28"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 xml:space="preserve">Total Liabilities and Stockholders </w:t>
            </w:r>
          </w:p>
        </w:tc>
        <w:tc>
          <w:tcPr>
            <w:tcW w:w="1220" w:type="dxa"/>
            <w:tcBorders>
              <w:top w:val="nil"/>
              <w:left w:val="nil"/>
              <w:bottom w:val="nil"/>
              <w:right w:val="nil"/>
            </w:tcBorders>
            <w:shd w:val="clear" w:color="auto" w:fill="auto"/>
            <w:noWrap/>
            <w:vAlign w:val="bottom"/>
            <w:hideMark/>
          </w:tcPr>
          <w:p w14:paraId="2A8988DE"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16,755,000</w:t>
            </w:r>
          </w:p>
        </w:tc>
        <w:tc>
          <w:tcPr>
            <w:tcW w:w="1218" w:type="dxa"/>
            <w:tcBorders>
              <w:top w:val="nil"/>
              <w:left w:val="nil"/>
              <w:bottom w:val="nil"/>
              <w:right w:val="nil"/>
            </w:tcBorders>
            <w:shd w:val="clear" w:color="auto" w:fill="auto"/>
            <w:noWrap/>
            <w:vAlign w:val="bottom"/>
            <w:hideMark/>
          </w:tcPr>
          <w:p w14:paraId="79547BB2"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14,957,000</w:t>
            </w:r>
          </w:p>
        </w:tc>
        <w:tc>
          <w:tcPr>
            <w:tcW w:w="1284" w:type="dxa"/>
            <w:tcBorders>
              <w:top w:val="nil"/>
              <w:left w:val="nil"/>
              <w:bottom w:val="nil"/>
              <w:right w:val="nil"/>
            </w:tcBorders>
            <w:shd w:val="clear" w:color="auto" w:fill="auto"/>
            <w:noWrap/>
            <w:vAlign w:val="bottom"/>
            <w:hideMark/>
          </w:tcPr>
          <w:p w14:paraId="391A4DB5"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1,798,000</w:t>
            </w:r>
          </w:p>
        </w:tc>
        <w:tc>
          <w:tcPr>
            <w:tcW w:w="1276" w:type="dxa"/>
            <w:tcBorders>
              <w:top w:val="nil"/>
              <w:left w:val="nil"/>
              <w:bottom w:val="nil"/>
              <w:right w:val="nil"/>
            </w:tcBorders>
            <w:shd w:val="clear" w:color="auto" w:fill="auto"/>
            <w:noWrap/>
            <w:vAlign w:val="bottom"/>
            <w:hideMark/>
          </w:tcPr>
          <w:p w14:paraId="4123DDEA" w14:textId="77777777" w:rsidR="00880EB5" w:rsidRPr="00880EB5" w:rsidRDefault="00880EB5" w:rsidP="007C7C37">
            <w:pPr>
              <w:spacing w:after="0" w:line="240" w:lineRule="auto"/>
              <w:jc w:val="both"/>
              <w:rPr>
                <w:rFonts w:ascii="Calibri" w:eastAsia="Times New Roman" w:hAnsi="Calibri" w:cs="Calibri"/>
                <w:color w:val="000000"/>
              </w:rPr>
            </w:pPr>
            <w:r w:rsidRPr="00880EB5">
              <w:rPr>
                <w:rFonts w:ascii="Calibri" w:eastAsia="Times New Roman" w:hAnsi="Calibri" w:cs="Calibri"/>
                <w:color w:val="000000"/>
              </w:rPr>
              <w:t>12</w:t>
            </w:r>
          </w:p>
        </w:tc>
      </w:tr>
    </w:tbl>
    <w:p w14:paraId="18A61466" w14:textId="77777777" w:rsidR="00880EB5" w:rsidRPr="008753C3" w:rsidRDefault="00880EB5" w:rsidP="007C7C37">
      <w:pPr>
        <w:spacing w:line="480" w:lineRule="auto"/>
        <w:jc w:val="both"/>
        <w:rPr>
          <w:rFonts w:ascii="Times New Roman" w:hAnsi="Times New Roman" w:cs="Times New Roman"/>
          <w:b/>
          <w:sz w:val="24"/>
          <w:szCs w:val="24"/>
        </w:rPr>
      </w:pPr>
    </w:p>
    <w:p w14:paraId="3669409B" w14:textId="77777777" w:rsidR="008E4C93" w:rsidRDefault="000B67C6" w:rsidP="007C7C37">
      <w:pPr>
        <w:spacing w:line="480" w:lineRule="auto"/>
        <w:jc w:val="both"/>
        <w:rPr>
          <w:rFonts w:ascii="Times New Roman" w:hAnsi="Times New Roman" w:cs="Times New Roman"/>
          <w:sz w:val="24"/>
          <w:szCs w:val="24"/>
        </w:rPr>
      </w:pPr>
      <w:r w:rsidRPr="002E34C3">
        <w:rPr>
          <w:rFonts w:ascii="Times New Roman" w:hAnsi="Times New Roman" w:cs="Times New Roman"/>
          <w:i/>
          <w:sz w:val="24"/>
          <w:szCs w:val="24"/>
        </w:rPr>
        <w:lastRenderedPageBreak/>
        <w:t>Table 1</w:t>
      </w:r>
      <w:r w:rsidR="002E34C3" w:rsidRPr="002E34C3">
        <w:rPr>
          <w:rFonts w:ascii="Times New Roman" w:hAnsi="Times New Roman" w:cs="Times New Roman"/>
          <w:i/>
          <w:sz w:val="24"/>
          <w:szCs w:val="24"/>
        </w:rPr>
        <w:t>: Balance Sheet</w:t>
      </w:r>
      <w:r w:rsidR="002E34C3">
        <w:rPr>
          <w:rFonts w:ascii="Times New Roman" w:hAnsi="Times New Roman" w:cs="Times New Roman"/>
          <w:sz w:val="24"/>
          <w:szCs w:val="24"/>
        </w:rPr>
        <w:t xml:space="preserve"> (Source Hilton Annual Report, 2019; 2020)</w:t>
      </w:r>
    </w:p>
    <w:p w14:paraId="7EE052F2" w14:textId="77777777" w:rsidR="009F1747" w:rsidRDefault="000B67C6" w:rsidP="007C7C37">
      <w:pPr>
        <w:spacing w:line="480" w:lineRule="auto"/>
        <w:jc w:val="both"/>
        <w:rPr>
          <w:rFonts w:ascii="Times New Roman" w:hAnsi="Times New Roman" w:cs="Times New Roman"/>
          <w:b/>
          <w:sz w:val="24"/>
          <w:szCs w:val="24"/>
        </w:rPr>
      </w:pPr>
      <w:r w:rsidRPr="008753C3">
        <w:rPr>
          <w:rFonts w:ascii="Times New Roman" w:hAnsi="Times New Roman" w:cs="Times New Roman"/>
          <w:b/>
          <w:sz w:val="24"/>
          <w:szCs w:val="24"/>
        </w:rPr>
        <w:t>Horizontal Analysis of the Income Statement</w:t>
      </w:r>
    </w:p>
    <w:tbl>
      <w:tblPr>
        <w:tblW w:w="6861" w:type="dxa"/>
        <w:tblInd w:w="108" w:type="dxa"/>
        <w:tblLook w:val="04A0" w:firstRow="1" w:lastRow="0" w:firstColumn="1" w:lastColumn="0" w:noHBand="0" w:noVBand="1"/>
      </w:tblPr>
      <w:tblGrid>
        <w:gridCol w:w="1980"/>
        <w:gridCol w:w="1278"/>
        <w:gridCol w:w="1278"/>
        <w:gridCol w:w="1284"/>
        <w:gridCol w:w="1041"/>
      </w:tblGrid>
      <w:tr w:rsidR="00E84245" w:rsidRPr="00E84245" w14:paraId="331A27EE" w14:textId="77777777" w:rsidTr="00E84245">
        <w:trPr>
          <w:trHeight w:val="300"/>
        </w:trPr>
        <w:tc>
          <w:tcPr>
            <w:tcW w:w="1980" w:type="dxa"/>
            <w:tcBorders>
              <w:top w:val="nil"/>
              <w:left w:val="nil"/>
              <w:bottom w:val="nil"/>
              <w:right w:val="nil"/>
            </w:tcBorders>
            <w:shd w:val="clear" w:color="auto" w:fill="auto"/>
            <w:noWrap/>
            <w:vAlign w:val="bottom"/>
            <w:hideMark/>
          </w:tcPr>
          <w:p w14:paraId="7EDB098B"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Entry</w:t>
            </w:r>
          </w:p>
        </w:tc>
        <w:tc>
          <w:tcPr>
            <w:tcW w:w="1278" w:type="dxa"/>
            <w:tcBorders>
              <w:top w:val="nil"/>
              <w:left w:val="nil"/>
              <w:bottom w:val="nil"/>
              <w:right w:val="nil"/>
            </w:tcBorders>
            <w:shd w:val="clear" w:color="auto" w:fill="auto"/>
            <w:noWrap/>
            <w:vAlign w:val="bottom"/>
            <w:hideMark/>
          </w:tcPr>
          <w:p w14:paraId="340A0E9C"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2020</w:t>
            </w:r>
          </w:p>
        </w:tc>
        <w:tc>
          <w:tcPr>
            <w:tcW w:w="1278" w:type="dxa"/>
            <w:tcBorders>
              <w:top w:val="nil"/>
              <w:left w:val="nil"/>
              <w:bottom w:val="nil"/>
              <w:right w:val="nil"/>
            </w:tcBorders>
            <w:shd w:val="clear" w:color="auto" w:fill="auto"/>
            <w:noWrap/>
            <w:vAlign w:val="bottom"/>
            <w:hideMark/>
          </w:tcPr>
          <w:p w14:paraId="00DF4CEB" w14:textId="4B28E3CA"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20</w:t>
            </w:r>
            <w:r w:rsidR="00A164FB">
              <w:rPr>
                <w:rFonts w:ascii="Calibri" w:eastAsia="Times New Roman" w:hAnsi="Calibri" w:cs="Calibri"/>
                <w:color w:val="000000"/>
              </w:rPr>
              <w:t>19</w:t>
            </w:r>
          </w:p>
        </w:tc>
        <w:tc>
          <w:tcPr>
            <w:tcW w:w="1284" w:type="dxa"/>
            <w:tcBorders>
              <w:top w:val="nil"/>
              <w:left w:val="nil"/>
              <w:bottom w:val="nil"/>
              <w:right w:val="nil"/>
            </w:tcBorders>
            <w:shd w:val="clear" w:color="auto" w:fill="auto"/>
            <w:noWrap/>
            <w:vAlign w:val="bottom"/>
            <w:hideMark/>
          </w:tcPr>
          <w:p w14:paraId="1196897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Change</w:t>
            </w:r>
          </w:p>
        </w:tc>
        <w:tc>
          <w:tcPr>
            <w:tcW w:w="1041" w:type="dxa"/>
            <w:tcBorders>
              <w:top w:val="nil"/>
              <w:left w:val="nil"/>
              <w:bottom w:val="nil"/>
              <w:right w:val="nil"/>
            </w:tcBorders>
            <w:shd w:val="clear" w:color="auto" w:fill="auto"/>
            <w:noWrap/>
            <w:vAlign w:val="bottom"/>
            <w:hideMark/>
          </w:tcPr>
          <w:p w14:paraId="57249FFA"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%Change</w:t>
            </w:r>
          </w:p>
        </w:tc>
      </w:tr>
      <w:tr w:rsidR="00E84245" w:rsidRPr="00E84245" w14:paraId="255F2C14" w14:textId="77777777" w:rsidTr="00E84245">
        <w:trPr>
          <w:trHeight w:val="300"/>
        </w:trPr>
        <w:tc>
          <w:tcPr>
            <w:tcW w:w="1980" w:type="dxa"/>
            <w:tcBorders>
              <w:top w:val="nil"/>
              <w:left w:val="nil"/>
              <w:bottom w:val="nil"/>
              <w:right w:val="nil"/>
            </w:tcBorders>
            <w:shd w:val="clear" w:color="auto" w:fill="auto"/>
            <w:noWrap/>
            <w:vAlign w:val="bottom"/>
            <w:hideMark/>
          </w:tcPr>
          <w:p w14:paraId="0D7A990D"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Fiscal Year Ends</w:t>
            </w:r>
          </w:p>
        </w:tc>
        <w:tc>
          <w:tcPr>
            <w:tcW w:w="1278" w:type="dxa"/>
            <w:tcBorders>
              <w:top w:val="nil"/>
              <w:left w:val="nil"/>
              <w:bottom w:val="nil"/>
              <w:right w:val="nil"/>
            </w:tcBorders>
            <w:shd w:val="clear" w:color="auto" w:fill="auto"/>
            <w:noWrap/>
            <w:vAlign w:val="bottom"/>
            <w:hideMark/>
          </w:tcPr>
          <w:p w14:paraId="334E350E"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31/12/2020</w:t>
            </w:r>
          </w:p>
        </w:tc>
        <w:tc>
          <w:tcPr>
            <w:tcW w:w="1278" w:type="dxa"/>
            <w:tcBorders>
              <w:top w:val="nil"/>
              <w:left w:val="nil"/>
              <w:bottom w:val="nil"/>
              <w:right w:val="nil"/>
            </w:tcBorders>
            <w:shd w:val="clear" w:color="auto" w:fill="auto"/>
            <w:noWrap/>
            <w:vAlign w:val="bottom"/>
            <w:hideMark/>
          </w:tcPr>
          <w:p w14:paraId="5A562FCD"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31/12/2019</w:t>
            </w:r>
          </w:p>
        </w:tc>
        <w:tc>
          <w:tcPr>
            <w:tcW w:w="1284" w:type="dxa"/>
            <w:tcBorders>
              <w:top w:val="nil"/>
              <w:left w:val="nil"/>
              <w:bottom w:val="nil"/>
              <w:right w:val="nil"/>
            </w:tcBorders>
            <w:shd w:val="clear" w:color="auto" w:fill="auto"/>
            <w:noWrap/>
            <w:vAlign w:val="bottom"/>
            <w:hideMark/>
          </w:tcPr>
          <w:p w14:paraId="3774C3E2" w14:textId="77777777" w:rsidR="00E84245" w:rsidRPr="00E84245" w:rsidRDefault="00E84245" w:rsidP="007C7C37">
            <w:pPr>
              <w:spacing w:after="0" w:line="240" w:lineRule="auto"/>
              <w:jc w:val="both"/>
              <w:rPr>
                <w:rFonts w:ascii="Calibri" w:eastAsia="Times New Roman" w:hAnsi="Calibri" w:cs="Calibri"/>
                <w:color w:val="000000"/>
              </w:rPr>
            </w:pPr>
          </w:p>
        </w:tc>
        <w:tc>
          <w:tcPr>
            <w:tcW w:w="1041" w:type="dxa"/>
            <w:tcBorders>
              <w:top w:val="nil"/>
              <w:left w:val="nil"/>
              <w:bottom w:val="nil"/>
              <w:right w:val="nil"/>
            </w:tcBorders>
            <w:shd w:val="clear" w:color="auto" w:fill="auto"/>
            <w:noWrap/>
            <w:vAlign w:val="bottom"/>
            <w:hideMark/>
          </w:tcPr>
          <w:p w14:paraId="158B8AF9" w14:textId="77777777" w:rsidR="00E84245" w:rsidRPr="00E84245" w:rsidRDefault="00E84245" w:rsidP="007C7C37">
            <w:pPr>
              <w:spacing w:after="0" w:line="240" w:lineRule="auto"/>
              <w:jc w:val="both"/>
              <w:rPr>
                <w:rFonts w:ascii="Times New Roman" w:eastAsia="Times New Roman" w:hAnsi="Times New Roman" w:cs="Times New Roman"/>
                <w:sz w:val="20"/>
                <w:szCs w:val="20"/>
              </w:rPr>
            </w:pPr>
          </w:p>
        </w:tc>
      </w:tr>
      <w:tr w:rsidR="00E84245" w:rsidRPr="00E84245" w14:paraId="36C3591F" w14:textId="77777777" w:rsidTr="00E84245">
        <w:trPr>
          <w:trHeight w:val="300"/>
        </w:trPr>
        <w:tc>
          <w:tcPr>
            <w:tcW w:w="1980" w:type="dxa"/>
            <w:tcBorders>
              <w:top w:val="nil"/>
              <w:left w:val="nil"/>
              <w:bottom w:val="nil"/>
              <w:right w:val="nil"/>
            </w:tcBorders>
            <w:shd w:val="clear" w:color="auto" w:fill="auto"/>
            <w:noWrap/>
            <w:vAlign w:val="bottom"/>
            <w:hideMark/>
          </w:tcPr>
          <w:p w14:paraId="4F2AC8E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Sales</w:t>
            </w:r>
          </w:p>
        </w:tc>
        <w:tc>
          <w:tcPr>
            <w:tcW w:w="1278" w:type="dxa"/>
            <w:tcBorders>
              <w:top w:val="nil"/>
              <w:left w:val="nil"/>
              <w:bottom w:val="nil"/>
              <w:right w:val="nil"/>
            </w:tcBorders>
            <w:shd w:val="clear" w:color="auto" w:fill="auto"/>
            <w:noWrap/>
            <w:vAlign w:val="bottom"/>
            <w:hideMark/>
          </w:tcPr>
          <w:p w14:paraId="3769B390"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4,307,000</w:t>
            </w:r>
          </w:p>
        </w:tc>
        <w:tc>
          <w:tcPr>
            <w:tcW w:w="1278" w:type="dxa"/>
            <w:tcBorders>
              <w:top w:val="nil"/>
              <w:left w:val="nil"/>
              <w:bottom w:val="nil"/>
              <w:right w:val="nil"/>
            </w:tcBorders>
            <w:shd w:val="clear" w:color="auto" w:fill="auto"/>
            <w:noWrap/>
            <w:vAlign w:val="bottom"/>
            <w:hideMark/>
          </w:tcPr>
          <w:p w14:paraId="6D1A61E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9,452,000</w:t>
            </w:r>
          </w:p>
        </w:tc>
        <w:tc>
          <w:tcPr>
            <w:tcW w:w="1284" w:type="dxa"/>
            <w:tcBorders>
              <w:top w:val="nil"/>
              <w:left w:val="nil"/>
              <w:bottom w:val="nil"/>
              <w:right w:val="nil"/>
            </w:tcBorders>
            <w:shd w:val="clear" w:color="auto" w:fill="auto"/>
            <w:noWrap/>
            <w:vAlign w:val="bottom"/>
            <w:hideMark/>
          </w:tcPr>
          <w:p w14:paraId="282A6C1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-5,145,000</w:t>
            </w:r>
          </w:p>
        </w:tc>
        <w:tc>
          <w:tcPr>
            <w:tcW w:w="1041" w:type="dxa"/>
            <w:tcBorders>
              <w:top w:val="nil"/>
              <w:left w:val="nil"/>
              <w:bottom w:val="nil"/>
              <w:right w:val="nil"/>
            </w:tcBorders>
            <w:shd w:val="clear" w:color="auto" w:fill="auto"/>
            <w:noWrap/>
            <w:vAlign w:val="bottom"/>
            <w:hideMark/>
          </w:tcPr>
          <w:p w14:paraId="7E8105AA"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-54</w:t>
            </w:r>
          </w:p>
        </w:tc>
      </w:tr>
      <w:tr w:rsidR="00E84245" w:rsidRPr="00E84245" w14:paraId="1085B7DF" w14:textId="77777777" w:rsidTr="00E84245">
        <w:trPr>
          <w:trHeight w:val="300"/>
        </w:trPr>
        <w:tc>
          <w:tcPr>
            <w:tcW w:w="1980" w:type="dxa"/>
            <w:tcBorders>
              <w:top w:val="nil"/>
              <w:left w:val="nil"/>
              <w:bottom w:val="nil"/>
              <w:right w:val="nil"/>
            </w:tcBorders>
            <w:shd w:val="clear" w:color="auto" w:fill="auto"/>
            <w:noWrap/>
            <w:vAlign w:val="bottom"/>
            <w:hideMark/>
          </w:tcPr>
          <w:p w14:paraId="7F3ED898"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Cost of Goods Sold</w:t>
            </w:r>
          </w:p>
        </w:tc>
        <w:tc>
          <w:tcPr>
            <w:tcW w:w="1278" w:type="dxa"/>
            <w:tcBorders>
              <w:top w:val="nil"/>
              <w:left w:val="nil"/>
              <w:bottom w:val="nil"/>
              <w:right w:val="nil"/>
            </w:tcBorders>
            <w:shd w:val="clear" w:color="auto" w:fill="auto"/>
            <w:noWrap/>
            <w:vAlign w:val="bottom"/>
            <w:hideMark/>
          </w:tcPr>
          <w:p w14:paraId="2908335C"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3,724,000</w:t>
            </w:r>
          </w:p>
        </w:tc>
        <w:tc>
          <w:tcPr>
            <w:tcW w:w="1278" w:type="dxa"/>
            <w:tcBorders>
              <w:top w:val="nil"/>
              <w:left w:val="nil"/>
              <w:bottom w:val="nil"/>
              <w:right w:val="nil"/>
            </w:tcBorders>
            <w:shd w:val="clear" w:color="auto" w:fill="auto"/>
            <w:noWrap/>
            <w:vAlign w:val="bottom"/>
            <w:hideMark/>
          </w:tcPr>
          <w:p w14:paraId="3AA718E1"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7,017,000</w:t>
            </w:r>
          </w:p>
        </w:tc>
        <w:tc>
          <w:tcPr>
            <w:tcW w:w="1284" w:type="dxa"/>
            <w:tcBorders>
              <w:top w:val="nil"/>
              <w:left w:val="nil"/>
              <w:bottom w:val="nil"/>
              <w:right w:val="nil"/>
            </w:tcBorders>
            <w:shd w:val="clear" w:color="auto" w:fill="auto"/>
            <w:noWrap/>
            <w:vAlign w:val="bottom"/>
            <w:hideMark/>
          </w:tcPr>
          <w:p w14:paraId="37723C0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-3,293,000</w:t>
            </w:r>
          </w:p>
        </w:tc>
        <w:tc>
          <w:tcPr>
            <w:tcW w:w="1041" w:type="dxa"/>
            <w:tcBorders>
              <w:top w:val="nil"/>
              <w:left w:val="nil"/>
              <w:bottom w:val="nil"/>
              <w:right w:val="nil"/>
            </w:tcBorders>
            <w:shd w:val="clear" w:color="auto" w:fill="auto"/>
            <w:noWrap/>
            <w:vAlign w:val="bottom"/>
            <w:hideMark/>
          </w:tcPr>
          <w:p w14:paraId="34753BD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-47</w:t>
            </w:r>
          </w:p>
        </w:tc>
      </w:tr>
      <w:tr w:rsidR="00E84245" w:rsidRPr="00E84245" w14:paraId="085E1181" w14:textId="77777777" w:rsidTr="00E84245">
        <w:trPr>
          <w:trHeight w:val="300"/>
        </w:trPr>
        <w:tc>
          <w:tcPr>
            <w:tcW w:w="1980" w:type="dxa"/>
            <w:tcBorders>
              <w:top w:val="nil"/>
              <w:left w:val="nil"/>
              <w:bottom w:val="nil"/>
              <w:right w:val="nil"/>
            </w:tcBorders>
            <w:shd w:val="clear" w:color="auto" w:fill="auto"/>
            <w:noWrap/>
            <w:vAlign w:val="bottom"/>
            <w:hideMark/>
          </w:tcPr>
          <w:p w14:paraId="74EB96CA"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Gross Profit</w:t>
            </w:r>
          </w:p>
        </w:tc>
        <w:tc>
          <w:tcPr>
            <w:tcW w:w="1278" w:type="dxa"/>
            <w:tcBorders>
              <w:top w:val="nil"/>
              <w:left w:val="nil"/>
              <w:bottom w:val="nil"/>
              <w:right w:val="nil"/>
            </w:tcBorders>
            <w:shd w:val="clear" w:color="auto" w:fill="auto"/>
            <w:noWrap/>
            <w:vAlign w:val="bottom"/>
            <w:hideMark/>
          </w:tcPr>
          <w:p w14:paraId="0D04A6BE"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583,000</w:t>
            </w:r>
          </w:p>
        </w:tc>
        <w:tc>
          <w:tcPr>
            <w:tcW w:w="1278" w:type="dxa"/>
            <w:tcBorders>
              <w:top w:val="nil"/>
              <w:left w:val="nil"/>
              <w:bottom w:val="nil"/>
              <w:right w:val="nil"/>
            </w:tcBorders>
            <w:shd w:val="clear" w:color="auto" w:fill="auto"/>
            <w:noWrap/>
            <w:vAlign w:val="bottom"/>
            <w:hideMark/>
          </w:tcPr>
          <w:p w14:paraId="067D751C"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2,435,000</w:t>
            </w:r>
          </w:p>
        </w:tc>
        <w:tc>
          <w:tcPr>
            <w:tcW w:w="1284" w:type="dxa"/>
            <w:tcBorders>
              <w:top w:val="nil"/>
              <w:left w:val="nil"/>
              <w:bottom w:val="nil"/>
              <w:right w:val="nil"/>
            </w:tcBorders>
            <w:shd w:val="clear" w:color="auto" w:fill="auto"/>
            <w:noWrap/>
            <w:vAlign w:val="bottom"/>
            <w:hideMark/>
          </w:tcPr>
          <w:p w14:paraId="16025B7C"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-1,852,000</w:t>
            </w:r>
          </w:p>
        </w:tc>
        <w:tc>
          <w:tcPr>
            <w:tcW w:w="1041" w:type="dxa"/>
            <w:tcBorders>
              <w:top w:val="nil"/>
              <w:left w:val="nil"/>
              <w:bottom w:val="nil"/>
              <w:right w:val="nil"/>
            </w:tcBorders>
            <w:shd w:val="clear" w:color="auto" w:fill="auto"/>
            <w:noWrap/>
            <w:vAlign w:val="bottom"/>
            <w:hideMark/>
          </w:tcPr>
          <w:p w14:paraId="737C733E"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-76</w:t>
            </w:r>
          </w:p>
        </w:tc>
      </w:tr>
      <w:tr w:rsidR="00E84245" w:rsidRPr="00E84245" w14:paraId="56140CD6" w14:textId="77777777" w:rsidTr="00E84245">
        <w:trPr>
          <w:trHeight w:val="300"/>
        </w:trPr>
        <w:tc>
          <w:tcPr>
            <w:tcW w:w="1980" w:type="dxa"/>
            <w:tcBorders>
              <w:top w:val="nil"/>
              <w:left w:val="nil"/>
              <w:bottom w:val="nil"/>
              <w:right w:val="nil"/>
            </w:tcBorders>
            <w:shd w:val="clear" w:color="auto" w:fill="auto"/>
            <w:noWrap/>
            <w:vAlign w:val="bottom"/>
            <w:hideMark/>
          </w:tcPr>
          <w:p w14:paraId="1BD23EA2"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Operating Expenses</w:t>
            </w:r>
          </w:p>
        </w:tc>
        <w:tc>
          <w:tcPr>
            <w:tcW w:w="1278" w:type="dxa"/>
            <w:tcBorders>
              <w:top w:val="nil"/>
              <w:left w:val="nil"/>
              <w:bottom w:val="nil"/>
              <w:right w:val="nil"/>
            </w:tcBorders>
            <w:shd w:val="clear" w:color="auto" w:fill="auto"/>
            <w:noWrap/>
            <w:vAlign w:val="bottom"/>
            <w:hideMark/>
          </w:tcPr>
          <w:p w14:paraId="6BB98C3D"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702,000</w:t>
            </w:r>
          </w:p>
        </w:tc>
        <w:tc>
          <w:tcPr>
            <w:tcW w:w="1278" w:type="dxa"/>
            <w:tcBorders>
              <w:top w:val="nil"/>
              <w:left w:val="nil"/>
              <w:bottom w:val="nil"/>
              <w:right w:val="nil"/>
            </w:tcBorders>
            <w:shd w:val="clear" w:color="auto" w:fill="auto"/>
            <w:noWrap/>
            <w:vAlign w:val="bottom"/>
            <w:hideMark/>
          </w:tcPr>
          <w:p w14:paraId="4845F3A0"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859,000</w:t>
            </w:r>
          </w:p>
        </w:tc>
        <w:tc>
          <w:tcPr>
            <w:tcW w:w="1284" w:type="dxa"/>
            <w:tcBorders>
              <w:top w:val="nil"/>
              <w:left w:val="nil"/>
              <w:bottom w:val="nil"/>
              <w:right w:val="nil"/>
            </w:tcBorders>
            <w:shd w:val="clear" w:color="auto" w:fill="auto"/>
            <w:noWrap/>
            <w:vAlign w:val="bottom"/>
            <w:hideMark/>
          </w:tcPr>
          <w:p w14:paraId="3EA01785"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-157,000</w:t>
            </w:r>
          </w:p>
        </w:tc>
        <w:tc>
          <w:tcPr>
            <w:tcW w:w="1041" w:type="dxa"/>
            <w:tcBorders>
              <w:top w:val="nil"/>
              <w:left w:val="nil"/>
              <w:bottom w:val="nil"/>
              <w:right w:val="nil"/>
            </w:tcBorders>
            <w:shd w:val="clear" w:color="auto" w:fill="auto"/>
            <w:noWrap/>
            <w:vAlign w:val="bottom"/>
            <w:hideMark/>
          </w:tcPr>
          <w:p w14:paraId="1EB30D5B"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-18</w:t>
            </w:r>
          </w:p>
        </w:tc>
      </w:tr>
      <w:tr w:rsidR="00E84245" w:rsidRPr="00E84245" w14:paraId="4FACB6EF" w14:textId="77777777" w:rsidTr="00E84245">
        <w:trPr>
          <w:trHeight w:val="300"/>
        </w:trPr>
        <w:tc>
          <w:tcPr>
            <w:tcW w:w="1980" w:type="dxa"/>
            <w:tcBorders>
              <w:top w:val="nil"/>
              <w:left w:val="nil"/>
              <w:bottom w:val="nil"/>
              <w:right w:val="nil"/>
            </w:tcBorders>
            <w:shd w:val="clear" w:color="auto" w:fill="auto"/>
            <w:noWrap/>
            <w:vAlign w:val="bottom"/>
            <w:hideMark/>
          </w:tcPr>
          <w:p w14:paraId="5A3D511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Operating Income</w:t>
            </w:r>
          </w:p>
        </w:tc>
        <w:tc>
          <w:tcPr>
            <w:tcW w:w="1278" w:type="dxa"/>
            <w:tcBorders>
              <w:top w:val="nil"/>
              <w:left w:val="nil"/>
              <w:bottom w:val="nil"/>
              <w:right w:val="nil"/>
            </w:tcBorders>
            <w:shd w:val="clear" w:color="auto" w:fill="auto"/>
            <w:noWrap/>
            <w:vAlign w:val="bottom"/>
            <w:hideMark/>
          </w:tcPr>
          <w:p w14:paraId="7D5D005F"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-119,000</w:t>
            </w:r>
          </w:p>
        </w:tc>
        <w:tc>
          <w:tcPr>
            <w:tcW w:w="1278" w:type="dxa"/>
            <w:tcBorders>
              <w:top w:val="nil"/>
              <w:left w:val="nil"/>
              <w:bottom w:val="nil"/>
              <w:right w:val="nil"/>
            </w:tcBorders>
            <w:shd w:val="clear" w:color="auto" w:fill="auto"/>
            <w:noWrap/>
            <w:vAlign w:val="bottom"/>
            <w:hideMark/>
          </w:tcPr>
          <w:p w14:paraId="73E449F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1,576,000</w:t>
            </w:r>
          </w:p>
        </w:tc>
        <w:tc>
          <w:tcPr>
            <w:tcW w:w="1284" w:type="dxa"/>
            <w:tcBorders>
              <w:top w:val="nil"/>
              <w:left w:val="nil"/>
              <w:bottom w:val="nil"/>
              <w:right w:val="nil"/>
            </w:tcBorders>
            <w:shd w:val="clear" w:color="auto" w:fill="auto"/>
            <w:noWrap/>
            <w:vAlign w:val="bottom"/>
            <w:hideMark/>
          </w:tcPr>
          <w:p w14:paraId="17F6D34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-1,695,000</w:t>
            </w:r>
          </w:p>
        </w:tc>
        <w:tc>
          <w:tcPr>
            <w:tcW w:w="1041" w:type="dxa"/>
            <w:tcBorders>
              <w:top w:val="nil"/>
              <w:left w:val="nil"/>
              <w:bottom w:val="nil"/>
              <w:right w:val="nil"/>
            </w:tcBorders>
            <w:shd w:val="clear" w:color="auto" w:fill="auto"/>
            <w:noWrap/>
            <w:vAlign w:val="bottom"/>
            <w:hideMark/>
          </w:tcPr>
          <w:p w14:paraId="73138A47"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-108</w:t>
            </w:r>
          </w:p>
        </w:tc>
      </w:tr>
      <w:tr w:rsidR="00E84245" w:rsidRPr="00E84245" w14:paraId="538E34EA" w14:textId="77777777" w:rsidTr="00E84245">
        <w:trPr>
          <w:trHeight w:val="300"/>
        </w:trPr>
        <w:tc>
          <w:tcPr>
            <w:tcW w:w="1980" w:type="dxa"/>
            <w:tcBorders>
              <w:top w:val="nil"/>
              <w:left w:val="nil"/>
              <w:bottom w:val="nil"/>
              <w:right w:val="nil"/>
            </w:tcBorders>
            <w:shd w:val="clear" w:color="auto" w:fill="auto"/>
            <w:noWrap/>
            <w:vAlign w:val="bottom"/>
            <w:hideMark/>
          </w:tcPr>
          <w:p w14:paraId="2FF2D374"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Interest Expense</w:t>
            </w:r>
          </w:p>
        </w:tc>
        <w:tc>
          <w:tcPr>
            <w:tcW w:w="1278" w:type="dxa"/>
            <w:tcBorders>
              <w:top w:val="nil"/>
              <w:left w:val="nil"/>
              <w:bottom w:val="nil"/>
              <w:right w:val="nil"/>
            </w:tcBorders>
            <w:shd w:val="clear" w:color="auto" w:fill="auto"/>
            <w:noWrap/>
            <w:vAlign w:val="bottom"/>
            <w:hideMark/>
          </w:tcPr>
          <w:p w14:paraId="11A6E0CF"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429,000</w:t>
            </w:r>
          </w:p>
        </w:tc>
        <w:tc>
          <w:tcPr>
            <w:tcW w:w="1278" w:type="dxa"/>
            <w:tcBorders>
              <w:top w:val="nil"/>
              <w:left w:val="nil"/>
              <w:bottom w:val="nil"/>
              <w:right w:val="nil"/>
            </w:tcBorders>
            <w:shd w:val="clear" w:color="auto" w:fill="auto"/>
            <w:noWrap/>
            <w:vAlign w:val="bottom"/>
            <w:hideMark/>
          </w:tcPr>
          <w:p w14:paraId="4A0B2C9B"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414,000</w:t>
            </w:r>
          </w:p>
        </w:tc>
        <w:tc>
          <w:tcPr>
            <w:tcW w:w="1284" w:type="dxa"/>
            <w:tcBorders>
              <w:top w:val="nil"/>
              <w:left w:val="nil"/>
              <w:bottom w:val="nil"/>
              <w:right w:val="nil"/>
            </w:tcBorders>
            <w:shd w:val="clear" w:color="auto" w:fill="auto"/>
            <w:noWrap/>
            <w:vAlign w:val="bottom"/>
            <w:hideMark/>
          </w:tcPr>
          <w:p w14:paraId="29BB141F"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15,000</w:t>
            </w:r>
          </w:p>
        </w:tc>
        <w:tc>
          <w:tcPr>
            <w:tcW w:w="1041" w:type="dxa"/>
            <w:tcBorders>
              <w:top w:val="nil"/>
              <w:left w:val="nil"/>
              <w:bottom w:val="nil"/>
              <w:right w:val="nil"/>
            </w:tcBorders>
            <w:shd w:val="clear" w:color="auto" w:fill="auto"/>
            <w:noWrap/>
            <w:vAlign w:val="bottom"/>
            <w:hideMark/>
          </w:tcPr>
          <w:p w14:paraId="08FFACA0"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w:t>
            </w:r>
          </w:p>
        </w:tc>
      </w:tr>
      <w:tr w:rsidR="00E84245" w:rsidRPr="00E84245" w14:paraId="330AD95F" w14:textId="77777777" w:rsidTr="00E84245">
        <w:trPr>
          <w:trHeight w:val="300"/>
        </w:trPr>
        <w:tc>
          <w:tcPr>
            <w:tcW w:w="1980" w:type="dxa"/>
            <w:tcBorders>
              <w:top w:val="nil"/>
              <w:left w:val="nil"/>
              <w:bottom w:val="nil"/>
              <w:right w:val="nil"/>
            </w:tcBorders>
            <w:shd w:val="clear" w:color="auto" w:fill="auto"/>
            <w:noWrap/>
            <w:vAlign w:val="bottom"/>
            <w:hideMark/>
          </w:tcPr>
          <w:p w14:paraId="1190D718"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Total Income Other</w:t>
            </w:r>
          </w:p>
        </w:tc>
        <w:tc>
          <w:tcPr>
            <w:tcW w:w="1278" w:type="dxa"/>
            <w:tcBorders>
              <w:top w:val="nil"/>
              <w:left w:val="nil"/>
              <w:bottom w:val="nil"/>
              <w:right w:val="nil"/>
            </w:tcBorders>
            <w:shd w:val="clear" w:color="auto" w:fill="auto"/>
            <w:noWrap/>
            <w:vAlign w:val="bottom"/>
            <w:hideMark/>
          </w:tcPr>
          <w:p w14:paraId="7C985E46"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-376,000</w:t>
            </w:r>
          </w:p>
        </w:tc>
        <w:tc>
          <w:tcPr>
            <w:tcW w:w="1278" w:type="dxa"/>
            <w:tcBorders>
              <w:top w:val="nil"/>
              <w:left w:val="nil"/>
              <w:bottom w:val="nil"/>
              <w:right w:val="nil"/>
            </w:tcBorders>
            <w:shd w:val="clear" w:color="auto" w:fill="auto"/>
            <w:noWrap/>
            <w:vAlign w:val="bottom"/>
            <w:hideMark/>
          </w:tcPr>
          <w:p w14:paraId="7C65AA3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82,000</w:t>
            </w:r>
          </w:p>
        </w:tc>
        <w:tc>
          <w:tcPr>
            <w:tcW w:w="1284" w:type="dxa"/>
            <w:tcBorders>
              <w:top w:val="nil"/>
              <w:left w:val="nil"/>
              <w:bottom w:val="nil"/>
              <w:right w:val="nil"/>
            </w:tcBorders>
            <w:shd w:val="clear" w:color="auto" w:fill="auto"/>
            <w:noWrap/>
            <w:vAlign w:val="bottom"/>
            <w:hideMark/>
          </w:tcPr>
          <w:p w14:paraId="63404437"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-458,000</w:t>
            </w:r>
          </w:p>
        </w:tc>
        <w:tc>
          <w:tcPr>
            <w:tcW w:w="1041" w:type="dxa"/>
            <w:tcBorders>
              <w:top w:val="nil"/>
              <w:left w:val="nil"/>
              <w:bottom w:val="nil"/>
              <w:right w:val="nil"/>
            </w:tcBorders>
            <w:shd w:val="clear" w:color="auto" w:fill="auto"/>
            <w:noWrap/>
            <w:vAlign w:val="bottom"/>
            <w:hideMark/>
          </w:tcPr>
          <w:p w14:paraId="3385E765"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-559</w:t>
            </w:r>
          </w:p>
        </w:tc>
      </w:tr>
      <w:tr w:rsidR="00E84245" w:rsidRPr="00E84245" w14:paraId="3D9EB13A" w14:textId="77777777" w:rsidTr="00E84245">
        <w:trPr>
          <w:trHeight w:val="300"/>
        </w:trPr>
        <w:tc>
          <w:tcPr>
            <w:tcW w:w="1980" w:type="dxa"/>
            <w:tcBorders>
              <w:top w:val="nil"/>
              <w:left w:val="nil"/>
              <w:bottom w:val="nil"/>
              <w:right w:val="nil"/>
            </w:tcBorders>
            <w:shd w:val="clear" w:color="auto" w:fill="auto"/>
            <w:noWrap/>
            <w:vAlign w:val="bottom"/>
            <w:hideMark/>
          </w:tcPr>
          <w:p w14:paraId="4241D685"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Income Before Tax</w:t>
            </w:r>
          </w:p>
        </w:tc>
        <w:tc>
          <w:tcPr>
            <w:tcW w:w="1278" w:type="dxa"/>
            <w:tcBorders>
              <w:top w:val="nil"/>
              <w:left w:val="nil"/>
              <w:bottom w:val="nil"/>
              <w:right w:val="nil"/>
            </w:tcBorders>
            <w:shd w:val="clear" w:color="auto" w:fill="auto"/>
            <w:noWrap/>
            <w:vAlign w:val="bottom"/>
            <w:hideMark/>
          </w:tcPr>
          <w:p w14:paraId="72CF9151"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-924,000</w:t>
            </w:r>
          </w:p>
        </w:tc>
        <w:tc>
          <w:tcPr>
            <w:tcW w:w="1278" w:type="dxa"/>
            <w:tcBorders>
              <w:top w:val="nil"/>
              <w:left w:val="nil"/>
              <w:bottom w:val="nil"/>
              <w:right w:val="nil"/>
            </w:tcBorders>
            <w:shd w:val="clear" w:color="auto" w:fill="auto"/>
            <w:noWrap/>
            <w:vAlign w:val="bottom"/>
            <w:hideMark/>
          </w:tcPr>
          <w:p w14:paraId="2006CAF0"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1,244,000</w:t>
            </w:r>
          </w:p>
        </w:tc>
        <w:tc>
          <w:tcPr>
            <w:tcW w:w="1284" w:type="dxa"/>
            <w:tcBorders>
              <w:top w:val="nil"/>
              <w:left w:val="nil"/>
              <w:bottom w:val="nil"/>
              <w:right w:val="nil"/>
            </w:tcBorders>
            <w:shd w:val="clear" w:color="auto" w:fill="auto"/>
            <w:noWrap/>
            <w:vAlign w:val="bottom"/>
            <w:hideMark/>
          </w:tcPr>
          <w:p w14:paraId="3FA40C10"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-2,168,000</w:t>
            </w:r>
          </w:p>
        </w:tc>
        <w:tc>
          <w:tcPr>
            <w:tcW w:w="1041" w:type="dxa"/>
            <w:tcBorders>
              <w:top w:val="nil"/>
              <w:left w:val="nil"/>
              <w:bottom w:val="nil"/>
              <w:right w:val="nil"/>
            </w:tcBorders>
            <w:shd w:val="clear" w:color="auto" w:fill="auto"/>
            <w:noWrap/>
            <w:vAlign w:val="bottom"/>
            <w:hideMark/>
          </w:tcPr>
          <w:p w14:paraId="136FA878"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-174</w:t>
            </w:r>
          </w:p>
        </w:tc>
      </w:tr>
      <w:tr w:rsidR="00E84245" w:rsidRPr="00E84245" w14:paraId="1918FCF5" w14:textId="77777777" w:rsidTr="00E84245">
        <w:trPr>
          <w:trHeight w:val="300"/>
        </w:trPr>
        <w:tc>
          <w:tcPr>
            <w:tcW w:w="1980" w:type="dxa"/>
            <w:tcBorders>
              <w:top w:val="nil"/>
              <w:left w:val="nil"/>
              <w:bottom w:val="nil"/>
              <w:right w:val="nil"/>
            </w:tcBorders>
            <w:shd w:val="clear" w:color="auto" w:fill="auto"/>
            <w:noWrap/>
            <w:vAlign w:val="bottom"/>
            <w:hideMark/>
          </w:tcPr>
          <w:p w14:paraId="0C01C94D"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Net Income</w:t>
            </w:r>
          </w:p>
        </w:tc>
        <w:tc>
          <w:tcPr>
            <w:tcW w:w="1278" w:type="dxa"/>
            <w:tcBorders>
              <w:top w:val="nil"/>
              <w:left w:val="nil"/>
              <w:bottom w:val="nil"/>
              <w:right w:val="nil"/>
            </w:tcBorders>
            <w:shd w:val="clear" w:color="auto" w:fill="auto"/>
            <w:noWrap/>
            <w:vAlign w:val="bottom"/>
            <w:hideMark/>
          </w:tcPr>
          <w:p w14:paraId="3B945089"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-715,000</w:t>
            </w:r>
          </w:p>
        </w:tc>
        <w:tc>
          <w:tcPr>
            <w:tcW w:w="1278" w:type="dxa"/>
            <w:tcBorders>
              <w:top w:val="nil"/>
              <w:left w:val="nil"/>
              <w:bottom w:val="nil"/>
              <w:right w:val="nil"/>
            </w:tcBorders>
            <w:shd w:val="clear" w:color="auto" w:fill="auto"/>
            <w:noWrap/>
            <w:vAlign w:val="bottom"/>
            <w:hideMark/>
          </w:tcPr>
          <w:p w14:paraId="43E26F23"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881,000</w:t>
            </w:r>
          </w:p>
        </w:tc>
        <w:tc>
          <w:tcPr>
            <w:tcW w:w="1284" w:type="dxa"/>
            <w:tcBorders>
              <w:top w:val="nil"/>
              <w:left w:val="nil"/>
              <w:bottom w:val="nil"/>
              <w:right w:val="nil"/>
            </w:tcBorders>
            <w:shd w:val="clear" w:color="auto" w:fill="auto"/>
            <w:noWrap/>
            <w:vAlign w:val="bottom"/>
            <w:hideMark/>
          </w:tcPr>
          <w:p w14:paraId="60CE639C"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-1,596,000</w:t>
            </w:r>
          </w:p>
        </w:tc>
        <w:tc>
          <w:tcPr>
            <w:tcW w:w="1041" w:type="dxa"/>
            <w:tcBorders>
              <w:top w:val="nil"/>
              <w:left w:val="nil"/>
              <w:bottom w:val="nil"/>
              <w:right w:val="nil"/>
            </w:tcBorders>
            <w:shd w:val="clear" w:color="auto" w:fill="auto"/>
            <w:noWrap/>
            <w:vAlign w:val="bottom"/>
            <w:hideMark/>
          </w:tcPr>
          <w:p w14:paraId="68D045F7" w14:textId="77777777" w:rsidR="00E84245" w:rsidRPr="00E84245" w:rsidRDefault="00E84245" w:rsidP="007C7C37">
            <w:pPr>
              <w:spacing w:after="0" w:line="240" w:lineRule="auto"/>
              <w:jc w:val="both"/>
              <w:rPr>
                <w:rFonts w:ascii="Calibri" w:eastAsia="Times New Roman" w:hAnsi="Calibri" w:cs="Calibri"/>
                <w:color w:val="000000"/>
              </w:rPr>
            </w:pPr>
            <w:r w:rsidRPr="00E84245">
              <w:rPr>
                <w:rFonts w:ascii="Calibri" w:eastAsia="Times New Roman" w:hAnsi="Calibri" w:cs="Calibri"/>
                <w:color w:val="000000"/>
              </w:rPr>
              <w:t>-181</w:t>
            </w:r>
          </w:p>
        </w:tc>
      </w:tr>
    </w:tbl>
    <w:p w14:paraId="6EAD0FE1" w14:textId="77777777" w:rsidR="00E84245" w:rsidRPr="008753C3" w:rsidRDefault="00E84245" w:rsidP="007C7C37">
      <w:pPr>
        <w:spacing w:line="480" w:lineRule="auto"/>
        <w:jc w:val="both"/>
        <w:rPr>
          <w:rFonts w:ascii="Times New Roman" w:hAnsi="Times New Roman" w:cs="Times New Roman"/>
          <w:b/>
          <w:sz w:val="24"/>
          <w:szCs w:val="24"/>
        </w:rPr>
      </w:pPr>
    </w:p>
    <w:p w14:paraId="00471285" w14:textId="77777777" w:rsidR="009F1747" w:rsidRDefault="000B67C6" w:rsidP="007C7C37">
      <w:pPr>
        <w:spacing w:line="480" w:lineRule="auto"/>
        <w:jc w:val="both"/>
        <w:rPr>
          <w:rFonts w:ascii="Times New Roman" w:hAnsi="Times New Roman" w:cs="Times New Roman"/>
          <w:sz w:val="24"/>
          <w:szCs w:val="24"/>
        </w:rPr>
      </w:pPr>
      <w:r w:rsidRPr="002E34C3">
        <w:rPr>
          <w:rFonts w:ascii="Times New Roman" w:hAnsi="Times New Roman" w:cs="Times New Roman"/>
          <w:i/>
          <w:sz w:val="24"/>
          <w:szCs w:val="24"/>
        </w:rPr>
        <w:t>Table 2</w:t>
      </w:r>
      <w:r w:rsidR="002E34C3" w:rsidRPr="002E34C3">
        <w:rPr>
          <w:rFonts w:ascii="Times New Roman" w:hAnsi="Times New Roman" w:cs="Times New Roman"/>
          <w:i/>
          <w:sz w:val="24"/>
          <w:szCs w:val="24"/>
        </w:rPr>
        <w:t>: Income Statement</w:t>
      </w:r>
      <w:r w:rsidR="002E34C3">
        <w:rPr>
          <w:rFonts w:ascii="Times New Roman" w:hAnsi="Times New Roman" w:cs="Times New Roman"/>
          <w:sz w:val="24"/>
          <w:szCs w:val="24"/>
        </w:rPr>
        <w:t xml:space="preserve"> (Source: Hilton Annual Report, 2019; 2020)</w:t>
      </w:r>
    </w:p>
    <w:p w14:paraId="419E1B75" w14:textId="77777777" w:rsidR="00B60A25" w:rsidRDefault="00B60A25" w:rsidP="007C7C37">
      <w:pPr>
        <w:spacing w:line="480" w:lineRule="auto"/>
        <w:jc w:val="both"/>
        <w:rPr>
          <w:rFonts w:ascii="Times New Roman" w:hAnsi="Times New Roman" w:cs="Times New Roman"/>
          <w:sz w:val="24"/>
          <w:szCs w:val="24"/>
        </w:rPr>
      </w:pPr>
    </w:p>
    <w:p w14:paraId="6990389C" w14:textId="77777777" w:rsidR="00E16D76"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Table 1 and 2 above shows the horizontal analysis for the balance sheet and income statement for Hilton hotels using 2019 as the base year. First, in regard to the balance sheet, there was a total increase in the total assets, which grew by 12% between 2019 and 2020. In regard to the income statement, all the values described in Table 2 above were negative except interest expense which increased by </w:t>
      </w:r>
      <w:r w:rsidR="00E84245">
        <w:rPr>
          <w:rFonts w:ascii="Times New Roman" w:hAnsi="Times New Roman" w:cs="Times New Roman"/>
          <w:sz w:val="24"/>
          <w:szCs w:val="24"/>
        </w:rPr>
        <w:t>4</w:t>
      </w:r>
      <w:r w:rsidR="002362DF">
        <w:rPr>
          <w:rFonts w:ascii="Times New Roman" w:hAnsi="Times New Roman" w:cs="Times New Roman"/>
          <w:sz w:val="24"/>
          <w:szCs w:val="24"/>
        </w:rPr>
        <w:t xml:space="preserve">%. </w:t>
      </w:r>
      <w:r w:rsidR="003D691A">
        <w:rPr>
          <w:rFonts w:ascii="Times New Roman" w:hAnsi="Times New Roman" w:cs="Times New Roman"/>
          <w:sz w:val="24"/>
          <w:szCs w:val="24"/>
        </w:rPr>
        <w:t xml:space="preserve">At this point, an increase in interest expense would also be considered to have a negative implication on the company since it indicates an addition in the cost of borrowing. </w:t>
      </w:r>
      <w:r w:rsidR="002362DF">
        <w:rPr>
          <w:rFonts w:ascii="Times New Roman" w:hAnsi="Times New Roman" w:cs="Times New Roman"/>
          <w:sz w:val="24"/>
          <w:szCs w:val="24"/>
        </w:rPr>
        <w:t>Most importantly under the analysis is the change in sales and net in</w:t>
      </w:r>
      <w:r w:rsidR="00E84245">
        <w:rPr>
          <w:rFonts w:ascii="Times New Roman" w:hAnsi="Times New Roman" w:cs="Times New Roman"/>
          <w:sz w:val="24"/>
          <w:szCs w:val="24"/>
        </w:rPr>
        <w:t>come, which were reduced by 54% and 181</w:t>
      </w:r>
      <w:r w:rsidR="002362DF">
        <w:rPr>
          <w:rFonts w:ascii="Times New Roman" w:hAnsi="Times New Roman" w:cs="Times New Roman"/>
          <w:sz w:val="24"/>
          <w:szCs w:val="24"/>
        </w:rPr>
        <w:t xml:space="preserve">%, respectively. </w:t>
      </w:r>
      <w:r w:rsidR="003227EC">
        <w:rPr>
          <w:rFonts w:ascii="Times New Roman" w:hAnsi="Times New Roman" w:cs="Times New Roman"/>
          <w:sz w:val="24"/>
          <w:szCs w:val="24"/>
        </w:rPr>
        <w:t>The sudden drop in the sales and income for Hilton hotels could be explained in the context of COVID-19, which had devastating effec</w:t>
      </w:r>
      <w:r w:rsidR="001661F0">
        <w:rPr>
          <w:rFonts w:ascii="Times New Roman" w:hAnsi="Times New Roman" w:cs="Times New Roman"/>
          <w:sz w:val="24"/>
          <w:szCs w:val="24"/>
        </w:rPr>
        <w:t>ts on the hospitality industry (</w:t>
      </w:r>
      <w:proofErr w:type="spellStart"/>
      <w:r w:rsidR="005C49BD" w:rsidRPr="008B73C6">
        <w:rPr>
          <w:rFonts w:ascii="Times New Roman" w:hAnsi="Times New Roman" w:cs="Times New Roman"/>
          <w:color w:val="222222"/>
          <w:sz w:val="24"/>
          <w:szCs w:val="20"/>
          <w:shd w:val="clear" w:color="auto" w:fill="FFFFFF"/>
        </w:rPr>
        <w:t>Ntounis</w:t>
      </w:r>
      <w:proofErr w:type="spellEnd"/>
      <w:r w:rsidR="005C49BD">
        <w:rPr>
          <w:rFonts w:ascii="Times New Roman" w:hAnsi="Times New Roman" w:cs="Times New Roman"/>
          <w:color w:val="222222"/>
          <w:sz w:val="24"/>
          <w:szCs w:val="20"/>
          <w:shd w:val="clear" w:color="auto" w:fill="FFFFFF"/>
        </w:rPr>
        <w:t xml:space="preserve"> et al. 47</w:t>
      </w:r>
      <w:r w:rsidR="001661F0">
        <w:rPr>
          <w:rFonts w:ascii="Times New Roman" w:hAnsi="Times New Roman" w:cs="Times New Roman"/>
          <w:sz w:val="24"/>
          <w:szCs w:val="24"/>
        </w:rPr>
        <w:t>). The pandemic resulted in reduced in-person visits to Hilto</w:t>
      </w:r>
      <w:r w:rsidR="0027223B">
        <w:rPr>
          <w:rFonts w:ascii="Times New Roman" w:hAnsi="Times New Roman" w:cs="Times New Roman"/>
          <w:sz w:val="24"/>
          <w:szCs w:val="24"/>
        </w:rPr>
        <w:t>n hotels resulting in the losse</w:t>
      </w:r>
      <w:r w:rsidR="001661F0">
        <w:rPr>
          <w:rFonts w:ascii="Times New Roman" w:hAnsi="Times New Roman" w:cs="Times New Roman"/>
          <w:sz w:val="24"/>
          <w:szCs w:val="24"/>
        </w:rPr>
        <w:t xml:space="preserve">s described above. </w:t>
      </w:r>
    </w:p>
    <w:p w14:paraId="5CD8B07B" w14:textId="77777777" w:rsidR="00B60A25"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 analysis further sho</w:t>
      </w:r>
      <w:r w:rsidR="00880EB5">
        <w:rPr>
          <w:rFonts w:ascii="Times New Roman" w:hAnsi="Times New Roman" w:cs="Times New Roman"/>
          <w:sz w:val="24"/>
          <w:szCs w:val="24"/>
        </w:rPr>
        <w:t>ws that liabilities grew by 18</w:t>
      </w:r>
      <w:r>
        <w:rPr>
          <w:rFonts w:ascii="Times New Roman" w:hAnsi="Times New Roman" w:cs="Times New Roman"/>
          <w:sz w:val="24"/>
          <w:szCs w:val="24"/>
        </w:rPr>
        <w:t xml:space="preserve">% between 2019 and 2020. Given that the company experienced losses in income and gross profit in 2020, it means that the firm had to borrow more to cater for the expenses. </w:t>
      </w:r>
      <w:r w:rsidR="002B05AF">
        <w:rPr>
          <w:rFonts w:ascii="Times New Roman" w:hAnsi="Times New Roman" w:cs="Times New Roman"/>
          <w:sz w:val="24"/>
          <w:szCs w:val="24"/>
        </w:rPr>
        <w:t xml:space="preserve">A general observation made here is that there was a general decline in the performance of the Hilton hotels in 2020. </w:t>
      </w:r>
      <w:r w:rsidR="0024514A">
        <w:rPr>
          <w:rFonts w:ascii="Times New Roman" w:hAnsi="Times New Roman" w:cs="Times New Roman"/>
          <w:sz w:val="24"/>
          <w:szCs w:val="24"/>
        </w:rPr>
        <w:t>It is equally important to observe that while other financial accounts in the income statement experienced a significant</w:t>
      </w:r>
      <w:r w:rsidR="00880EB5">
        <w:rPr>
          <w:rFonts w:ascii="Times New Roman" w:hAnsi="Times New Roman" w:cs="Times New Roman"/>
          <w:sz w:val="24"/>
          <w:szCs w:val="24"/>
        </w:rPr>
        <w:t xml:space="preserve"> decline, there was only an 18</w:t>
      </w:r>
      <w:r w:rsidR="0024514A">
        <w:rPr>
          <w:rFonts w:ascii="Times New Roman" w:hAnsi="Times New Roman" w:cs="Times New Roman"/>
          <w:sz w:val="24"/>
          <w:szCs w:val="24"/>
        </w:rPr>
        <w:t>% drop in operating expenses. The above implies that Hilton hotels continued meeting other expenses such as rent, salari</w:t>
      </w:r>
      <w:r w:rsidR="00880EB5">
        <w:rPr>
          <w:rFonts w:ascii="Times New Roman" w:hAnsi="Times New Roman" w:cs="Times New Roman"/>
          <w:sz w:val="24"/>
          <w:szCs w:val="24"/>
        </w:rPr>
        <w:t>es, insurance and advertising</w:t>
      </w:r>
      <w:r w:rsidR="0024514A">
        <w:rPr>
          <w:rFonts w:ascii="Times New Roman" w:hAnsi="Times New Roman" w:cs="Times New Roman"/>
          <w:sz w:val="24"/>
          <w:szCs w:val="24"/>
        </w:rPr>
        <w:t xml:space="preserve">. </w:t>
      </w:r>
      <w:r w:rsidR="00E969ED">
        <w:rPr>
          <w:rFonts w:ascii="Times New Roman" w:hAnsi="Times New Roman" w:cs="Times New Roman"/>
          <w:sz w:val="24"/>
          <w:szCs w:val="24"/>
        </w:rPr>
        <w:t xml:space="preserve">While it is unavoidable that the company would have paid for expenses such as rent, </w:t>
      </w:r>
      <w:r w:rsidR="00EB13B3">
        <w:rPr>
          <w:rFonts w:ascii="Times New Roman" w:hAnsi="Times New Roman" w:cs="Times New Roman"/>
          <w:sz w:val="24"/>
          <w:szCs w:val="24"/>
        </w:rPr>
        <w:t xml:space="preserve">the use of financial analysis would have enabled the management to make appropriate decisions. </w:t>
      </w:r>
    </w:p>
    <w:p w14:paraId="7FF74987" w14:textId="77777777" w:rsidR="00B60A25" w:rsidRPr="008753C3" w:rsidRDefault="000B67C6" w:rsidP="007C7C37">
      <w:pPr>
        <w:spacing w:line="480" w:lineRule="auto"/>
        <w:jc w:val="both"/>
        <w:rPr>
          <w:rFonts w:ascii="Times New Roman" w:hAnsi="Times New Roman" w:cs="Times New Roman"/>
          <w:b/>
          <w:sz w:val="24"/>
          <w:szCs w:val="24"/>
        </w:rPr>
      </w:pPr>
      <w:r w:rsidRPr="008753C3">
        <w:rPr>
          <w:rFonts w:ascii="Times New Roman" w:hAnsi="Times New Roman" w:cs="Times New Roman"/>
          <w:b/>
          <w:sz w:val="24"/>
          <w:szCs w:val="24"/>
        </w:rPr>
        <w:t>Importance of Ratio Analysis</w:t>
      </w:r>
    </w:p>
    <w:p w14:paraId="4CCCC0FE" w14:textId="77777777" w:rsidR="00B60A25"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D84E03">
        <w:rPr>
          <w:rFonts w:ascii="Times New Roman" w:hAnsi="Times New Roman" w:cs="Times New Roman"/>
          <w:color w:val="222222"/>
          <w:sz w:val="24"/>
          <w:szCs w:val="24"/>
          <w:shd w:val="clear" w:color="auto" w:fill="FFFFFF"/>
        </w:rPr>
        <w:t>Hasanaj</w:t>
      </w:r>
      <w:r>
        <w:rPr>
          <w:rFonts w:ascii="Times New Roman" w:hAnsi="Times New Roman" w:cs="Times New Roman"/>
          <w:color w:val="222222"/>
          <w:sz w:val="24"/>
          <w:szCs w:val="24"/>
          <w:shd w:val="clear" w:color="auto" w:fill="FFFFFF"/>
        </w:rPr>
        <w:t xml:space="preserve"> and Kuqi</w:t>
      </w:r>
      <w:r w:rsidR="00AF2F5F">
        <w:rPr>
          <w:rFonts w:ascii="Times New Roman" w:hAnsi="Times New Roman" w:cs="Times New Roman"/>
          <w:sz w:val="24"/>
          <w:szCs w:val="24"/>
        </w:rPr>
        <w:t xml:space="preserve"> </w:t>
      </w:r>
      <w:r w:rsidR="00E6606F">
        <w:rPr>
          <w:rFonts w:ascii="Times New Roman" w:hAnsi="Times New Roman" w:cs="Times New Roman"/>
          <w:sz w:val="24"/>
          <w:szCs w:val="24"/>
        </w:rPr>
        <w:t>(</w:t>
      </w:r>
      <w:r>
        <w:rPr>
          <w:rFonts w:ascii="Times New Roman" w:hAnsi="Times New Roman" w:cs="Times New Roman"/>
          <w:sz w:val="24"/>
          <w:szCs w:val="24"/>
        </w:rPr>
        <w:t>17</w:t>
      </w:r>
      <w:r w:rsidR="00E6606F">
        <w:rPr>
          <w:rFonts w:ascii="Times New Roman" w:hAnsi="Times New Roman" w:cs="Times New Roman"/>
          <w:sz w:val="24"/>
          <w:szCs w:val="24"/>
        </w:rPr>
        <w:t xml:space="preserve">), ratio analysis assists investors and business owners in understanding the financial health of a firm and its performance over a period of time. </w:t>
      </w:r>
      <w:r w:rsidR="00513AF3">
        <w:rPr>
          <w:rFonts w:ascii="Times New Roman" w:hAnsi="Times New Roman" w:cs="Times New Roman"/>
          <w:sz w:val="24"/>
          <w:szCs w:val="24"/>
        </w:rPr>
        <w:t>The analysis assists in comparing the performance over different periods, whi</w:t>
      </w:r>
      <w:r w:rsidR="00BE13AC">
        <w:rPr>
          <w:rFonts w:ascii="Times New Roman" w:hAnsi="Times New Roman" w:cs="Times New Roman"/>
          <w:sz w:val="24"/>
          <w:szCs w:val="24"/>
        </w:rPr>
        <w:t>ch makes it easier for the management</w:t>
      </w:r>
      <w:r w:rsidR="00513AF3">
        <w:rPr>
          <w:rFonts w:ascii="Times New Roman" w:hAnsi="Times New Roman" w:cs="Times New Roman"/>
          <w:sz w:val="24"/>
          <w:szCs w:val="24"/>
        </w:rPr>
        <w:t xml:space="preserve"> to make decisions. </w:t>
      </w:r>
      <w:r w:rsidRPr="00D84E03">
        <w:rPr>
          <w:rFonts w:ascii="Times New Roman" w:hAnsi="Times New Roman" w:cs="Times New Roman"/>
          <w:color w:val="222222"/>
          <w:sz w:val="24"/>
          <w:szCs w:val="24"/>
          <w:shd w:val="clear" w:color="auto" w:fill="FFFFFF"/>
        </w:rPr>
        <w:t>Hasanaj</w:t>
      </w:r>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kuqi</w:t>
      </w:r>
      <w:proofErr w:type="spellEnd"/>
      <w:r w:rsidR="00AF2F5F">
        <w:rPr>
          <w:rFonts w:ascii="Times New Roman" w:hAnsi="Times New Roman" w:cs="Times New Roman"/>
          <w:sz w:val="24"/>
          <w:szCs w:val="24"/>
        </w:rPr>
        <w:t xml:space="preserve"> </w:t>
      </w:r>
      <w:r w:rsidR="00BE13AC">
        <w:rPr>
          <w:rFonts w:ascii="Times New Roman" w:hAnsi="Times New Roman" w:cs="Times New Roman"/>
          <w:sz w:val="24"/>
          <w:szCs w:val="24"/>
        </w:rPr>
        <w:t>(</w:t>
      </w:r>
      <w:r>
        <w:rPr>
          <w:rFonts w:ascii="Times New Roman" w:hAnsi="Times New Roman" w:cs="Times New Roman"/>
          <w:sz w:val="24"/>
          <w:szCs w:val="24"/>
        </w:rPr>
        <w:t>17</w:t>
      </w:r>
      <w:r w:rsidR="00BE13AC">
        <w:rPr>
          <w:rFonts w:ascii="Times New Roman" w:hAnsi="Times New Roman" w:cs="Times New Roman"/>
          <w:sz w:val="24"/>
          <w:szCs w:val="24"/>
        </w:rPr>
        <w:t xml:space="preserve">) further observe that the ratios calculated during the analysis can be used in planning and forecasting the future. </w:t>
      </w:r>
      <w:r w:rsidR="004E55A8">
        <w:rPr>
          <w:rFonts w:ascii="Times New Roman" w:hAnsi="Times New Roman" w:cs="Times New Roman"/>
          <w:sz w:val="24"/>
          <w:szCs w:val="24"/>
        </w:rPr>
        <w:t xml:space="preserve">For instance, using past data on profitability or liquidity ratios, it is possible for analysts to forecast the possible profits that a company is likely to make in the future. </w:t>
      </w:r>
    </w:p>
    <w:p w14:paraId="6614C157" w14:textId="77777777" w:rsidR="00963573"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One of the main benefits or importance of ratio analysis is that the ratios describe the ratios could be used to describe efficiency or the ability of an organization to make profits (</w:t>
      </w:r>
      <w:r w:rsidR="000C2981">
        <w:rPr>
          <w:rFonts w:ascii="Times New Roman" w:hAnsi="Times New Roman" w:cs="Times New Roman"/>
          <w:sz w:val="24"/>
          <w:szCs w:val="24"/>
        </w:rPr>
        <w:t>Palepu et al.</w:t>
      </w:r>
      <w:r>
        <w:rPr>
          <w:rFonts w:ascii="Times New Roman" w:hAnsi="Times New Roman" w:cs="Times New Roman"/>
          <w:sz w:val="24"/>
          <w:szCs w:val="24"/>
        </w:rPr>
        <w:t xml:space="preserve">). </w:t>
      </w:r>
      <w:r w:rsidR="006F605A">
        <w:rPr>
          <w:rFonts w:ascii="Times New Roman" w:hAnsi="Times New Roman" w:cs="Times New Roman"/>
          <w:sz w:val="24"/>
          <w:szCs w:val="24"/>
        </w:rPr>
        <w:t xml:space="preserve">The above is evident through the efficiency ratios, which measure the capability of a firm to generate returns. </w:t>
      </w:r>
      <w:r w:rsidR="00DD0F2D">
        <w:rPr>
          <w:rFonts w:ascii="Times New Roman" w:hAnsi="Times New Roman" w:cs="Times New Roman"/>
          <w:sz w:val="24"/>
          <w:szCs w:val="24"/>
        </w:rPr>
        <w:t xml:space="preserve">An example of such a ratio would be the return on assets ratio. </w:t>
      </w:r>
    </w:p>
    <w:p w14:paraId="454A041E"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Return on Assets = Net Income ÷ Total Assets</w:t>
      </w:r>
    </w:p>
    <w:p w14:paraId="438CC0C0"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 881,000 ÷ 14,957,000 (2019)</w:t>
      </w:r>
    </w:p>
    <w:p w14:paraId="09CB5507"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0.06</w:t>
      </w:r>
    </w:p>
    <w:p w14:paraId="5889A7C3"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Return on Assets = Net Income ÷ Total Assets</w:t>
      </w:r>
    </w:p>
    <w:p w14:paraId="33F5C2DA"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(715,000) ÷ 16,755,000 (2020)</w:t>
      </w:r>
    </w:p>
    <w:p w14:paraId="7640E4F5" w14:textId="77777777" w:rsidR="00D40E13"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(0.04)</w:t>
      </w:r>
    </w:p>
    <w:p w14:paraId="329C7AF3" w14:textId="77777777" w:rsidR="00462AAC"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calculations above show the efficiency of Hilton in making profits from its assets. </w:t>
      </w:r>
      <w:r w:rsidR="00A43B9E">
        <w:rPr>
          <w:rFonts w:ascii="Times New Roman" w:hAnsi="Times New Roman" w:cs="Times New Roman"/>
          <w:sz w:val="24"/>
          <w:szCs w:val="24"/>
        </w:rPr>
        <w:t xml:space="preserve">The results indicate that in 2019, Hilton's return on assets was at 6%, which dropped to -4% in 2020. </w:t>
      </w:r>
      <w:r w:rsidR="003278C7">
        <w:rPr>
          <w:rFonts w:ascii="Times New Roman" w:hAnsi="Times New Roman" w:cs="Times New Roman"/>
          <w:sz w:val="24"/>
          <w:szCs w:val="24"/>
        </w:rPr>
        <w:t xml:space="preserve">It means that in the year 2020, the company was unable to use its assets effectively to generate income. </w:t>
      </w:r>
      <w:r w:rsidR="00B86E3C">
        <w:rPr>
          <w:rFonts w:ascii="Times New Roman" w:hAnsi="Times New Roman" w:cs="Times New Roman"/>
          <w:sz w:val="24"/>
          <w:szCs w:val="24"/>
        </w:rPr>
        <w:t xml:space="preserve">At this point, there were more costs than the revenue generated. </w:t>
      </w:r>
      <w:r w:rsidR="00447AB2">
        <w:rPr>
          <w:rFonts w:ascii="Times New Roman" w:hAnsi="Times New Roman" w:cs="Times New Roman"/>
          <w:sz w:val="24"/>
          <w:szCs w:val="24"/>
        </w:rPr>
        <w:t xml:space="preserve">The ratios can be used as a basis for making decisions on how </w:t>
      </w:r>
      <w:r w:rsidR="00C25B9B">
        <w:rPr>
          <w:rFonts w:ascii="Times New Roman" w:hAnsi="Times New Roman" w:cs="Times New Roman"/>
          <w:sz w:val="24"/>
          <w:szCs w:val="24"/>
        </w:rPr>
        <w:t>t</w:t>
      </w:r>
      <w:r w:rsidR="00A176F5">
        <w:rPr>
          <w:rFonts w:ascii="Times New Roman" w:hAnsi="Times New Roman" w:cs="Times New Roman"/>
          <w:sz w:val="24"/>
          <w:szCs w:val="24"/>
        </w:rPr>
        <w:t>he efficiency of operations at Hilton</w:t>
      </w:r>
      <w:r w:rsidR="00C25B9B">
        <w:rPr>
          <w:rFonts w:ascii="Times New Roman" w:hAnsi="Times New Roman" w:cs="Times New Roman"/>
          <w:sz w:val="24"/>
          <w:szCs w:val="24"/>
        </w:rPr>
        <w:t xml:space="preserve"> could be improved. </w:t>
      </w:r>
      <w:r w:rsidR="00831866">
        <w:rPr>
          <w:rFonts w:ascii="Times New Roman" w:hAnsi="Times New Roman" w:cs="Times New Roman"/>
          <w:sz w:val="24"/>
          <w:szCs w:val="24"/>
        </w:rPr>
        <w:t xml:space="preserve">The ratios could also be used as a basis for comparing the performance of Hilton with other peers in the industry. </w:t>
      </w:r>
      <w:r w:rsidR="000364B1">
        <w:rPr>
          <w:rFonts w:ascii="Times New Roman" w:hAnsi="Times New Roman" w:cs="Times New Roman"/>
          <w:sz w:val="24"/>
          <w:szCs w:val="24"/>
        </w:rPr>
        <w:t xml:space="preserve">For instance, the return on assets for the main competitor, which is Marriott hotels was -1% in 2020, within an industry average of 1% (Macrotrends). </w:t>
      </w:r>
      <w:r w:rsidR="00256714">
        <w:rPr>
          <w:rFonts w:ascii="Times New Roman" w:hAnsi="Times New Roman" w:cs="Times New Roman"/>
          <w:sz w:val="24"/>
          <w:szCs w:val="24"/>
        </w:rPr>
        <w:t xml:space="preserve">The above is an indication that during the period, Hilton was lagging behind competitors and the industry in utilizing assets to make profits. </w:t>
      </w:r>
      <w:r w:rsidR="009312B4">
        <w:rPr>
          <w:rFonts w:ascii="Times New Roman" w:hAnsi="Times New Roman" w:cs="Times New Roman"/>
          <w:sz w:val="24"/>
          <w:szCs w:val="24"/>
        </w:rPr>
        <w:t xml:space="preserve">In this regard, it is the role of the management to take up decisions and actions that would improve the performance of the firm. </w:t>
      </w:r>
    </w:p>
    <w:p w14:paraId="38257E24" w14:textId="77777777" w:rsidR="004E55A8"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next importance o</w:t>
      </w:r>
      <w:r w:rsidR="00E37DFD">
        <w:rPr>
          <w:rFonts w:ascii="Times New Roman" w:hAnsi="Times New Roman" w:cs="Times New Roman"/>
          <w:sz w:val="24"/>
          <w:szCs w:val="24"/>
        </w:rPr>
        <w:t xml:space="preserve">f ratio analysis relates to its ability to measure the solvency and the liquidity of a business. </w:t>
      </w:r>
      <w:r w:rsidR="00435AD9">
        <w:rPr>
          <w:rFonts w:ascii="Times New Roman" w:hAnsi="Times New Roman" w:cs="Times New Roman"/>
          <w:sz w:val="24"/>
          <w:szCs w:val="24"/>
        </w:rPr>
        <w:t xml:space="preserve">One of the main kinds of ratios used is the solvency ratio. </w:t>
      </w:r>
      <w:r w:rsidR="001573ED">
        <w:rPr>
          <w:rFonts w:ascii="Times New Roman" w:hAnsi="Times New Roman" w:cs="Times New Roman"/>
          <w:sz w:val="24"/>
          <w:szCs w:val="24"/>
        </w:rPr>
        <w:t xml:space="preserve">According to </w:t>
      </w:r>
      <w:proofErr w:type="spellStart"/>
      <w:r w:rsidR="005C49BD" w:rsidRPr="008B73C6">
        <w:rPr>
          <w:rFonts w:ascii="Times New Roman" w:hAnsi="Times New Roman" w:cs="Times New Roman"/>
          <w:color w:val="222222"/>
          <w:sz w:val="24"/>
          <w:szCs w:val="24"/>
          <w:shd w:val="clear" w:color="auto" w:fill="FFFFFF"/>
        </w:rPr>
        <w:t>Osadchy</w:t>
      </w:r>
      <w:proofErr w:type="spellEnd"/>
      <w:r w:rsidR="005C49BD">
        <w:rPr>
          <w:rFonts w:ascii="Times New Roman" w:hAnsi="Times New Roman" w:cs="Times New Roman"/>
          <w:sz w:val="24"/>
          <w:szCs w:val="24"/>
        </w:rPr>
        <w:t xml:space="preserve"> et al. </w:t>
      </w:r>
      <w:r w:rsidR="001573ED">
        <w:rPr>
          <w:rFonts w:ascii="Times New Roman" w:hAnsi="Times New Roman" w:cs="Times New Roman"/>
          <w:sz w:val="24"/>
          <w:szCs w:val="24"/>
        </w:rPr>
        <w:t>(</w:t>
      </w:r>
      <w:r w:rsidR="005C49BD">
        <w:rPr>
          <w:rFonts w:ascii="Times New Roman" w:hAnsi="Times New Roman" w:cs="Times New Roman"/>
          <w:sz w:val="24"/>
          <w:szCs w:val="24"/>
        </w:rPr>
        <w:t>1</w:t>
      </w:r>
      <w:r w:rsidR="001573ED">
        <w:rPr>
          <w:rFonts w:ascii="Times New Roman" w:hAnsi="Times New Roman" w:cs="Times New Roman"/>
          <w:sz w:val="24"/>
          <w:szCs w:val="24"/>
        </w:rPr>
        <w:t xml:space="preserve">), the ratios show the ability of a business to meet its obligations. </w:t>
      </w:r>
      <w:r w:rsidR="004434AA">
        <w:rPr>
          <w:rFonts w:ascii="Times New Roman" w:hAnsi="Times New Roman" w:cs="Times New Roman"/>
          <w:sz w:val="24"/>
          <w:szCs w:val="24"/>
        </w:rPr>
        <w:t xml:space="preserve">For instance, </w:t>
      </w:r>
    </w:p>
    <w:p w14:paraId="1164F7F5"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Current Ratios = Current Assets ÷ Current Liabilities</w:t>
      </w:r>
    </w:p>
    <w:p w14:paraId="6989336A"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2,093,000 ÷ 2,871,000 (2019)</w:t>
      </w:r>
    </w:p>
    <w:p w14:paraId="4F86594D"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 0.73</w:t>
      </w:r>
    </w:p>
    <w:p w14:paraId="701CB91C"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Current Ratios = Current Assets ÷ Current Liabilities</w:t>
      </w:r>
    </w:p>
    <w:p w14:paraId="18F654B8"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4,202,000 ÷ 2,431,000 (2020)</w:t>
      </w:r>
    </w:p>
    <w:p w14:paraId="3D1CDFE6" w14:textId="77777777" w:rsidR="004434AA"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1.73</w:t>
      </w:r>
    </w:p>
    <w:p w14:paraId="17C65838" w14:textId="77777777" w:rsidR="004434AA"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2019, the current ratio for the company was 0.73, which increased to 1.73 in 2020. </w:t>
      </w:r>
      <w:r w:rsidR="005F1733">
        <w:rPr>
          <w:rFonts w:ascii="Times New Roman" w:hAnsi="Times New Roman" w:cs="Times New Roman"/>
          <w:sz w:val="24"/>
          <w:szCs w:val="24"/>
        </w:rPr>
        <w:t xml:space="preserve">It means that in 2020, the company lacked enough current assets to satisfy existing short-term liabilities. In situations when the company lacks adequate </w:t>
      </w:r>
      <w:r w:rsidR="00E67826">
        <w:rPr>
          <w:rFonts w:ascii="Times New Roman" w:hAnsi="Times New Roman" w:cs="Times New Roman"/>
          <w:sz w:val="24"/>
          <w:szCs w:val="24"/>
        </w:rPr>
        <w:t xml:space="preserve">liquidity, the management would have to make decisions on whether to use working capital to meet short-term obligations. </w:t>
      </w:r>
    </w:p>
    <w:p w14:paraId="2F3311C5" w14:textId="77777777" w:rsidR="004E55A8"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Ratio analysis also assists analysts and business managers in identifying th</w:t>
      </w:r>
      <w:r w:rsidR="00F55D2D">
        <w:rPr>
          <w:rFonts w:ascii="Times New Roman" w:hAnsi="Times New Roman" w:cs="Times New Roman"/>
          <w:sz w:val="24"/>
          <w:szCs w:val="24"/>
        </w:rPr>
        <w:t xml:space="preserve">e risks that the firm or </w:t>
      </w:r>
      <w:proofErr w:type="spellStart"/>
      <w:r w:rsidR="00F55D2D">
        <w:rPr>
          <w:rFonts w:ascii="Times New Roman" w:hAnsi="Times New Roman" w:cs="Times New Roman"/>
          <w:sz w:val="24"/>
          <w:szCs w:val="24"/>
        </w:rPr>
        <w:t>organis</w:t>
      </w:r>
      <w:r>
        <w:rPr>
          <w:rFonts w:ascii="Times New Roman" w:hAnsi="Times New Roman" w:cs="Times New Roman"/>
          <w:sz w:val="24"/>
          <w:szCs w:val="24"/>
        </w:rPr>
        <w:t>ation</w:t>
      </w:r>
      <w:proofErr w:type="spellEnd"/>
      <w:r>
        <w:rPr>
          <w:rFonts w:ascii="Times New Roman" w:hAnsi="Times New Roman" w:cs="Times New Roman"/>
          <w:sz w:val="24"/>
          <w:szCs w:val="24"/>
        </w:rPr>
        <w:t xml:space="preserve"> is involved. </w:t>
      </w:r>
      <w:r w:rsidR="004D5567">
        <w:rPr>
          <w:rFonts w:ascii="Times New Roman" w:hAnsi="Times New Roman" w:cs="Times New Roman"/>
          <w:sz w:val="24"/>
          <w:szCs w:val="24"/>
        </w:rPr>
        <w:t xml:space="preserve">Examples of such analysis are the leverage ratios which assist in determining the creditworthiness of a company. </w:t>
      </w:r>
      <w:r w:rsidR="00A70AE5">
        <w:rPr>
          <w:rFonts w:ascii="Times New Roman" w:hAnsi="Times New Roman" w:cs="Times New Roman"/>
          <w:sz w:val="24"/>
          <w:szCs w:val="24"/>
        </w:rPr>
        <w:t xml:space="preserve">For instance, it is possible to calculate the debt ratio and determine how it can be used to indicate the riskiness of the company. </w:t>
      </w:r>
    </w:p>
    <w:p w14:paraId="553D7999"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Debt Ratio = Current Liabilities ÷ Total Assets</w:t>
      </w:r>
    </w:p>
    <w:p w14:paraId="326EC3EA"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2,871,000 ÷ 14,957,000 (From Table 1 above</w:t>
      </w:r>
      <w:r w:rsidR="0064360E">
        <w:rPr>
          <w:rFonts w:ascii="Times New Roman" w:hAnsi="Times New Roman" w:cs="Times New Roman"/>
          <w:sz w:val="24"/>
          <w:szCs w:val="24"/>
        </w:rPr>
        <w:t>, 2019</w:t>
      </w:r>
      <w:r>
        <w:rPr>
          <w:rFonts w:ascii="Times New Roman" w:hAnsi="Times New Roman" w:cs="Times New Roman"/>
          <w:sz w:val="24"/>
          <w:szCs w:val="24"/>
        </w:rPr>
        <w:t>)</w:t>
      </w:r>
    </w:p>
    <w:p w14:paraId="5E5EBFF9"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0.19</w:t>
      </w:r>
    </w:p>
    <w:p w14:paraId="73F796BC"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Debt Ratio = Current Liabilities ÷ Total Assets</w:t>
      </w:r>
    </w:p>
    <w:p w14:paraId="7C5E9DFC"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2,431,000 ÷ 16,755,000 (From Table 1 above</w:t>
      </w:r>
      <w:r w:rsidR="0064360E">
        <w:rPr>
          <w:rFonts w:ascii="Times New Roman" w:hAnsi="Times New Roman" w:cs="Times New Roman"/>
          <w:sz w:val="24"/>
          <w:szCs w:val="24"/>
        </w:rPr>
        <w:t>, 2020</w:t>
      </w:r>
      <w:r>
        <w:rPr>
          <w:rFonts w:ascii="Times New Roman" w:hAnsi="Times New Roman" w:cs="Times New Roman"/>
          <w:sz w:val="24"/>
          <w:szCs w:val="24"/>
        </w:rPr>
        <w:t>)</w:t>
      </w:r>
    </w:p>
    <w:p w14:paraId="54DFB7C5" w14:textId="77777777" w:rsidR="00AF4875" w:rsidRDefault="000B67C6" w:rsidP="007C7C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 0.15</w:t>
      </w:r>
    </w:p>
    <w:p w14:paraId="2599D7B6" w14:textId="77777777" w:rsidR="00AF4875"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Based on the calculations above, Hilton had a debt ratio of 0.19 in 2019, which was reduced to 0.15 in 2020. </w:t>
      </w:r>
      <w:r w:rsidR="00FA74A7">
        <w:rPr>
          <w:rFonts w:ascii="Times New Roman" w:hAnsi="Times New Roman" w:cs="Times New Roman"/>
          <w:sz w:val="24"/>
          <w:szCs w:val="24"/>
        </w:rPr>
        <w:t xml:space="preserve">In both years, the company had a ratio of less than 20%, which implies </w:t>
      </w:r>
      <w:r w:rsidR="00FA74A7">
        <w:rPr>
          <w:rFonts w:ascii="Times New Roman" w:hAnsi="Times New Roman" w:cs="Times New Roman"/>
          <w:sz w:val="24"/>
          <w:szCs w:val="24"/>
        </w:rPr>
        <w:lastRenderedPageBreak/>
        <w:t xml:space="preserve">a greater equity contribution. </w:t>
      </w:r>
      <w:r w:rsidR="00786A10">
        <w:rPr>
          <w:rFonts w:ascii="Times New Roman" w:hAnsi="Times New Roman" w:cs="Times New Roman"/>
          <w:sz w:val="24"/>
          <w:szCs w:val="24"/>
        </w:rPr>
        <w:t xml:space="preserve">The above means that more of the company’s operations were financed by equity rather than debts. </w:t>
      </w:r>
      <w:r w:rsidR="00C57667">
        <w:rPr>
          <w:rFonts w:ascii="Times New Roman" w:hAnsi="Times New Roman" w:cs="Times New Roman"/>
          <w:sz w:val="24"/>
          <w:szCs w:val="24"/>
        </w:rPr>
        <w:t xml:space="preserve">The ratio could also be interpreted to mean that it would have been less risky investments in the company over the stated period. </w:t>
      </w:r>
    </w:p>
    <w:p w14:paraId="19F51E1D" w14:textId="77777777" w:rsidR="00963573"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discussed above, ratio analysis provides the management in different organizations with reliable information concerning the financial state of the company. </w:t>
      </w:r>
      <w:r w:rsidR="00257A1E">
        <w:rPr>
          <w:rFonts w:ascii="Times New Roman" w:hAnsi="Times New Roman" w:cs="Times New Roman"/>
          <w:sz w:val="24"/>
          <w:szCs w:val="24"/>
        </w:rPr>
        <w:t xml:space="preserve">According to </w:t>
      </w:r>
      <w:r w:rsidR="00AF2F5F">
        <w:rPr>
          <w:rFonts w:ascii="Times New Roman" w:hAnsi="Times New Roman" w:cs="Times New Roman"/>
          <w:sz w:val="24"/>
          <w:szCs w:val="24"/>
        </w:rPr>
        <w:t xml:space="preserve">Greenberg and </w:t>
      </w:r>
      <w:r w:rsidR="00AF2F5F" w:rsidRPr="003D31BA">
        <w:rPr>
          <w:rFonts w:ascii="Times New Roman" w:hAnsi="Times New Roman" w:cs="Times New Roman"/>
          <w:color w:val="222222"/>
          <w:sz w:val="24"/>
          <w:szCs w:val="20"/>
          <w:shd w:val="clear" w:color="auto" w:fill="FFFFFF"/>
        </w:rPr>
        <w:t>Hershfield</w:t>
      </w:r>
      <w:r w:rsidR="00AF2F5F">
        <w:rPr>
          <w:rFonts w:ascii="Times New Roman" w:hAnsi="Times New Roman" w:cs="Times New Roman"/>
          <w:sz w:val="24"/>
          <w:szCs w:val="24"/>
        </w:rPr>
        <w:t xml:space="preserve"> </w:t>
      </w:r>
      <w:r w:rsidR="00257A1E">
        <w:rPr>
          <w:rFonts w:ascii="Times New Roman" w:hAnsi="Times New Roman" w:cs="Times New Roman"/>
          <w:sz w:val="24"/>
          <w:szCs w:val="24"/>
        </w:rPr>
        <w:t>(</w:t>
      </w:r>
      <w:r w:rsidR="00AF2F5F">
        <w:rPr>
          <w:rFonts w:ascii="Times New Roman" w:hAnsi="Times New Roman" w:cs="Times New Roman"/>
          <w:sz w:val="24"/>
          <w:szCs w:val="24"/>
        </w:rPr>
        <w:t>19</w:t>
      </w:r>
      <w:r w:rsidR="00257A1E">
        <w:rPr>
          <w:rFonts w:ascii="Times New Roman" w:hAnsi="Times New Roman" w:cs="Times New Roman"/>
          <w:sz w:val="24"/>
          <w:szCs w:val="24"/>
        </w:rPr>
        <w:t xml:space="preserve">), the analyzed state could be positive or negative depending on the prevailing conditions. If the results of the ratio analysis indicate negative performance, the management would have to make decisions to have corrective actions to revert the situation. </w:t>
      </w:r>
      <w:r w:rsidR="003D4CFB">
        <w:rPr>
          <w:rFonts w:ascii="Times New Roman" w:hAnsi="Times New Roman" w:cs="Times New Roman"/>
          <w:sz w:val="24"/>
          <w:szCs w:val="24"/>
        </w:rPr>
        <w:t xml:space="preserve">Similarly, as described above, there are different kinds of ratios representing different facets of the organization. </w:t>
      </w:r>
      <w:r w:rsidR="00487956">
        <w:rPr>
          <w:rFonts w:ascii="Times New Roman" w:hAnsi="Times New Roman" w:cs="Times New Roman"/>
          <w:sz w:val="24"/>
          <w:szCs w:val="24"/>
        </w:rPr>
        <w:t xml:space="preserve">As a result of the above, </w:t>
      </w:r>
      <w:r w:rsidR="00052433">
        <w:rPr>
          <w:rFonts w:ascii="Times New Roman" w:hAnsi="Times New Roman" w:cs="Times New Roman"/>
          <w:color w:val="222222"/>
          <w:sz w:val="24"/>
          <w:szCs w:val="20"/>
          <w:shd w:val="clear" w:color="auto" w:fill="FFFFFF"/>
        </w:rPr>
        <w:t xml:space="preserve">Kadim, </w:t>
      </w:r>
      <w:proofErr w:type="spellStart"/>
      <w:r w:rsidR="00052433" w:rsidRPr="00D84E03">
        <w:rPr>
          <w:rFonts w:ascii="Times New Roman" w:hAnsi="Times New Roman" w:cs="Times New Roman"/>
          <w:color w:val="222222"/>
          <w:sz w:val="24"/>
          <w:szCs w:val="24"/>
          <w:shd w:val="clear" w:color="auto" w:fill="FFFFFF"/>
        </w:rPr>
        <w:t>Sunardi</w:t>
      </w:r>
      <w:proofErr w:type="spellEnd"/>
      <w:r w:rsidR="00052433">
        <w:rPr>
          <w:rFonts w:ascii="Times New Roman" w:hAnsi="Times New Roman" w:cs="Times New Roman"/>
          <w:sz w:val="24"/>
          <w:szCs w:val="24"/>
        </w:rPr>
        <w:t xml:space="preserve"> and Husain</w:t>
      </w:r>
      <w:r w:rsidR="00AF2F5F">
        <w:rPr>
          <w:rFonts w:ascii="Times New Roman" w:hAnsi="Times New Roman" w:cs="Times New Roman"/>
          <w:sz w:val="24"/>
          <w:szCs w:val="24"/>
        </w:rPr>
        <w:t xml:space="preserve"> </w:t>
      </w:r>
      <w:r w:rsidR="00487956">
        <w:rPr>
          <w:rFonts w:ascii="Times New Roman" w:hAnsi="Times New Roman" w:cs="Times New Roman"/>
          <w:sz w:val="24"/>
          <w:szCs w:val="24"/>
        </w:rPr>
        <w:t>(</w:t>
      </w:r>
      <w:r w:rsidR="00052433">
        <w:rPr>
          <w:rFonts w:ascii="Times New Roman" w:hAnsi="Times New Roman" w:cs="Times New Roman"/>
          <w:sz w:val="24"/>
          <w:szCs w:val="24"/>
        </w:rPr>
        <w:t>860</w:t>
      </w:r>
      <w:r w:rsidR="00487956">
        <w:rPr>
          <w:rFonts w:ascii="Times New Roman" w:hAnsi="Times New Roman" w:cs="Times New Roman"/>
          <w:sz w:val="24"/>
          <w:szCs w:val="24"/>
        </w:rPr>
        <w:t xml:space="preserve">) argue that business analysts and managers should not depend </w:t>
      </w:r>
      <w:r w:rsidR="0071122B">
        <w:rPr>
          <w:rFonts w:ascii="Times New Roman" w:hAnsi="Times New Roman" w:cs="Times New Roman"/>
          <w:sz w:val="24"/>
          <w:szCs w:val="24"/>
        </w:rPr>
        <w:t xml:space="preserve">on only one type of ratio. </w:t>
      </w:r>
      <w:r w:rsidR="00E46250">
        <w:rPr>
          <w:rFonts w:ascii="Times New Roman" w:hAnsi="Times New Roman" w:cs="Times New Roman"/>
          <w:sz w:val="24"/>
          <w:szCs w:val="24"/>
        </w:rPr>
        <w:t xml:space="preserve">While each type of ratio provides relevant information about the state of the business, combining different kinds of ratios enables the management within an organization such as Hilton to make decisions with a better understanding of the financial health of the business. </w:t>
      </w:r>
    </w:p>
    <w:p w14:paraId="6B90EC77" w14:textId="77777777" w:rsidR="007A0801" w:rsidRPr="008753C3" w:rsidRDefault="000B67C6" w:rsidP="007C7C37">
      <w:pPr>
        <w:spacing w:line="480" w:lineRule="auto"/>
        <w:jc w:val="both"/>
        <w:rPr>
          <w:rFonts w:ascii="Times New Roman" w:hAnsi="Times New Roman" w:cs="Times New Roman"/>
          <w:b/>
          <w:sz w:val="24"/>
          <w:szCs w:val="24"/>
        </w:rPr>
      </w:pPr>
      <w:r w:rsidRPr="008753C3">
        <w:rPr>
          <w:rFonts w:ascii="Times New Roman" w:hAnsi="Times New Roman" w:cs="Times New Roman"/>
          <w:b/>
          <w:sz w:val="24"/>
          <w:szCs w:val="24"/>
        </w:rPr>
        <w:t>Limitations of Ratio Analysis</w:t>
      </w:r>
    </w:p>
    <w:p w14:paraId="31CC7855" w14:textId="77777777" w:rsidR="007A0801"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the ratios described above have a significant impact on the performance of Hilton hotels, there are several limitations associated with the ratios. </w:t>
      </w:r>
      <w:r w:rsidR="00A16244">
        <w:rPr>
          <w:rFonts w:ascii="Times New Roman" w:hAnsi="Times New Roman" w:cs="Times New Roman"/>
          <w:sz w:val="24"/>
          <w:szCs w:val="24"/>
        </w:rPr>
        <w:t xml:space="preserve">Among them is that the information presented by these ratios is historical and does not necessarily show the future of the company. </w:t>
      </w:r>
      <w:r w:rsidR="00B14F4B">
        <w:rPr>
          <w:rFonts w:ascii="Times New Roman" w:hAnsi="Times New Roman" w:cs="Times New Roman"/>
          <w:sz w:val="24"/>
          <w:szCs w:val="24"/>
        </w:rPr>
        <w:t xml:space="preserve">As a result, </w:t>
      </w:r>
      <w:proofErr w:type="spellStart"/>
      <w:r w:rsidR="005917D0">
        <w:rPr>
          <w:rFonts w:ascii="Times New Roman" w:hAnsi="Times New Roman" w:cs="Times New Roman"/>
          <w:sz w:val="24"/>
          <w:szCs w:val="24"/>
        </w:rPr>
        <w:t>Ginting</w:t>
      </w:r>
      <w:proofErr w:type="spellEnd"/>
      <w:r w:rsidR="005917D0">
        <w:rPr>
          <w:rFonts w:ascii="Times New Roman" w:hAnsi="Times New Roman" w:cs="Times New Roman"/>
          <w:sz w:val="24"/>
          <w:szCs w:val="24"/>
        </w:rPr>
        <w:t xml:space="preserve"> </w:t>
      </w:r>
      <w:r w:rsidR="00B14F4B">
        <w:rPr>
          <w:rFonts w:ascii="Times New Roman" w:hAnsi="Times New Roman" w:cs="Times New Roman"/>
          <w:sz w:val="24"/>
          <w:szCs w:val="24"/>
        </w:rPr>
        <w:t>(</w:t>
      </w:r>
      <w:r w:rsidR="005917D0">
        <w:rPr>
          <w:rFonts w:ascii="Times New Roman" w:hAnsi="Times New Roman" w:cs="Times New Roman"/>
          <w:sz w:val="24"/>
          <w:szCs w:val="24"/>
        </w:rPr>
        <w:t>459</w:t>
      </w:r>
      <w:r w:rsidR="00B14F4B">
        <w:rPr>
          <w:rFonts w:ascii="Times New Roman" w:hAnsi="Times New Roman" w:cs="Times New Roman"/>
          <w:sz w:val="24"/>
          <w:szCs w:val="24"/>
        </w:rPr>
        <w:t xml:space="preserve">) argues that the information presented in the ratios does not necessarily present the real current status of the firm. </w:t>
      </w:r>
      <w:r w:rsidR="00727F9D">
        <w:rPr>
          <w:rFonts w:ascii="Times New Roman" w:hAnsi="Times New Roman" w:cs="Times New Roman"/>
          <w:sz w:val="24"/>
          <w:szCs w:val="24"/>
        </w:rPr>
        <w:t xml:space="preserve">For instance, the profitability ratios calculated above show that the company experienced huge losses in 2020. </w:t>
      </w:r>
      <w:r w:rsidR="000C677B">
        <w:rPr>
          <w:rFonts w:ascii="Times New Roman" w:hAnsi="Times New Roman" w:cs="Times New Roman"/>
          <w:sz w:val="24"/>
          <w:szCs w:val="24"/>
        </w:rPr>
        <w:t xml:space="preserve">While the situation has been brought about by the COVID-19 pandemic, it does not necessarily show the future state of the company, as Hilton hotels are bound to make changes to improve performance. </w:t>
      </w:r>
      <w:r w:rsidR="006D1DCA">
        <w:rPr>
          <w:rFonts w:ascii="Times New Roman" w:hAnsi="Times New Roman" w:cs="Times New Roman"/>
          <w:sz w:val="24"/>
          <w:szCs w:val="24"/>
        </w:rPr>
        <w:t xml:space="preserve">However, </w:t>
      </w:r>
      <w:r w:rsidR="006D1DCA">
        <w:rPr>
          <w:rFonts w:ascii="Times New Roman" w:hAnsi="Times New Roman" w:cs="Times New Roman"/>
          <w:sz w:val="24"/>
          <w:szCs w:val="24"/>
        </w:rPr>
        <w:lastRenderedPageBreak/>
        <w:t>it is important to note that while the ratios contain historical information, they provide essential details on the direction that the firm is likely to take if corrective action is no</w:t>
      </w:r>
      <w:r w:rsidR="005917D0">
        <w:rPr>
          <w:rFonts w:ascii="Times New Roman" w:hAnsi="Times New Roman" w:cs="Times New Roman"/>
          <w:sz w:val="24"/>
          <w:szCs w:val="24"/>
        </w:rPr>
        <w:t xml:space="preserve">t taken (Singh). </w:t>
      </w:r>
    </w:p>
    <w:p w14:paraId="0C312C53" w14:textId="77777777" w:rsidR="00087B3F" w:rsidRDefault="000B67C6" w:rsidP="007C7C37">
      <w:pPr>
        <w:spacing w:line="480" w:lineRule="auto"/>
        <w:ind w:firstLine="720"/>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The next limitation is inflation which affects the real prices of the products. </w:t>
      </w:r>
      <w:r w:rsidR="005614B1">
        <w:rPr>
          <w:rFonts w:ascii="Times New Roman" w:hAnsi="Times New Roman" w:cs="Times New Roman"/>
          <w:sz w:val="24"/>
          <w:szCs w:val="24"/>
        </w:rPr>
        <w:t xml:space="preserve">According to </w:t>
      </w:r>
      <w:proofErr w:type="spellStart"/>
      <w:r w:rsidR="005614B1" w:rsidRPr="007F6539">
        <w:rPr>
          <w:rFonts w:ascii="Times New Roman" w:hAnsi="Times New Roman" w:cs="Times New Roman"/>
          <w:color w:val="222222"/>
          <w:sz w:val="24"/>
          <w:szCs w:val="24"/>
          <w:shd w:val="clear" w:color="auto" w:fill="FFFFFF"/>
        </w:rPr>
        <w:t>Sheremirov</w:t>
      </w:r>
      <w:proofErr w:type="spellEnd"/>
      <w:r w:rsidR="005614B1">
        <w:rPr>
          <w:rFonts w:ascii="Times New Roman" w:hAnsi="Times New Roman" w:cs="Times New Roman"/>
          <w:color w:val="222222"/>
          <w:sz w:val="24"/>
          <w:szCs w:val="24"/>
          <w:shd w:val="clear" w:color="auto" w:fill="FFFFFF"/>
        </w:rPr>
        <w:t xml:space="preserve"> (63), it is possible for inflation to occur after financial statements have been released, meaning that the ratio analysis would not capture the real prices and status of the firm. </w:t>
      </w:r>
      <w:r w:rsidR="004F0D86">
        <w:rPr>
          <w:rFonts w:ascii="Times New Roman" w:hAnsi="Times New Roman" w:cs="Times New Roman"/>
          <w:color w:val="222222"/>
          <w:sz w:val="24"/>
          <w:szCs w:val="24"/>
          <w:shd w:val="clear" w:color="auto" w:fill="FFFFFF"/>
        </w:rPr>
        <w:t xml:space="preserve">For instance, based on Hilton's annual report, the financial statements for the year 2020 were released in March 2021, meaning that there was a gap period of three months which would have resulted in price level changes. </w:t>
      </w:r>
      <w:r w:rsidR="00053A99">
        <w:rPr>
          <w:rFonts w:ascii="Times New Roman" w:hAnsi="Times New Roman" w:cs="Times New Roman"/>
          <w:color w:val="222222"/>
          <w:sz w:val="24"/>
          <w:szCs w:val="24"/>
          <w:shd w:val="clear" w:color="auto" w:fill="FFFFFF"/>
        </w:rPr>
        <w:t>In such situations, the decisions made, especially in regard to sales and expenses, may not reflect</w:t>
      </w:r>
      <w:r w:rsidR="000479EE">
        <w:rPr>
          <w:rFonts w:ascii="Times New Roman" w:hAnsi="Times New Roman" w:cs="Times New Roman"/>
          <w:color w:val="222222"/>
          <w:sz w:val="24"/>
          <w:szCs w:val="24"/>
          <w:shd w:val="clear" w:color="auto" w:fill="FFFFFF"/>
        </w:rPr>
        <w:t xml:space="preserve"> the real financial situation. </w:t>
      </w:r>
    </w:p>
    <w:p w14:paraId="557E1EA7" w14:textId="77777777" w:rsidR="005917D0" w:rsidRDefault="000B67C6" w:rsidP="007C7C37">
      <w:pPr>
        <w:spacing w:line="480" w:lineRule="auto"/>
        <w:ind w:firstLine="720"/>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The third limitation relates to the la</w:t>
      </w:r>
      <w:r w:rsidR="00F55D2D">
        <w:rPr>
          <w:rFonts w:ascii="Times New Roman" w:hAnsi="Times New Roman" w:cs="Times New Roman"/>
          <w:color w:val="222222"/>
          <w:sz w:val="24"/>
          <w:szCs w:val="24"/>
          <w:shd w:val="clear" w:color="auto" w:fill="FFFFFF"/>
        </w:rPr>
        <w:t xml:space="preserve">ck of common standards in </w:t>
      </w:r>
      <w:proofErr w:type="spellStart"/>
      <w:r w:rsidR="00F55D2D">
        <w:rPr>
          <w:rFonts w:ascii="Times New Roman" w:hAnsi="Times New Roman" w:cs="Times New Roman"/>
          <w:color w:val="222222"/>
          <w:sz w:val="24"/>
          <w:szCs w:val="24"/>
          <w:shd w:val="clear" w:color="auto" w:fill="FFFFFF"/>
        </w:rPr>
        <w:t>analys</w:t>
      </w:r>
      <w:r>
        <w:rPr>
          <w:rFonts w:ascii="Times New Roman" w:hAnsi="Times New Roman" w:cs="Times New Roman"/>
          <w:color w:val="222222"/>
          <w:sz w:val="24"/>
          <w:szCs w:val="24"/>
          <w:shd w:val="clear" w:color="auto" w:fill="FFFFFF"/>
        </w:rPr>
        <w:t>ing</w:t>
      </w:r>
      <w:proofErr w:type="spellEnd"/>
      <w:r>
        <w:rPr>
          <w:rFonts w:ascii="Times New Roman" w:hAnsi="Times New Roman" w:cs="Times New Roman"/>
          <w:color w:val="222222"/>
          <w:sz w:val="24"/>
          <w:szCs w:val="24"/>
          <w:shd w:val="clear" w:color="auto" w:fill="FFFFFF"/>
        </w:rPr>
        <w:t xml:space="preserve"> financial ratios.</w:t>
      </w:r>
      <w:r w:rsidR="00D73085">
        <w:rPr>
          <w:rFonts w:ascii="Times New Roman" w:hAnsi="Times New Roman" w:cs="Times New Roman"/>
          <w:color w:val="222222"/>
          <w:sz w:val="24"/>
          <w:szCs w:val="24"/>
          <w:shd w:val="clear" w:color="auto" w:fill="FFFFFF"/>
        </w:rPr>
        <w:t xml:space="preserve"> </w:t>
      </w:r>
      <w:r w:rsidR="00D73085" w:rsidRPr="00BD0675">
        <w:rPr>
          <w:rFonts w:ascii="Times New Roman" w:hAnsi="Times New Roman" w:cs="Times New Roman"/>
          <w:color w:val="222222"/>
          <w:sz w:val="24"/>
          <w:szCs w:val="24"/>
          <w:shd w:val="clear" w:color="auto" w:fill="FFFFFF"/>
        </w:rPr>
        <w:t>Kliestik</w:t>
      </w:r>
      <w:r w:rsidR="00D73085">
        <w:rPr>
          <w:rFonts w:ascii="Times New Roman" w:hAnsi="Times New Roman" w:cs="Times New Roman"/>
          <w:color w:val="222222"/>
          <w:sz w:val="24"/>
          <w:szCs w:val="24"/>
          <w:shd w:val="clear" w:color="auto" w:fill="FFFFFF"/>
        </w:rPr>
        <w:t xml:space="preserve"> et al</w:t>
      </w:r>
      <w:r>
        <w:rPr>
          <w:rFonts w:ascii="Times New Roman" w:hAnsi="Times New Roman" w:cs="Times New Roman"/>
          <w:color w:val="222222"/>
          <w:sz w:val="24"/>
          <w:szCs w:val="24"/>
          <w:shd w:val="clear" w:color="auto" w:fill="FFFFFF"/>
        </w:rPr>
        <w:t xml:space="preserve">. </w:t>
      </w:r>
      <w:r w:rsidR="005D5E27">
        <w:rPr>
          <w:rFonts w:ascii="Times New Roman" w:hAnsi="Times New Roman" w:cs="Times New Roman"/>
          <w:color w:val="222222"/>
          <w:sz w:val="24"/>
          <w:szCs w:val="24"/>
          <w:shd w:val="clear" w:color="auto" w:fill="FFFFFF"/>
        </w:rPr>
        <w:t>(</w:t>
      </w:r>
      <w:r w:rsidR="00D73085">
        <w:rPr>
          <w:rFonts w:ascii="Times New Roman" w:hAnsi="Times New Roman" w:cs="Times New Roman"/>
          <w:color w:val="222222"/>
          <w:sz w:val="24"/>
          <w:szCs w:val="24"/>
          <w:shd w:val="clear" w:color="auto" w:fill="FFFFFF"/>
        </w:rPr>
        <w:t>74</w:t>
      </w:r>
      <w:r w:rsidR="00F55D2D">
        <w:rPr>
          <w:rFonts w:ascii="Times New Roman" w:hAnsi="Times New Roman" w:cs="Times New Roman"/>
          <w:color w:val="222222"/>
          <w:sz w:val="24"/>
          <w:szCs w:val="24"/>
          <w:shd w:val="clear" w:color="auto" w:fill="FFFFFF"/>
        </w:rPr>
        <w:t xml:space="preserve">) note that different </w:t>
      </w:r>
      <w:proofErr w:type="spellStart"/>
      <w:r w:rsidR="00F55D2D">
        <w:rPr>
          <w:rFonts w:ascii="Times New Roman" w:hAnsi="Times New Roman" w:cs="Times New Roman"/>
          <w:color w:val="222222"/>
          <w:sz w:val="24"/>
          <w:szCs w:val="24"/>
          <w:shd w:val="clear" w:color="auto" w:fill="FFFFFF"/>
        </w:rPr>
        <w:t>organis</w:t>
      </w:r>
      <w:r w:rsidR="005D5E27">
        <w:rPr>
          <w:rFonts w:ascii="Times New Roman" w:hAnsi="Times New Roman" w:cs="Times New Roman"/>
          <w:color w:val="222222"/>
          <w:sz w:val="24"/>
          <w:szCs w:val="24"/>
          <w:shd w:val="clear" w:color="auto" w:fill="FFFFFF"/>
        </w:rPr>
        <w:t>ations</w:t>
      </w:r>
      <w:proofErr w:type="spellEnd"/>
      <w:r w:rsidR="005D5E27">
        <w:rPr>
          <w:rFonts w:ascii="Times New Roman" w:hAnsi="Times New Roman" w:cs="Times New Roman"/>
          <w:color w:val="222222"/>
          <w:sz w:val="24"/>
          <w:szCs w:val="24"/>
          <w:shd w:val="clear" w:color="auto" w:fill="FFFFFF"/>
        </w:rPr>
        <w:t xml:space="preserve"> may use different methods of arriving at financial ratios, which may make it difficult to compare the performance across the companies. </w:t>
      </w:r>
      <w:proofErr w:type="spellStart"/>
      <w:r w:rsidR="00737F94" w:rsidRPr="00BD0675">
        <w:rPr>
          <w:rFonts w:ascii="Times New Roman" w:hAnsi="Times New Roman" w:cs="Times New Roman"/>
          <w:color w:val="222222"/>
          <w:sz w:val="24"/>
          <w:szCs w:val="24"/>
          <w:shd w:val="clear" w:color="auto" w:fill="FFFFFF"/>
        </w:rPr>
        <w:t>Fatihudin</w:t>
      </w:r>
      <w:proofErr w:type="spellEnd"/>
      <w:r w:rsidR="00737F94">
        <w:rPr>
          <w:rFonts w:ascii="Times New Roman" w:hAnsi="Times New Roman" w:cs="Times New Roman"/>
          <w:color w:val="222222"/>
          <w:sz w:val="24"/>
          <w:szCs w:val="24"/>
          <w:shd w:val="clear" w:color="auto" w:fill="FFFFFF"/>
        </w:rPr>
        <w:t xml:space="preserve"> (554) also finds that changes in accounting policies may also have an impact in comparing ratio analysis, especially in situations where the companies use different methodological approaches. </w:t>
      </w:r>
      <w:r w:rsidR="001C1F31">
        <w:rPr>
          <w:rFonts w:ascii="Times New Roman" w:hAnsi="Times New Roman" w:cs="Times New Roman"/>
          <w:color w:val="222222"/>
          <w:sz w:val="24"/>
          <w:szCs w:val="24"/>
          <w:shd w:val="clear" w:color="auto" w:fill="FFFFFF"/>
        </w:rPr>
        <w:t xml:space="preserve">Also, due to the lack of common policies and standards, it is possible that the management in some companies may manipulate financial statements to reflect a performance that is better than the actual financial status (Kliestik et al. 74). </w:t>
      </w:r>
      <w:r w:rsidR="00731CB7">
        <w:rPr>
          <w:rFonts w:ascii="Times New Roman" w:hAnsi="Times New Roman" w:cs="Times New Roman"/>
          <w:color w:val="222222"/>
          <w:sz w:val="24"/>
          <w:szCs w:val="24"/>
          <w:shd w:val="clear" w:color="auto" w:fill="FFFFFF"/>
        </w:rPr>
        <w:t xml:space="preserve">Such misrepresentation of financial analysis may result in the wrong decisions being made by the firm or its competitors. </w:t>
      </w:r>
      <w:r w:rsidR="00D27C43">
        <w:rPr>
          <w:rFonts w:ascii="Times New Roman" w:hAnsi="Times New Roman" w:cs="Times New Roman"/>
          <w:color w:val="222222"/>
          <w:sz w:val="24"/>
          <w:szCs w:val="24"/>
          <w:shd w:val="clear" w:color="auto" w:fill="FFFFFF"/>
        </w:rPr>
        <w:t xml:space="preserve">For instance, if the competitors of Hilton hotels provide unreal information, it is possible that the management at Hilton is likely to make inaccurate decisions as they pursue to reach the levels attained by the competitors. </w:t>
      </w:r>
    </w:p>
    <w:p w14:paraId="626AD6D7" w14:textId="77777777" w:rsidR="005917D0" w:rsidRDefault="000B67C6" w:rsidP="007C7C37">
      <w:pPr>
        <w:spacing w:line="480" w:lineRule="auto"/>
        <w:ind w:firstLine="720"/>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Despite the limitations described above, understanding the financial ratios and their fluctuations over time would be beneficial to the management at Hilton hotels, especially in </w:t>
      </w:r>
      <w:r>
        <w:rPr>
          <w:rFonts w:ascii="Times New Roman" w:hAnsi="Times New Roman" w:cs="Times New Roman"/>
          <w:sz w:val="24"/>
          <w:szCs w:val="24"/>
        </w:rPr>
        <w:lastRenderedPageBreak/>
        <w:t xml:space="preserve">making decisions that relate directly to their performance. </w:t>
      </w:r>
      <w:r w:rsidR="00C96D85">
        <w:rPr>
          <w:rFonts w:ascii="Times New Roman" w:hAnsi="Times New Roman" w:cs="Times New Roman"/>
          <w:sz w:val="24"/>
          <w:szCs w:val="24"/>
        </w:rPr>
        <w:t xml:space="preserve">In making the decisions, the management could also compare the ratios with their peers in the industry, which would be an indication of their relative strength. </w:t>
      </w:r>
      <w:r w:rsidR="00B44EAC">
        <w:rPr>
          <w:rFonts w:ascii="Times New Roman" w:hAnsi="Times New Roman" w:cs="Times New Roman"/>
          <w:sz w:val="24"/>
          <w:szCs w:val="24"/>
        </w:rPr>
        <w:t>However, critics argue that the ratios are not a means to end by themselves, as the successful application is based on the ability of the management to c</w:t>
      </w:r>
      <w:r w:rsidR="001C1F31">
        <w:rPr>
          <w:rFonts w:ascii="Times New Roman" w:hAnsi="Times New Roman" w:cs="Times New Roman"/>
          <w:sz w:val="24"/>
          <w:szCs w:val="24"/>
        </w:rPr>
        <w:t>orrectly interpret the analysis (</w:t>
      </w:r>
      <w:proofErr w:type="spellStart"/>
      <w:r w:rsidR="001C1F31">
        <w:rPr>
          <w:rFonts w:ascii="Times New Roman" w:hAnsi="Times New Roman" w:cs="Times New Roman"/>
          <w:sz w:val="24"/>
          <w:szCs w:val="24"/>
        </w:rPr>
        <w:t>Fatihudin</w:t>
      </w:r>
      <w:proofErr w:type="spellEnd"/>
      <w:r w:rsidR="001C1F31">
        <w:rPr>
          <w:rFonts w:ascii="Times New Roman" w:hAnsi="Times New Roman" w:cs="Times New Roman"/>
          <w:sz w:val="24"/>
          <w:szCs w:val="24"/>
        </w:rPr>
        <w:t xml:space="preserve">, 555). </w:t>
      </w:r>
      <w:r w:rsidR="001C73F6">
        <w:rPr>
          <w:rFonts w:ascii="Times New Roman" w:hAnsi="Times New Roman" w:cs="Times New Roman"/>
          <w:sz w:val="24"/>
          <w:szCs w:val="24"/>
        </w:rPr>
        <w:t xml:space="preserve">In contrast, </w:t>
      </w:r>
      <w:r w:rsidR="001C73F6" w:rsidRPr="00BD0675">
        <w:rPr>
          <w:rFonts w:ascii="Times New Roman" w:hAnsi="Times New Roman" w:cs="Times New Roman"/>
          <w:color w:val="222222"/>
          <w:sz w:val="24"/>
          <w:szCs w:val="24"/>
          <w:shd w:val="clear" w:color="auto" w:fill="FFFFFF"/>
        </w:rPr>
        <w:t>Kliestik</w:t>
      </w:r>
      <w:r w:rsidR="001C73F6">
        <w:rPr>
          <w:rFonts w:ascii="Times New Roman" w:hAnsi="Times New Roman" w:cs="Times New Roman"/>
          <w:color w:val="222222"/>
          <w:sz w:val="24"/>
          <w:szCs w:val="24"/>
          <w:shd w:val="clear" w:color="auto" w:fill="FFFFFF"/>
        </w:rPr>
        <w:t xml:space="preserve"> et al. (74) maintain that the ratios are easy to </w:t>
      </w:r>
      <w:r w:rsidR="000171EB">
        <w:rPr>
          <w:rFonts w:ascii="Times New Roman" w:hAnsi="Times New Roman" w:cs="Times New Roman"/>
          <w:color w:val="222222"/>
          <w:sz w:val="24"/>
          <w:szCs w:val="24"/>
          <w:shd w:val="clear" w:color="auto" w:fill="FFFFFF"/>
        </w:rPr>
        <w:t>analyze</w:t>
      </w:r>
      <w:r w:rsidR="001C73F6">
        <w:rPr>
          <w:rFonts w:ascii="Times New Roman" w:hAnsi="Times New Roman" w:cs="Times New Roman"/>
          <w:color w:val="222222"/>
          <w:sz w:val="24"/>
          <w:szCs w:val="24"/>
          <w:shd w:val="clear" w:color="auto" w:fill="FFFFFF"/>
        </w:rPr>
        <w:t>, especially when they show tren</w:t>
      </w:r>
      <w:r w:rsidR="000171EB">
        <w:rPr>
          <w:rFonts w:ascii="Times New Roman" w:hAnsi="Times New Roman" w:cs="Times New Roman"/>
          <w:color w:val="222222"/>
          <w:sz w:val="24"/>
          <w:szCs w:val="24"/>
          <w:shd w:val="clear" w:color="auto" w:fill="FFFFFF"/>
        </w:rPr>
        <w:t xml:space="preserve">ds in performance over time. The above makes it possible for the management to assess and implement the required changes. </w:t>
      </w:r>
    </w:p>
    <w:p w14:paraId="37C0DEB5" w14:textId="77777777" w:rsidR="00F47DAC" w:rsidRDefault="00F47DAC" w:rsidP="007C7C37">
      <w:pPr>
        <w:spacing w:line="480" w:lineRule="auto"/>
        <w:jc w:val="both"/>
        <w:rPr>
          <w:rFonts w:ascii="Times New Roman" w:hAnsi="Times New Roman" w:cs="Times New Roman"/>
          <w:color w:val="222222"/>
          <w:sz w:val="24"/>
          <w:szCs w:val="24"/>
          <w:shd w:val="clear" w:color="auto" w:fill="FFFFFF"/>
        </w:rPr>
      </w:pPr>
    </w:p>
    <w:p w14:paraId="7D2C8F1B" w14:textId="77777777" w:rsidR="00F47DAC" w:rsidRDefault="00D70395" w:rsidP="007C7C37">
      <w:pPr>
        <w:tabs>
          <w:tab w:val="left" w:pos="2010"/>
        </w:tabs>
        <w:spacing w:line="48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
    <w:p w14:paraId="317AF858" w14:textId="77777777" w:rsidR="00F47DAC" w:rsidRPr="00F47DAC" w:rsidRDefault="00F47DAC" w:rsidP="007C7C37">
      <w:pPr>
        <w:spacing w:line="480" w:lineRule="auto"/>
        <w:jc w:val="both"/>
        <w:rPr>
          <w:rFonts w:ascii="Times New Roman" w:hAnsi="Times New Roman" w:cs="Times New Roman"/>
          <w:b/>
          <w:color w:val="222222"/>
          <w:sz w:val="24"/>
          <w:szCs w:val="24"/>
          <w:shd w:val="clear" w:color="auto" w:fill="FFFFFF"/>
        </w:rPr>
      </w:pPr>
      <w:r w:rsidRPr="00F47DAC">
        <w:rPr>
          <w:rFonts w:ascii="Times New Roman" w:hAnsi="Times New Roman" w:cs="Times New Roman"/>
          <w:b/>
          <w:color w:val="222222"/>
          <w:sz w:val="24"/>
          <w:szCs w:val="24"/>
          <w:shd w:val="clear" w:color="auto" w:fill="FFFFFF"/>
        </w:rPr>
        <w:t>Works Cited</w:t>
      </w:r>
    </w:p>
    <w:p w14:paraId="5596136C"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5280A">
        <w:rPr>
          <w:rFonts w:ascii="Times New Roman" w:hAnsi="Times New Roman" w:cs="Times New Roman"/>
          <w:color w:val="222222"/>
          <w:sz w:val="24"/>
          <w:szCs w:val="24"/>
          <w:shd w:val="clear" w:color="auto" w:fill="FFFFFF"/>
        </w:rPr>
        <w:t>Faccia</w:t>
      </w:r>
      <w:proofErr w:type="spellEnd"/>
      <w:r w:rsidRPr="0055280A">
        <w:rPr>
          <w:rFonts w:ascii="Times New Roman" w:hAnsi="Times New Roman" w:cs="Times New Roman"/>
          <w:color w:val="222222"/>
          <w:sz w:val="24"/>
          <w:szCs w:val="24"/>
          <w:shd w:val="clear" w:color="auto" w:fill="FFFFFF"/>
        </w:rPr>
        <w:t>, Alessio, and Dominick Mosco. "Understanding the Nature of Accounts Using Comprehensive Tools to Understand Financial Statements." (2019).</w:t>
      </w:r>
    </w:p>
    <w:p w14:paraId="7973ECB3" w14:textId="77777777" w:rsidR="00F47DAC" w:rsidRPr="0055280A" w:rsidRDefault="00F47DAC" w:rsidP="007C7C37">
      <w:pPr>
        <w:spacing w:line="480" w:lineRule="auto"/>
        <w:ind w:left="720" w:hanging="720"/>
        <w:jc w:val="both"/>
        <w:rPr>
          <w:rFonts w:ascii="Times New Roman" w:hAnsi="Times New Roman" w:cs="Times New Roman"/>
          <w:sz w:val="24"/>
          <w:szCs w:val="24"/>
        </w:rPr>
      </w:pPr>
      <w:proofErr w:type="spellStart"/>
      <w:r w:rsidRPr="0055280A">
        <w:rPr>
          <w:rFonts w:ascii="Times New Roman" w:hAnsi="Times New Roman" w:cs="Times New Roman"/>
          <w:color w:val="222222"/>
          <w:sz w:val="24"/>
          <w:szCs w:val="24"/>
          <w:shd w:val="clear" w:color="auto" w:fill="FFFFFF"/>
        </w:rPr>
        <w:t>Fatihudin</w:t>
      </w:r>
      <w:proofErr w:type="spellEnd"/>
      <w:r w:rsidRPr="0055280A">
        <w:rPr>
          <w:rFonts w:ascii="Times New Roman" w:hAnsi="Times New Roman" w:cs="Times New Roman"/>
          <w:color w:val="222222"/>
          <w:sz w:val="24"/>
          <w:szCs w:val="24"/>
          <w:shd w:val="clear" w:color="auto" w:fill="FFFFFF"/>
        </w:rPr>
        <w:t xml:space="preserve">, </w:t>
      </w:r>
      <w:proofErr w:type="spellStart"/>
      <w:r w:rsidRPr="0055280A">
        <w:rPr>
          <w:rFonts w:ascii="Times New Roman" w:hAnsi="Times New Roman" w:cs="Times New Roman"/>
          <w:color w:val="222222"/>
          <w:sz w:val="24"/>
          <w:szCs w:val="24"/>
          <w:shd w:val="clear" w:color="auto" w:fill="FFFFFF"/>
        </w:rPr>
        <w:t>Didin</w:t>
      </w:r>
      <w:proofErr w:type="spellEnd"/>
      <w:r w:rsidRPr="0055280A">
        <w:rPr>
          <w:rFonts w:ascii="Times New Roman" w:hAnsi="Times New Roman" w:cs="Times New Roman"/>
          <w:color w:val="222222"/>
          <w:sz w:val="24"/>
          <w:szCs w:val="24"/>
          <w:shd w:val="clear" w:color="auto" w:fill="FFFFFF"/>
        </w:rPr>
        <w:t>. "How measuring financial performance." </w:t>
      </w:r>
      <w:r w:rsidRPr="0055280A">
        <w:rPr>
          <w:rFonts w:ascii="Times New Roman" w:hAnsi="Times New Roman" w:cs="Times New Roman"/>
          <w:i/>
          <w:iCs/>
          <w:color w:val="222222"/>
          <w:sz w:val="24"/>
          <w:szCs w:val="24"/>
          <w:shd w:val="clear" w:color="auto" w:fill="FFFFFF"/>
        </w:rPr>
        <w:t>International Journal of Civil Engineering and Technology (IJCIET)</w:t>
      </w:r>
      <w:r w:rsidRPr="0055280A">
        <w:rPr>
          <w:rFonts w:ascii="Times New Roman" w:hAnsi="Times New Roman" w:cs="Times New Roman"/>
          <w:color w:val="222222"/>
          <w:sz w:val="24"/>
          <w:szCs w:val="24"/>
          <w:shd w:val="clear" w:color="auto" w:fill="FFFFFF"/>
        </w:rPr>
        <w:t> 9.6 (2018): 553-557.</w:t>
      </w:r>
    </w:p>
    <w:p w14:paraId="6F4C8064"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5280A">
        <w:rPr>
          <w:rFonts w:ascii="Times New Roman" w:hAnsi="Times New Roman" w:cs="Times New Roman"/>
          <w:color w:val="222222"/>
          <w:sz w:val="24"/>
          <w:szCs w:val="24"/>
          <w:shd w:val="clear" w:color="auto" w:fill="FFFFFF"/>
        </w:rPr>
        <w:t>Ginting</w:t>
      </w:r>
      <w:proofErr w:type="spellEnd"/>
      <w:r w:rsidRPr="0055280A">
        <w:rPr>
          <w:rFonts w:ascii="Times New Roman" w:hAnsi="Times New Roman" w:cs="Times New Roman"/>
          <w:color w:val="222222"/>
          <w:sz w:val="24"/>
          <w:szCs w:val="24"/>
          <w:shd w:val="clear" w:color="auto" w:fill="FFFFFF"/>
        </w:rPr>
        <w:t xml:space="preserve">, Ella Silvana. "Ratio-Based Financial Performance Analysis of PT. Mustika Ratu, </w:t>
      </w:r>
      <w:proofErr w:type="spellStart"/>
      <w:r w:rsidRPr="0055280A">
        <w:rPr>
          <w:rFonts w:ascii="Times New Roman" w:hAnsi="Times New Roman" w:cs="Times New Roman"/>
          <w:color w:val="222222"/>
          <w:sz w:val="24"/>
          <w:szCs w:val="24"/>
          <w:shd w:val="clear" w:color="auto" w:fill="FFFFFF"/>
        </w:rPr>
        <w:t>Tbk</w:t>
      </w:r>
      <w:proofErr w:type="spellEnd"/>
      <w:r w:rsidRPr="0055280A">
        <w:rPr>
          <w:rFonts w:ascii="Times New Roman" w:hAnsi="Times New Roman" w:cs="Times New Roman"/>
          <w:color w:val="222222"/>
          <w:sz w:val="24"/>
          <w:szCs w:val="24"/>
          <w:shd w:val="clear" w:color="auto" w:fill="FFFFFF"/>
        </w:rPr>
        <w:t>." </w:t>
      </w:r>
      <w:r w:rsidRPr="0055280A">
        <w:rPr>
          <w:rFonts w:ascii="Times New Roman" w:hAnsi="Times New Roman" w:cs="Times New Roman"/>
          <w:i/>
          <w:iCs/>
          <w:color w:val="222222"/>
          <w:sz w:val="24"/>
          <w:szCs w:val="24"/>
          <w:shd w:val="clear" w:color="auto" w:fill="FFFFFF"/>
        </w:rPr>
        <w:t>Enrichment: Journal of Management</w:t>
      </w:r>
      <w:r w:rsidRPr="0055280A">
        <w:rPr>
          <w:rFonts w:ascii="Times New Roman" w:hAnsi="Times New Roman" w:cs="Times New Roman"/>
          <w:color w:val="222222"/>
          <w:sz w:val="24"/>
          <w:szCs w:val="24"/>
          <w:shd w:val="clear" w:color="auto" w:fill="FFFFFF"/>
        </w:rPr>
        <w:t> 11.2 (2021): 456-462.</w:t>
      </w:r>
    </w:p>
    <w:p w14:paraId="64E675C9"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Greenberg, Adam Eric, and Hal E. Hershfield. "Financial decision making." </w:t>
      </w:r>
      <w:r w:rsidRPr="0055280A">
        <w:rPr>
          <w:rFonts w:ascii="Times New Roman" w:hAnsi="Times New Roman" w:cs="Times New Roman"/>
          <w:i/>
          <w:iCs/>
          <w:color w:val="222222"/>
          <w:sz w:val="24"/>
          <w:szCs w:val="24"/>
          <w:shd w:val="clear" w:color="auto" w:fill="FFFFFF"/>
        </w:rPr>
        <w:t>Consumer Psychology Review</w:t>
      </w:r>
      <w:r w:rsidRPr="0055280A">
        <w:rPr>
          <w:rFonts w:ascii="Times New Roman" w:hAnsi="Times New Roman" w:cs="Times New Roman"/>
          <w:color w:val="222222"/>
          <w:sz w:val="24"/>
          <w:szCs w:val="24"/>
          <w:shd w:val="clear" w:color="auto" w:fill="FFFFFF"/>
        </w:rPr>
        <w:t> 2.1 (2019): 17-29.</w:t>
      </w:r>
    </w:p>
    <w:p w14:paraId="78418ACA"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Hasanaj, Petrit, and Beke Kuqi. "Analysis of financial statements." </w:t>
      </w:r>
      <w:r w:rsidRPr="0055280A">
        <w:rPr>
          <w:rFonts w:ascii="Times New Roman" w:hAnsi="Times New Roman" w:cs="Times New Roman"/>
          <w:i/>
          <w:iCs/>
          <w:color w:val="222222"/>
          <w:sz w:val="24"/>
          <w:szCs w:val="24"/>
          <w:shd w:val="clear" w:color="auto" w:fill="FFFFFF"/>
        </w:rPr>
        <w:t>Humanities and Social Science Research</w:t>
      </w:r>
      <w:r w:rsidRPr="0055280A">
        <w:rPr>
          <w:rFonts w:ascii="Times New Roman" w:hAnsi="Times New Roman" w:cs="Times New Roman"/>
          <w:color w:val="222222"/>
          <w:sz w:val="24"/>
          <w:szCs w:val="24"/>
          <w:shd w:val="clear" w:color="auto" w:fill="FFFFFF"/>
        </w:rPr>
        <w:t> 2.2 (2019): p17-p17.</w:t>
      </w:r>
    </w:p>
    <w:p w14:paraId="0576615F"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lastRenderedPageBreak/>
        <w:t xml:space="preserve">Hilton Worldwide Inc. “2019 Annual Report.” March, 2020. </w:t>
      </w:r>
      <w:hyperlink r:id="rId6" w:history="1">
        <w:r w:rsidRPr="0055280A">
          <w:rPr>
            <w:rStyle w:val="Hyperlink"/>
            <w:rFonts w:ascii="Times New Roman" w:hAnsi="Times New Roman" w:cs="Times New Roman"/>
            <w:sz w:val="24"/>
            <w:szCs w:val="24"/>
            <w:shd w:val="clear" w:color="auto" w:fill="FFFFFF"/>
          </w:rPr>
          <w:t>https://www.annualreports.com/HostedData/AnnualReportArchive/h/NYSE_HLT_2019.pdf</w:t>
        </w:r>
      </w:hyperlink>
      <w:r w:rsidRPr="0055280A">
        <w:rPr>
          <w:rFonts w:ascii="Times New Roman" w:hAnsi="Times New Roman" w:cs="Times New Roman"/>
          <w:color w:val="222222"/>
          <w:sz w:val="24"/>
          <w:szCs w:val="24"/>
          <w:shd w:val="clear" w:color="auto" w:fill="FFFFFF"/>
        </w:rPr>
        <w:t xml:space="preserve">  Accessed 23 May, 2022</w:t>
      </w:r>
    </w:p>
    <w:p w14:paraId="298221E6"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 xml:space="preserve">Hilton Worldwide Inc. “2020 Annual Report.” March, 2021. </w:t>
      </w:r>
      <w:hyperlink r:id="rId7" w:history="1">
        <w:r w:rsidRPr="0055280A">
          <w:rPr>
            <w:rStyle w:val="Hyperlink"/>
            <w:rFonts w:ascii="Times New Roman" w:hAnsi="Times New Roman" w:cs="Times New Roman"/>
            <w:sz w:val="24"/>
            <w:szCs w:val="24"/>
            <w:shd w:val="clear" w:color="auto" w:fill="FFFFFF"/>
          </w:rPr>
          <w:t>https://s27.q4cdn.com/757306400/files/doc_financials/2020/ar/2020-Annual-Report.pdf</w:t>
        </w:r>
      </w:hyperlink>
      <w:r w:rsidRPr="0055280A">
        <w:rPr>
          <w:rFonts w:ascii="Times New Roman" w:hAnsi="Times New Roman" w:cs="Times New Roman"/>
          <w:color w:val="222222"/>
          <w:sz w:val="24"/>
          <w:szCs w:val="24"/>
          <w:shd w:val="clear" w:color="auto" w:fill="FFFFFF"/>
        </w:rPr>
        <w:t xml:space="preserve">  Accessed 23 May, 2022</w:t>
      </w:r>
    </w:p>
    <w:p w14:paraId="005B4ABA"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 xml:space="preserve">Kadim, A., Nardi </w:t>
      </w:r>
      <w:proofErr w:type="spellStart"/>
      <w:r w:rsidRPr="0055280A">
        <w:rPr>
          <w:rFonts w:ascii="Times New Roman" w:hAnsi="Times New Roman" w:cs="Times New Roman"/>
          <w:color w:val="222222"/>
          <w:sz w:val="24"/>
          <w:szCs w:val="24"/>
          <w:shd w:val="clear" w:color="auto" w:fill="FFFFFF"/>
        </w:rPr>
        <w:t>Sunardi</w:t>
      </w:r>
      <w:proofErr w:type="spellEnd"/>
      <w:r w:rsidRPr="0055280A">
        <w:rPr>
          <w:rFonts w:ascii="Times New Roman" w:hAnsi="Times New Roman" w:cs="Times New Roman"/>
          <w:color w:val="222222"/>
          <w:sz w:val="24"/>
          <w:szCs w:val="24"/>
          <w:shd w:val="clear" w:color="auto" w:fill="FFFFFF"/>
        </w:rPr>
        <w:t>, and T. Husain. "The modeling firm's value based on financial ratios, intellectual capital and dividend policy." </w:t>
      </w:r>
      <w:r w:rsidRPr="0055280A">
        <w:rPr>
          <w:rFonts w:ascii="Times New Roman" w:hAnsi="Times New Roman" w:cs="Times New Roman"/>
          <w:i/>
          <w:iCs/>
          <w:color w:val="222222"/>
          <w:sz w:val="24"/>
          <w:szCs w:val="24"/>
          <w:shd w:val="clear" w:color="auto" w:fill="FFFFFF"/>
        </w:rPr>
        <w:t>Accounting</w:t>
      </w:r>
      <w:r w:rsidRPr="0055280A">
        <w:rPr>
          <w:rFonts w:ascii="Times New Roman" w:hAnsi="Times New Roman" w:cs="Times New Roman"/>
          <w:color w:val="222222"/>
          <w:sz w:val="24"/>
          <w:szCs w:val="24"/>
          <w:shd w:val="clear" w:color="auto" w:fill="FFFFFF"/>
        </w:rPr>
        <w:t> 6.5 (2020): 859-870.</w:t>
      </w:r>
    </w:p>
    <w:p w14:paraId="494E70B3"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Kliestik, Tomas, et al. "Remaining financially healthy and competitive: The role of financial predictors." </w:t>
      </w:r>
      <w:r w:rsidRPr="0055280A">
        <w:rPr>
          <w:rFonts w:ascii="Times New Roman" w:hAnsi="Times New Roman" w:cs="Times New Roman"/>
          <w:i/>
          <w:iCs/>
          <w:color w:val="222222"/>
          <w:sz w:val="24"/>
          <w:szCs w:val="24"/>
          <w:shd w:val="clear" w:color="auto" w:fill="FFFFFF"/>
        </w:rPr>
        <w:t>Journal of Competitiveness</w:t>
      </w:r>
      <w:r w:rsidRPr="0055280A">
        <w:rPr>
          <w:rFonts w:ascii="Times New Roman" w:hAnsi="Times New Roman" w:cs="Times New Roman"/>
          <w:color w:val="222222"/>
          <w:sz w:val="24"/>
          <w:szCs w:val="24"/>
          <w:shd w:val="clear" w:color="auto" w:fill="FFFFFF"/>
        </w:rPr>
        <w:t> 12.1 (2020): 74.</w:t>
      </w:r>
    </w:p>
    <w:p w14:paraId="61466688"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 xml:space="preserve">Macrotrends. “Marriott Financial Ratios for Analysis 2009-2022.” 2022. </w:t>
      </w:r>
      <w:hyperlink r:id="rId8" w:history="1">
        <w:r w:rsidRPr="0055280A">
          <w:rPr>
            <w:rStyle w:val="Hyperlink"/>
            <w:rFonts w:ascii="Times New Roman" w:hAnsi="Times New Roman" w:cs="Times New Roman"/>
            <w:sz w:val="24"/>
            <w:szCs w:val="24"/>
            <w:shd w:val="clear" w:color="auto" w:fill="FFFFFF"/>
          </w:rPr>
          <w:t>https://www.macrotrends.net/stocks/charts/MAR/marriott/financial-ratios</w:t>
        </w:r>
      </w:hyperlink>
      <w:r w:rsidRPr="0055280A">
        <w:rPr>
          <w:rFonts w:ascii="Times New Roman" w:hAnsi="Times New Roman" w:cs="Times New Roman"/>
          <w:color w:val="222222"/>
          <w:sz w:val="24"/>
          <w:szCs w:val="24"/>
          <w:shd w:val="clear" w:color="auto" w:fill="FFFFFF"/>
        </w:rPr>
        <w:t xml:space="preserve"> Accessed 22 May, 2022</w:t>
      </w:r>
    </w:p>
    <w:p w14:paraId="64D86006"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5280A">
        <w:rPr>
          <w:rFonts w:ascii="Times New Roman" w:hAnsi="Times New Roman" w:cs="Times New Roman"/>
          <w:color w:val="222222"/>
          <w:sz w:val="24"/>
          <w:szCs w:val="24"/>
          <w:shd w:val="clear" w:color="auto" w:fill="FFFFFF"/>
        </w:rPr>
        <w:t>Ntounis</w:t>
      </w:r>
      <w:proofErr w:type="spellEnd"/>
      <w:r w:rsidRPr="0055280A">
        <w:rPr>
          <w:rFonts w:ascii="Times New Roman" w:hAnsi="Times New Roman" w:cs="Times New Roman"/>
          <w:color w:val="222222"/>
          <w:sz w:val="24"/>
          <w:szCs w:val="24"/>
          <w:shd w:val="clear" w:color="auto" w:fill="FFFFFF"/>
        </w:rPr>
        <w:t>, Nikos, et al. "Tourism and Hospitality industry resilience during the Covid-19 pandemic: Evidence from England." </w:t>
      </w:r>
      <w:r w:rsidRPr="0055280A">
        <w:rPr>
          <w:rFonts w:ascii="Times New Roman" w:hAnsi="Times New Roman" w:cs="Times New Roman"/>
          <w:i/>
          <w:iCs/>
          <w:color w:val="222222"/>
          <w:sz w:val="24"/>
          <w:szCs w:val="24"/>
          <w:shd w:val="clear" w:color="auto" w:fill="FFFFFF"/>
        </w:rPr>
        <w:t>Current Issues in Tourism</w:t>
      </w:r>
      <w:r w:rsidRPr="0055280A">
        <w:rPr>
          <w:rFonts w:ascii="Times New Roman" w:hAnsi="Times New Roman" w:cs="Times New Roman"/>
          <w:color w:val="222222"/>
          <w:sz w:val="24"/>
          <w:szCs w:val="24"/>
          <w:shd w:val="clear" w:color="auto" w:fill="FFFFFF"/>
        </w:rPr>
        <w:t> 25.1 (2022): 46-59.</w:t>
      </w:r>
    </w:p>
    <w:p w14:paraId="5BE8A03E"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5280A">
        <w:rPr>
          <w:rFonts w:ascii="Times New Roman" w:hAnsi="Times New Roman" w:cs="Times New Roman"/>
          <w:color w:val="222222"/>
          <w:sz w:val="24"/>
          <w:szCs w:val="24"/>
          <w:shd w:val="clear" w:color="auto" w:fill="FFFFFF"/>
        </w:rPr>
        <w:t>Osadchy</w:t>
      </w:r>
      <w:proofErr w:type="spellEnd"/>
      <w:r w:rsidRPr="0055280A">
        <w:rPr>
          <w:rFonts w:ascii="Times New Roman" w:hAnsi="Times New Roman" w:cs="Times New Roman"/>
          <w:color w:val="222222"/>
          <w:sz w:val="24"/>
          <w:szCs w:val="24"/>
          <w:shd w:val="clear" w:color="auto" w:fill="FFFFFF"/>
        </w:rPr>
        <w:t>, E. A., et al. "Financial statements of a company as an information base for decision-making in a transforming economy." (2018).</w:t>
      </w:r>
    </w:p>
    <w:p w14:paraId="0658511B"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t>Palepu, Krishna G., et al. </w:t>
      </w:r>
      <w:r w:rsidRPr="0055280A">
        <w:rPr>
          <w:rFonts w:ascii="Times New Roman" w:hAnsi="Times New Roman" w:cs="Times New Roman"/>
          <w:i/>
          <w:iCs/>
          <w:color w:val="222222"/>
          <w:sz w:val="24"/>
          <w:szCs w:val="24"/>
          <w:shd w:val="clear" w:color="auto" w:fill="FFFFFF"/>
        </w:rPr>
        <w:t>Business analysis and valuation: Using financial statements</w:t>
      </w:r>
      <w:r w:rsidRPr="0055280A">
        <w:rPr>
          <w:rFonts w:ascii="Times New Roman" w:hAnsi="Times New Roman" w:cs="Times New Roman"/>
          <w:color w:val="222222"/>
          <w:sz w:val="24"/>
          <w:szCs w:val="24"/>
          <w:shd w:val="clear" w:color="auto" w:fill="FFFFFF"/>
        </w:rPr>
        <w:t>. Cengage AU, 2020.</w:t>
      </w:r>
    </w:p>
    <w:p w14:paraId="052C1F7A"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55280A">
        <w:rPr>
          <w:rFonts w:ascii="Times New Roman" w:hAnsi="Times New Roman" w:cs="Times New Roman"/>
          <w:color w:val="222222"/>
          <w:sz w:val="24"/>
          <w:szCs w:val="24"/>
          <w:shd w:val="clear" w:color="auto" w:fill="FFFFFF"/>
        </w:rPr>
        <w:t>Sheremirov</w:t>
      </w:r>
      <w:proofErr w:type="spellEnd"/>
      <w:r w:rsidRPr="0055280A">
        <w:rPr>
          <w:rFonts w:ascii="Times New Roman" w:hAnsi="Times New Roman" w:cs="Times New Roman"/>
          <w:color w:val="222222"/>
          <w:sz w:val="24"/>
          <w:szCs w:val="24"/>
          <w:shd w:val="clear" w:color="auto" w:fill="FFFFFF"/>
        </w:rPr>
        <w:t>, Viacheslav. "Price dispersion and inflation: New facts and theoretical implications." </w:t>
      </w:r>
      <w:r w:rsidRPr="0055280A">
        <w:rPr>
          <w:rFonts w:ascii="Times New Roman" w:hAnsi="Times New Roman" w:cs="Times New Roman"/>
          <w:i/>
          <w:iCs/>
          <w:color w:val="222222"/>
          <w:sz w:val="24"/>
          <w:szCs w:val="24"/>
          <w:shd w:val="clear" w:color="auto" w:fill="FFFFFF"/>
        </w:rPr>
        <w:t>Journal of Monetary Economics</w:t>
      </w:r>
      <w:r w:rsidRPr="0055280A">
        <w:rPr>
          <w:rFonts w:ascii="Times New Roman" w:hAnsi="Times New Roman" w:cs="Times New Roman"/>
          <w:color w:val="222222"/>
          <w:sz w:val="24"/>
          <w:szCs w:val="24"/>
          <w:shd w:val="clear" w:color="auto" w:fill="FFFFFF"/>
        </w:rPr>
        <w:t> 114 (2020): 59-70.</w:t>
      </w:r>
    </w:p>
    <w:p w14:paraId="08C0344F" w14:textId="77777777" w:rsidR="00F47DAC" w:rsidRPr="0055280A" w:rsidRDefault="00F47DAC" w:rsidP="007C7C37">
      <w:pPr>
        <w:spacing w:line="480" w:lineRule="auto"/>
        <w:ind w:left="720" w:hanging="720"/>
        <w:jc w:val="both"/>
        <w:rPr>
          <w:rFonts w:ascii="Times New Roman" w:hAnsi="Times New Roman" w:cs="Times New Roman"/>
          <w:color w:val="222222"/>
          <w:sz w:val="24"/>
          <w:szCs w:val="24"/>
          <w:shd w:val="clear" w:color="auto" w:fill="FFFFFF"/>
        </w:rPr>
      </w:pPr>
      <w:r w:rsidRPr="0055280A">
        <w:rPr>
          <w:rFonts w:ascii="Times New Roman" w:hAnsi="Times New Roman" w:cs="Times New Roman"/>
          <w:color w:val="222222"/>
          <w:sz w:val="24"/>
          <w:szCs w:val="24"/>
          <w:shd w:val="clear" w:color="auto" w:fill="FFFFFF"/>
        </w:rPr>
        <w:lastRenderedPageBreak/>
        <w:t xml:space="preserve">Singh, </w:t>
      </w:r>
      <w:proofErr w:type="spellStart"/>
      <w:r w:rsidRPr="0055280A">
        <w:rPr>
          <w:rFonts w:ascii="Times New Roman" w:hAnsi="Times New Roman" w:cs="Times New Roman"/>
          <w:color w:val="222222"/>
          <w:sz w:val="24"/>
          <w:szCs w:val="24"/>
          <w:shd w:val="clear" w:color="auto" w:fill="FFFFFF"/>
        </w:rPr>
        <w:t>Sanskiriti</w:t>
      </w:r>
      <w:proofErr w:type="spellEnd"/>
      <w:r w:rsidRPr="0055280A">
        <w:rPr>
          <w:rFonts w:ascii="Times New Roman" w:hAnsi="Times New Roman" w:cs="Times New Roman"/>
          <w:color w:val="222222"/>
          <w:sz w:val="24"/>
          <w:szCs w:val="24"/>
          <w:shd w:val="clear" w:color="auto" w:fill="FFFFFF"/>
        </w:rPr>
        <w:t xml:space="preserve">. “9 Major Limitations of Ratio Analysis.” Accounting Notes, Nov. 2021. </w:t>
      </w:r>
      <w:hyperlink r:id="rId9" w:history="1">
        <w:r w:rsidRPr="0055280A">
          <w:rPr>
            <w:rStyle w:val="Hyperlink"/>
            <w:rFonts w:ascii="Times New Roman" w:hAnsi="Times New Roman" w:cs="Times New Roman"/>
            <w:sz w:val="24"/>
            <w:szCs w:val="24"/>
            <w:shd w:val="clear" w:color="auto" w:fill="FFFFFF"/>
          </w:rPr>
          <w:t>https://www.accountingnotes.net/cost-accounting/ratio-analysis/9-major-limitations-of-ratio-analysis/6247</w:t>
        </w:r>
      </w:hyperlink>
      <w:r w:rsidRPr="0055280A">
        <w:rPr>
          <w:rFonts w:ascii="Times New Roman" w:hAnsi="Times New Roman" w:cs="Times New Roman"/>
          <w:color w:val="222222"/>
          <w:sz w:val="24"/>
          <w:szCs w:val="24"/>
          <w:shd w:val="clear" w:color="auto" w:fill="FFFFFF"/>
        </w:rPr>
        <w:t xml:space="preserve">  Accessed 22 May, 2022</w:t>
      </w:r>
    </w:p>
    <w:p w14:paraId="50A37BE3" w14:textId="77777777" w:rsidR="00F47DAC" w:rsidRPr="004F308C" w:rsidRDefault="00F47DAC" w:rsidP="007C7C37">
      <w:pPr>
        <w:spacing w:line="480" w:lineRule="auto"/>
        <w:rPr>
          <w:rFonts w:ascii="Times New Roman" w:hAnsi="Times New Roman" w:cs="Times New Roman"/>
          <w:sz w:val="24"/>
          <w:szCs w:val="24"/>
        </w:rPr>
      </w:pPr>
    </w:p>
    <w:sectPr w:rsidR="00F47DAC" w:rsidRPr="004F308C">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9C7AA" w14:textId="77777777" w:rsidR="00922954" w:rsidRDefault="00922954">
      <w:pPr>
        <w:spacing w:after="0" w:line="240" w:lineRule="auto"/>
      </w:pPr>
      <w:r>
        <w:separator/>
      </w:r>
    </w:p>
  </w:endnote>
  <w:endnote w:type="continuationSeparator" w:id="0">
    <w:p w14:paraId="2862F061" w14:textId="77777777" w:rsidR="00922954" w:rsidRDefault="00922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9727A" w14:textId="77777777" w:rsidR="00922954" w:rsidRDefault="00922954">
      <w:pPr>
        <w:spacing w:after="0" w:line="240" w:lineRule="auto"/>
      </w:pPr>
      <w:r>
        <w:separator/>
      </w:r>
    </w:p>
  </w:footnote>
  <w:footnote w:type="continuationSeparator" w:id="0">
    <w:p w14:paraId="51142258" w14:textId="77777777" w:rsidR="00922954" w:rsidRDefault="00922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819941"/>
      <w:docPartObj>
        <w:docPartGallery w:val="Page Numbers (Top of Page)"/>
        <w:docPartUnique/>
      </w:docPartObj>
    </w:sdtPr>
    <w:sdtEndPr>
      <w:rPr>
        <w:noProof/>
      </w:rPr>
    </w:sdtEndPr>
    <w:sdtContent>
      <w:p w14:paraId="1C2403A7" w14:textId="77777777" w:rsidR="008753C3" w:rsidRDefault="000B67C6">
        <w:pPr>
          <w:pStyle w:val="Header"/>
          <w:jc w:val="right"/>
        </w:pPr>
        <w:r>
          <w:rPr>
            <w:rFonts w:ascii="Times New Roman" w:hAnsi="Times New Roman" w:cs="Times New Roman"/>
            <w:sz w:val="24"/>
            <w:szCs w:val="24"/>
          </w:rPr>
          <w:t xml:space="preserve">Surname </w:t>
        </w:r>
        <w:r>
          <w:fldChar w:fldCharType="begin"/>
        </w:r>
        <w:r>
          <w:instrText xml:space="preserve"> PAGE   \* MERGEFORMAT </w:instrText>
        </w:r>
        <w:r>
          <w:fldChar w:fldCharType="separate"/>
        </w:r>
        <w:r w:rsidR="00D70395">
          <w:rPr>
            <w:noProof/>
          </w:rPr>
          <w:t>10</w:t>
        </w:r>
        <w:r>
          <w:rPr>
            <w:noProof/>
          </w:rPr>
          <w:fldChar w:fldCharType="end"/>
        </w:r>
      </w:p>
    </w:sdtContent>
  </w:sdt>
  <w:p w14:paraId="2CACD26B" w14:textId="77777777" w:rsidR="008753C3" w:rsidRDefault="008753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308C"/>
    <w:rsid w:val="00006016"/>
    <w:rsid w:val="000171EB"/>
    <w:rsid w:val="000364B1"/>
    <w:rsid w:val="000479EE"/>
    <w:rsid w:val="00052433"/>
    <w:rsid w:val="00053A99"/>
    <w:rsid w:val="00087B3F"/>
    <w:rsid w:val="000B67C6"/>
    <w:rsid w:val="000C2981"/>
    <w:rsid w:val="000C677B"/>
    <w:rsid w:val="000F107F"/>
    <w:rsid w:val="000F553D"/>
    <w:rsid w:val="0014478B"/>
    <w:rsid w:val="001573ED"/>
    <w:rsid w:val="001661F0"/>
    <w:rsid w:val="001C1F31"/>
    <w:rsid w:val="001C5758"/>
    <w:rsid w:val="001C73F6"/>
    <w:rsid w:val="001E1C66"/>
    <w:rsid w:val="002362DF"/>
    <w:rsid w:val="002372A6"/>
    <w:rsid w:val="0024514A"/>
    <w:rsid w:val="00256714"/>
    <w:rsid w:val="00257A1E"/>
    <w:rsid w:val="0026126D"/>
    <w:rsid w:val="0027223B"/>
    <w:rsid w:val="00287C49"/>
    <w:rsid w:val="002B05AF"/>
    <w:rsid w:val="002E34C3"/>
    <w:rsid w:val="003227EC"/>
    <w:rsid w:val="003278C7"/>
    <w:rsid w:val="003D31BA"/>
    <w:rsid w:val="003D4CFB"/>
    <w:rsid w:val="003D691A"/>
    <w:rsid w:val="00435AD9"/>
    <w:rsid w:val="004434AA"/>
    <w:rsid w:val="00447AB2"/>
    <w:rsid w:val="00462AAC"/>
    <w:rsid w:val="00487956"/>
    <w:rsid w:val="004D5567"/>
    <w:rsid w:val="004E55A8"/>
    <w:rsid w:val="004F0C3D"/>
    <w:rsid w:val="004F0D86"/>
    <w:rsid w:val="004F308C"/>
    <w:rsid w:val="00506613"/>
    <w:rsid w:val="00513AF3"/>
    <w:rsid w:val="0052727A"/>
    <w:rsid w:val="005614B1"/>
    <w:rsid w:val="00587882"/>
    <w:rsid w:val="005917D0"/>
    <w:rsid w:val="005C49BD"/>
    <w:rsid w:val="005C74D7"/>
    <w:rsid w:val="005D0E38"/>
    <w:rsid w:val="005D5E27"/>
    <w:rsid w:val="005F1733"/>
    <w:rsid w:val="0064360E"/>
    <w:rsid w:val="006D1DCA"/>
    <w:rsid w:val="006F605A"/>
    <w:rsid w:val="0071122B"/>
    <w:rsid w:val="00727F9D"/>
    <w:rsid w:val="00731CB7"/>
    <w:rsid w:val="00737F94"/>
    <w:rsid w:val="00786A10"/>
    <w:rsid w:val="00797FC5"/>
    <w:rsid w:val="007A0801"/>
    <w:rsid w:val="007C7C37"/>
    <w:rsid w:val="007F6539"/>
    <w:rsid w:val="00831866"/>
    <w:rsid w:val="008753C3"/>
    <w:rsid w:val="00880EB5"/>
    <w:rsid w:val="008A1C97"/>
    <w:rsid w:val="008A5ABF"/>
    <w:rsid w:val="008B73C6"/>
    <w:rsid w:val="008E4C93"/>
    <w:rsid w:val="00922954"/>
    <w:rsid w:val="009312B4"/>
    <w:rsid w:val="00963573"/>
    <w:rsid w:val="009A48C8"/>
    <w:rsid w:val="009D4E6E"/>
    <w:rsid w:val="009F1747"/>
    <w:rsid w:val="009F6D1C"/>
    <w:rsid w:val="00A16244"/>
    <w:rsid w:val="00A164FB"/>
    <w:rsid w:val="00A176F5"/>
    <w:rsid w:val="00A43B9E"/>
    <w:rsid w:val="00A70AE5"/>
    <w:rsid w:val="00AF2F5F"/>
    <w:rsid w:val="00AF4875"/>
    <w:rsid w:val="00B14F4B"/>
    <w:rsid w:val="00B44EAC"/>
    <w:rsid w:val="00B60A25"/>
    <w:rsid w:val="00B8153D"/>
    <w:rsid w:val="00B86E3C"/>
    <w:rsid w:val="00BD0675"/>
    <w:rsid w:val="00BE13AC"/>
    <w:rsid w:val="00C00841"/>
    <w:rsid w:val="00C25B9B"/>
    <w:rsid w:val="00C57667"/>
    <w:rsid w:val="00C96D85"/>
    <w:rsid w:val="00CD4979"/>
    <w:rsid w:val="00D17037"/>
    <w:rsid w:val="00D27C43"/>
    <w:rsid w:val="00D40E13"/>
    <w:rsid w:val="00D70395"/>
    <w:rsid w:val="00D73085"/>
    <w:rsid w:val="00D84E03"/>
    <w:rsid w:val="00DD0F2D"/>
    <w:rsid w:val="00E16D76"/>
    <w:rsid w:val="00E37DFD"/>
    <w:rsid w:val="00E46250"/>
    <w:rsid w:val="00E6606F"/>
    <w:rsid w:val="00E67826"/>
    <w:rsid w:val="00E84245"/>
    <w:rsid w:val="00E969ED"/>
    <w:rsid w:val="00EB13B3"/>
    <w:rsid w:val="00EB4B72"/>
    <w:rsid w:val="00F47DAC"/>
    <w:rsid w:val="00F55D2D"/>
    <w:rsid w:val="00FA7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4FDEB"/>
  <w15:docId w15:val="{D7DE7CFC-1EDF-4638-A8C8-20561417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7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53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3C3"/>
  </w:style>
  <w:style w:type="paragraph" w:styleId="Footer">
    <w:name w:val="footer"/>
    <w:basedOn w:val="Normal"/>
    <w:link w:val="FooterChar"/>
    <w:uiPriority w:val="99"/>
    <w:unhideWhenUsed/>
    <w:rsid w:val="008753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3C3"/>
  </w:style>
  <w:style w:type="character" w:styleId="Hyperlink">
    <w:name w:val="Hyperlink"/>
    <w:basedOn w:val="DefaultParagraphFont"/>
    <w:uiPriority w:val="99"/>
    <w:unhideWhenUsed/>
    <w:rsid w:val="00F47D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755711">
      <w:bodyDiv w:val="1"/>
      <w:marLeft w:val="0"/>
      <w:marRight w:val="0"/>
      <w:marTop w:val="0"/>
      <w:marBottom w:val="0"/>
      <w:divBdr>
        <w:top w:val="none" w:sz="0" w:space="0" w:color="auto"/>
        <w:left w:val="none" w:sz="0" w:space="0" w:color="auto"/>
        <w:bottom w:val="none" w:sz="0" w:space="0" w:color="auto"/>
        <w:right w:val="none" w:sz="0" w:space="0" w:color="auto"/>
      </w:divBdr>
    </w:div>
    <w:div w:id="14509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crotrends.net/stocks/charts/MAR/marriott/financial-ratios" TargetMode="External"/><Relationship Id="rId3" Type="http://schemas.openxmlformats.org/officeDocument/2006/relationships/webSettings" Target="webSettings.xml"/><Relationship Id="rId7" Type="http://schemas.openxmlformats.org/officeDocument/2006/relationships/hyperlink" Target="https://s27.q4cdn.com/757306400/files/doc_financials/2020/ar/2020-Annual-Report.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nnualreports.com/HostedData/AnnualReportArchive/h/NYSE_HLT_2019.pdf"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accountingnotes.net/cost-accounting/ratio-analysis/9-major-limitations-of-ratio-analysis/62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Stefan-Anghel Draghici (2018555)</cp:lastModifiedBy>
  <cp:revision>4</cp:revision>
  <dcterms:created xsi:type="dcterms:W3CDTF">2022-05-30T13:31:00Z</dcterms:created>
  <dcterms:modified xsi:type="dcterms:W3CDTF">2022-05-30T13:59:00Z</dcterms:modified>
</cp:coreProperties>
</file>