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8F1141" w14:textId="6A4BC7A7" w:rsidR="00055A53" w:rsidRDefault="00055A53" w:rsidP="00AA67D1">
      <w:pPr>
        <w:jc w:val="center"/>
        <w:rPr>
          <w:b/>
          <w:bCs/>
        </w:rPr>
      </w:pPr>
    </w:p>
    <w:p w14:paraId="78373FA9" w14:textId="77777777" w:rsidR="005D4EA6" w:rsidRPr="00C76E85" w:rsidRDefault="005D4EA6" w:rsidP="00AA67D1">
      <w:pPr>
        <w:jc w:val="center"/>
        <w:rPr>
          <w:b/>
          <w:bCs/>
        </w:rPr>
      </w:pPr>
    </w:p>
    <w:p w14:paraId="281CE220" w14:textId="77777777" w:rsidR="00055A53" w:rsidRPr="00C76E85" w:rsidRDefault="00055A53" w:rsidP="00AA67D1">
      <w:pPr>
        <w:jc w:val="center"/>
        <w:rPr>
          <w:b/>
          <w:bCs/>
        </w:rPr>
      </w:pPr>
    </w:p>
    <w:p w14:paraId="262F69AB" w14:textId="00605DC2" w:rsidR="00ED6321" w:rsidRPr="005D4EA6" w:rsidRDefault="00ED6321" w:rsidP="00ED6321">
      <w:pPr>
        <w:spacing w:before="0" w:after="0" w:line="240" w:lineRule="auto"/>
        <w:jc w:val="center"/>
        <w:rPr>
          <w:rFonts w:eastAsia="Times New Roman"/>
          <w:b/>
          <w:kern w:val="0"/>
          <w:sz w:val="44"/>
          <w:szCs w:val="44"/>
          <w:lang w:val="en-US" w:eastAsia="ru-RU"/>
          <w14:ligatures w14:val="none"/>
        </w:rPr>
      </w:pPr>
      <w:r w:rsidRPr="005D4EA6">
        <w:rPr>
          <w:rFonts w:eastAsia="Times New Roman"/>
          <w:b/>
          <w:kern w:val="0"/>
          <w:sz w:val="44"/>
          <w:szCs w:val="44"/>
          <w:lang w:val="en-US" w:eastAsia="ru-RU"/>
          <w14:ligatures w14:val="none"/>
        </w:rPr>
        <w:t>Assess</w:t>
      </w:r>
      <w:bookmarkStart w:id="0" w:name="_GoBack"/>
      <w:bookmarkEnd w:id="0"/>
      <w:r w:rsidRPr="005D4EA6">
        <w:rPr>
          <w:rFonts w:eastAsia="Times New Roman"/>
          <w:b/>
          <w:kern w:val="0"/>
          <w:sz w:val="44"/>
          <w:szCs w:val="44"/>
          <w:lang w:val="en-US" w:eastAsia="ru-RU"/>
          <w14:ligatures w14:val="none"/>
        </w:rPr>
        <w:t>ment 1</w:t>
      </w:r>
    </w:p>
    <w:p w14:paraId="0BF998C5" w14:textId="77777777" w:rsidR="00ED6321" w:rsidRPr="005D4EA6" w:rsidRDefault="00ED6321" w:rsidP="00ED6321">
      <w:pPr>
        <w:spacing w:before="0" w:after="0" w:line="240" w:lineRule="auto"/>
        <w:jc w:val="center"/>
        <w:rPr>
          <w:rFonts w:eastAsia="Times New Roman"/>
          <w:b/>
          <w:kern w:val="0"/>
          <w:sz w:val="44"/>
          <w:szCs w:val="44"/>
          <w:lang w:val="en-US" w:eastAsia="ru-RU"/>
          <w14:ligatures w14:val="none"/>
        </w:rPr>
      </w:pPr>
    </w:p>
    <w:p w14:paraId="03F5851D" w14:textId="6F9BB76D" w:rsidR="00ED6321" w:rsidRPr="005D4EA6" w:rsidRDefault="00ED6321" w:rsidP="00ED6321">
      <w:pPr>
        <w:spacing w:before="0" w:after="0" w:line="240" w:lineRule="auto"/>
        <w:jc w:val="center"/>
        <w:rPr>
          <w:rFonts w:eastAsia="Times New Roman"/>
          <w:b/>
          <w:kern w:val="0"/>
          <w:sz w:val="44"/>
          <w:szCs w:val="44"/>
          <w:lang w:val="en-US" w:eastAsia="ru-RU"/>
          <w14:ligatures w14:val="none"/>
        </w:rPr>
      </w:pPr>
      <w:r w:rsidRPr="005D4EA6">
        <w:rPr>
          <w:rFonts w:eastAsia="Times New Roman"/>
          <w:b/>
          <w:kern w:val="0"/>
          <w:sz w:val="44"/>
          <w:szCs w:val="44"/>
          <w:lang w:val="en-US" w:eastAsia="ru-RU"/>
          <w14:ligatures w14:val="none"/>
        </w:rPr>
        <w:t>International Financial Management</w:t>
      </w:r>
    </w:p>
    <w:p w14:paraId="62CB38F7" w14:textId="77777777" w:rsidR="00ED6321" w:rsidRPr="005D4EA6" w:rsidRDefault="00ED6321" w:rsidP="00ED6321">
      <w:pPr>
        <w:spacing w:before="0" w:after="0" w:line="240" w:lineRule="auto"/>
        <w:jc w:val="left"/>
        <w:rPr>
          <w:rFonts w:eastAsia="Times New Roman"/>
          <w:kern w:val="0"/>
          <w:lang w:val="en-US" w:eastAsia="ru-RU"/>
          <w14:ligatures w14:val="none"/>
        </w:rPr>
      </w:pPr>
    </w:p>
    <w:p w14:paraId="1FA56C5A" w14:textId="77777777" w:rsidR="00ED6321" w:rsidRDefault="00ED6321" w:rsidP="00ED6321">
      <w:pPr>
        <w:spacing w:before="0" w:after="0" w:line="240" w:lineRule="auto"/>
        <w:jc w:val="left"/>
        <w:rPr>
          <w:rFonts w:eastAsia="Times New Roman"/>
          <w:kern w:val="0"/>
          <w:lang w:val="en-US" w:eastAsia="ru-RU"/>
          <w14:ligatures w14:val="none"/>
        </w:rPr>
      </w:pPr>
    </w:p>
    <w:p w14:paraId="6FB43103" w14:textId="58DE35ED" w:rsidR="00ED6321" w:rsidRDefault="00ED6321" w:rsidP="00ED6321">
      <w:pPr>
        <w:spacing w:before="0" w:after="0" w:line="240" w:lineRule="auto"/>
        <w:jc w:val="left"/>
        <w:rPr>
          <w:rFonts w:eastAsia="Times New Roman"/>
          <w:kern w:val="0"/>
          <w:lang w:val="en-US" w:eastAsia="ru-RU"/>
          <w14:ligatures w14:val="none"/>
        </w:rPr>
      </w:pPr>
    </w:p>
    <w:p w14:paraId="5FC7A1DB" w14:textId="529856C0" w:rsidR="00ED6321" w:rsidRDefault="00ED6321" w:rsidP="00ED6321">
      <w:pPr>
        <w:spacing w:before="0" w:after="0" w:line="240" w:lineRule="auto"/>
        <w:jc w:val="left"/>
        <w:rPr>
          <w:rFonts w:eastAsia="Times New Roman"/>
          <w:kern w:val="0"/>
          <w:lang w:val="en-US" w:eastAsia="ru-RU"/>
          <w14:ligatures w14:val="none"/>
        </w:rPr>
      </w:pPr>
    </w:p>
    <w:p w14:paraId="3944E4DC" w14:textId="4EF807B6" w:rsidR="00ED6321" w:rsidRDefault="00ED6321" w:rsidP="00ED6321">
      <w:pPr>
        <w:spacing w:before="0" w:after="0" w:line="240" w:lineRule="auto"/>
        <w:jc w:val="left"/>
        <w:rPr>
          <w:rFonts w:eastAsia="Times New Roman"/>
          <w:kern w:val="0"/>
          <w:lang w:val="en-US" w:eastAsia="ru-RU"/>
          <w14:ligatures w14:val="none"/>
        </w:rPr>
      </w:pPr>
    </w:p>
    <w:p w14:paraId="1C4CA38A" w14:textId="02F8F9B1" w:rsidR="00ED6321" w:rsidRDefault="00ED6321" w:rsidP="00ED6321">
      <w:pPr>
        <w:spacing w:before="0" w:after="0" w:line="240" w:lineRule="auto"/>
        <w:jc w:val="left"/>
        <w:rPr>
          <w:rFonts w:eastAsia="Times New Roman"/>
          <w:kern w:val="0"/>
          <w:lang w:val="en-US" w:eastAsia="ru-RU"/>
          <w14:ligatures w14:val="none"/>
        </w:rPr>
      </w:pPr>
    </w:p>
    <w:p w14:paraId="248FB5F9" w14:textId="209FC213" w:rsidR="00ED6321" w:rsidRDefault="00ED6321" w:rsidP="00ED6321">
      <w:pPr>
        <w:spacing w:before="0" w:after="0" w:line="240" w:lineRule="auto"/>
        <w:jc w:val="left"/>
        <w:rPr>
          <w:rFonts w:eastAsia="Times New Roman"/>
          <w:kern w:val="0"/>
          <w:lang w:val="en-US" w:eastAsia="ru-RU"/>
          <w14:ligatures w14:val="none"/>
        </w:rPr>
      </w:pPr>
    </w:p>
    <w:p w14:paraId="2BE5178A" w14:textId="5FD8E1ED" w:rsidR="00ED6321" w:rsidRDefault="00ED6321" w:rsidP="00ED6321">
      <w:pPr>
        <w:spacing w:before="0" w:after="0" w:line="240" w:lineRule="auto"/>
        <w:jc w:val="left"/>
        <w:rPr>
          <w:rFonts w:eastAsia="Times New Roman"/>
          <w:kern w:val="0"/>
          <w:lang w:val="en-US" w:eastAsia="ru-RU"/>
          <w14:ligatures w14:val="none"/>
        </w:rPr>
      </w:pPr>
    </w:p>
    <w:p w14:paraId="1A9305B9" w14:textId="42E89FD4" w:rsidR="00ED6321" w:rsidRDefault="00ED6321" w:rsidP="00ED6321">
      <w:pPr>
        <w:spacing w:before="0" w:after="0" w:line="240" w:lineRule="auto"/>
        <w:jc w:val="left"/>
        <w:rPr>
          <w:rFonts w:eastAsia="Times New Roman"/>
          <w:kern w:val="0"/>
          <w:lang w:val="en-US" w:eastAsia="ru-RU"/>
          <w14:ligatures w14:val="none"/>
        </w:rPr>
      </w:pPr>
    </w:p>
    <w:p w14:paraId="71487256" w14:textId="77777777" w:rsidR="00ED6321" w:rsidRDefault="00ED6321" w:rsidP="00ED6321">
      <w:pPr>
        <w:spacing w:before="0" w:after="0" w:line="240" w:lineRule="auto"/>
        <w:jc w:val="left"/>
        <w:rPr>
          <w:rFonts w:eastAsia="Times New Roman"/>
          <w:kern w:val="0"/>
          <w:lang w:val="en-US" w:eastAsia="ru-RU"/>
          <w14:ligatures w14:val="none"/>
        </w:rPr>
      </w:pPr>
    </w:p>
    <w:p w14:paraId="6F599301" w14:textId="77777777" w:rsidR="00ED6321" w:rsidRDefault="00ED6321" w:rsidP="00ED6321">
      <w:pPr>
        <w:spacing w:before="0" w:after="0" w:line="240" w:lineRule="auto"/>
        <w:jc w:val="left"/>
        <w:rPr>
          <w:rFonts w:eastAsia="Times New Roman"/>
          <w:kern w:val="0"/>
          <w:lang w:val="en-US" w:eastAsia="ru-RU"/>
          <w14:ligatures w14:val="none"/>
        </w:rPr>
      </w:pPr>
    </w:p>
    <w:p w14:paraId="7D0061A7" w14:textId="5476DF19" w:rsidR="00ED6321" w:rsidRPr="00ED6321" w:rsidRDefault="00ED6321" w:rsidP="00ED6321">
      <w:pPr>
        <w:spacing w:before="0" w:after="0" w:line="240" w:lineRule="auto"/>
        <w:jc w:val="left"/>
        <w:rPr>
          <w:rFonts w:eastAsia="Times New Roman"/>
          <w:b/>
          <w:kern w:val="0"/>
          <w:lang w:val="en-US" w:eastAsia="ru-RU"/>
          <w14:ligatures w14:val="none"/>
        </w:rPr>
      </w:pPr>
      <w:r w:rsidRPr="00ED6321">
        <w:rPr>
          <w:rFonts w:eastAsia="Times New Roman"/>
          <w:b/>
          <w:kern w:val="0"/>
          <w:lang w:val="en-US" w:eastAsia="ru-RU"/>
          <w14:ligatures w14:val="none"/>
        </w:rPr>
        <w:t>Student Name: Carolina Covali </w:t>
      </w:r>
    </w:p>
    <w:p w14:paraId="54756AA4" w14:textId="77777777" w:rsidR="00ED6321" w:rsidRPr="00ED6321" w:rsidRDefault="00ED6321" w:rsidP="00ED6321">
      <w:pPr>
        <w:spacing w:before="0" w:after="0" w:line="240" w:lineRule="auto"/>
        <w:jc w:val="left"/>
        <w:rPr>
          <w:rFonts w:eastAsia="Times New Roman"/>
          <w:b/>
          <w:kern w:val="0"/>
          <w:lang w:val="en-US" w:eastAsia="ru-RU"/>
          <w14:ligatures w14:val="none"/>
        </w:rPr>
      </w:pPr>
    </w:p>
    <w:p w14:paraId="12AF45BF" w14:textId="33260408" w:rsidR="00ED6321" w:rsidRPr="00ED6321" w:rsidRDefault="00ED6321" w:rsidP="00ED6321">
      <w:pPr>
        <w:spacing w:before="0" w:after="0" w:line="240" w:lineRule="auto"/>
        <w:jc w:val="left"/>
        <w:rPr>
          <w:rFonts w:eastAsia="Times New Roman"/>
          <w:b/>
          <w:kern w:val="0"/>
          <w:lang w:val="en-US" w:eastAsia="ru-RU"/>
          <w14:ligatures w14:val="none"/>
        </w:rPr>
      </w:pPr>
      <w:r w:rsidRPr="00ED6321">
        <w:rPr>
          <w:rFonts w:eastAsia="Times New Roman"/>
          <w:b/>
          <w:kern w:val="0"/>
          <w:lang w:val="en-US" w:eastAsia="ru-RU"/>
          <w14:ligatures w14:val="none"/>
        </w:rPr>
        <w:t>Student ID: 2112320</w:t>
      </w:r>
    </w:p>
    <w:p w14:paraId="142221CB" w14:textId="77777777" w:rsidR="00ED6321" w:rsidRPr="00ED6321" w:rsidRDefault="00ED6321" w:rsidP="00ED6321">
      <w:pPr>
        <w:spacing w:before="0" w:after="0" w:line="240" w:lineRule="auto"/>
        <w:jc w:val="left"/>
        <w:rPr>
          <w:rFonts w:eastAsia="Times New Roman"/>
          <w:b/>
          <w:kern w:val="0"/>
          <w:lang w:val="en-US" w:eastAsia="ru-RU"/>
          <w14:ligatures w14:val="none"/>
        </w:rPr>
      </w:pPr>
    </w:p>
    <w:p w14:paraId="282C05EC" w14:textId="13962F11" w:rsidR="00ED6321" w:rsidRPr="00ED6321" w:rsidRDefault="00ED6321" w:rsidP="00ED6321">
      <w:pPr>
        <w:jc w:val="left"/>
        <w:rPr>
          <w:b/>
          <w:bCs/>
        </w:rPr>
      </w:pPr>
      <w:r w:rsidRPr="00ED6321">
        <w:rPr>
          <w:rFonts w:eastAsia="Times New Roman"/>
          <w:b/>
          <w:color w:val="222222"/>
          <w:kern w:val="0"/>
          <w:lang w:val="en-US" w:eastAsia="ru-RU"/>
          <w14:ligatures w14:val="none"/>
        </w:rPr>
        <w:t xml:space="preserve">Assignment Title: </w:t>
      </w:r>
      <w:r w:rsidRPr="00ED6321">
        <w:rPr>
          <w:b/>
          <w:bCs/>
        </w:rPr>
        <w:t>International financial management</w:t>
      </w:r>
    </w:p>
    <w:p w14:paraId="69137073" w14:textId="77777777" w:rsidR="00ED6321" w:rsidRPr="00ED6321" w:rsidRDefault="00ED6321" w:rsidP="00ED6321">
      <w:pPr>
        <w:spacing w:before="0" w:after="0" w:line="240" w:lineRule="auto"/>
        <w:jc w:val="left"/>
        <w:rPr>
          <w:rFonts w:eastAsia="Times New Roman"/>
          <w:b/>
          <w:kern w:val="0"/>
          <w:lang w:val="en-US" w:eastAsia="ru-RU"/>
          <w14:ligatures w14:val="none"/>
        </w:rPr>
      </w:pPr>
      <w:r w:rsidRPr="00ED6321">
        <w:rPr>
          <w:rFonts w:eastAsia="Times New Roman"/>
          <w:b/>
          <w:kern w:val="0"/>
          <w:lang w:val="en-US" w:eastAsia="ru-RU"/>
          <w14:ligatures w14:val="none"/>
        </w:rPr>
        <w:t>Module: International Financial Management </w:t>
      </w:r>
    </w:p>
    <w:p w14:paraId="3DDF9E84" w14:textId="77777777" w:rsidR="00ED6321" w:rsidRPr="00ED6321" w:rsidRDefault="00ED6321" w:rsidP="00ED6321">
      <w:pPr>
        <w:spacing w:before="0" w:after="0" w:line="240" w:lineRule="auto"/>
        <w:jc w:val="left"/>
        <w:rPr>
          <w:rFonts w:eastAsia="Times New Roman"/>
          <w:b/>
          <w:kern w:val="0"/>
          <w:lang w:val="en-US" w:eastAsia="ru-RU"/>
          <w14:ligatures w14:val="none"/>
        </w:rPr>
      </w:pPr>
    </w:p>
    <w:p w14:paraId="29CDD13B" w14:textId="26D7BFA3" w:rsidR="00ED6321" w:rsidRPr="00ED6321" w:rsidRDefault="00ED6321" w:rsidP="00ED6321">
      <w:pPr>
        <w:spacing w:before="0" w:after="0" w:line="240" w:lineRule="auto"/>
        <w:jc w:val="left"/>
        <w:rPr>
          <w:rFonts w:eastAsia="Times New Roman"/>
          <w:b/>
          <w:kern w:val="0"/>
          <w:lang w:val="en-US" w:eastAsia="ru-RU"/>
          <w14:ligatures w14:val="none"/>
        </w:rPr>
      </w:pPr>
      <w:r w:rsidRPr="00ED6321">
        <w:rPr>
          <w:rFonts w:eastAsia="Times New Roman"/>
          <w:b/>
          <w:kern w:val="0"/>
          <w:lang w:val="en-US" w:eastAsia="ru-RU"/>
          <w14:ligatures w14:val="none"/>
        </w:rPr>
        <w:t>Module Code: LCBB6002 </w:t>
      </w:r>
    </w:p>
    <w:p w14:paraId="0A3D1D39" w14:textId="77777777" w:rsidR="00F3789B" w:rsidRPr="0079405C" w:rsidRDefault="00F3789B" w:rsidP="00F3789B">
      <w:pPr>
        <w:spacing w:before="0" w:after="160"/>
        <w:jc w:val="left"/>
        <w:rPr>
          <w:b/>
          <w:bCs/>
          <w:sz w:val="48"/>
          <w:szCs w:val="48"/>
        </w:rPr>
      </w:pPr>
    </w:p>
    <w:p w14:paraId="62BABAE2" w14:textId="77777777" w:rsidR="00F3789B" w:rsidRDefault="00F3789B" w:rsidP="00F3789B">
      <w:pPr>
        <w:spacing w:before="0" w:after="160"/>
        <w:jc w:val="left"/>
        <w:rPr>
          <w:b/>
          <w:bCs/>
        </w:rPr>
      </w:pPr>
    </w:p>
    <w:p w14:paraId="70360CA4" w14:textId="77777777" w:rsidR="00F3789B" w:rsidRDefault="00F3789B" w:rsidP="00F3789B">
      <w:pPr>
        <w:spacing w:before="0" w:after="160"/>
        <w:jc w:val="left"/>
        <w:rPr>
          <w:b/>
          <w:bCs/>
        </w:rPr>
      </w:pPr>
    </w:p>
    <w:p w14:paraId="1DF78F33" w14:textId="30D06998" w:rsidR="00F3789B" w:rsidRPr="00F3789B" w:rsidRDefault="00ED6321" w:rsidP="00F3789B">
      <w:pPr>
        <w:spacing w:before="0" w:after="160" w:line="259" w:lineRule="auto"/>
        <w:jc w:val="left"/>
        <w:rPr>
          <w:b/>
          <w:bCs/>
        </w:rPr>
      </w:pPr>
      <w:r>
        <w:rPr>
          <w:b/>
          <w:bCs/>
        </w:rPr>
        <w:t xml:space="preserve"> </w:t>
      </w:r>
      <w:r w:rsidR="00F3789B">
        <w:rPr>
          <w:b/>
          <w:bCs/>
        </w:rPr>
        <w:br w:type="page"/>
      </w:r>
    </w:p>
    <w:sdt>
      <w:sdtPr>
        <w:rPr>
          <w:rFonts w:ascii="Times New Roman" w:eastAsiaTheme="minorHAnsi" w:hAnsi="Times New Roman" w:cs="Times New Roman"/>
          <w:b/>
          <w:color w:val="auto"/>
          <w:kern w:val="2"/>
          <w:sz w:val="24"/>
          <w:szCs w:val="24"/>
          <w:lang w:val="en-IN"/>
          <w14:ligatures w14:val="standardContextual"/>
        </w:rPr>
        <w:id w:val="-2146801507"/>
        <w:docPartObj>
          <w:docPartGallery w:val="Table of Contents"/>
          <w:docPartUnique/>
        </w:docPartObj>
      </w:sdtPr>
      <w:sdtEndPr>
        <w:rPr>
          <w:rFonts w:asciiTheme="majorHAnsi" w:eastAsiaTheme="majorEastAsia" w:hAnsiTheme="majorHAnsi" w:cstheme="majorBidi"/>
          <w:bCs/>
          <w:noProof/>
          <w:kern w:val="0"/>
          <w:sz w:val="32"/>
          <w:szCs w:val="32"/>
          <w:lang w:val="en-US"/>
          <w14:ligatures w14:val="none"/>
        </w:rPr>
      </w:sdtEndPr>
      <w:sdtContent>
        <w:p w14:paraId="787ABCC5" w14:textId="77777777" w:rsidR="00ED6321" w:rsidRPr="00ED6321" w:rsidRDefault="00ED6321" w:rsidP="00ED6321">
          <w:pPr>
            <w:pStyle w:val="a7"/>
            <w:rPr>
              <w:rFonts w:ascii="Times New Roman" w:hAnsi="Times New Roman" w:cs="Times New Roman"/>
              <w:b/>
              <w:color w:val="auto"/>
              <w:sz w:val="24"/>
              <w:szCs w:val="24"/>
            </w:rPr>
          </w:pPr>
          <w:r w:rsidRPr="00ED6321">
            <w:rPr>
              <w:rFonts w:ascii="Times New Roman" w:hAnsi="Times New Roman" w:cs="Times New Roman"/>
              <w:b/>
              <w:color w:val="auto"/>
              <w:sz w:val="24"/>
              <w:szCs w:val="24"/>
            </w:rPr>
            <w:t>Table of Contents</w:t>
          </w:r>
        </w:p>
        <w:p w14:paraId="17A8D8E4" w14:textId="50F20BF9" w:rsidR="00ED6321" w:rsidRPr="00ED6321" w:rsidRDefault="00ED6321" w:rsidP="00ED6321">
          <w:pPr>
            <w:pStyle w:val="a7"/>
            <w:rPr>
              <w:rFonts w:ascii="Times New Roman" w:hAnsi="Times New Roman" w:cs="Times New Roman"/>
              <w:b/>
              <w:color w:val="auto"/>
              <w:sz w:val="24"/>
              <w:szCs w:val="24"/>
            </w:rPr>
          </w:pPr>
          <w:r w:rsidRPr="00ED6321">
            <w:rPr>
              <w:rFonts w:ascii="Times New Roman" w:hAnsi="Times New Roman" w:cs="Times New Roman"/>
              <w:b/>
              <w:color w:val="auto"/>
              <w:sz w:val="24"/>
              <w:szCs w:val="24"/>
            </w:rPr>
            <w:t>1. Introduction ……………………………………………………………………………</w:t>
          </w:r>
          <w:r w:rsidRPr="00ED6321">
            <w:rPr>
              <w:rFonts w:ascii="Times New Roman" w:hAnsi="Times New Roman" w:cs="Times New Roman"/>
              <w:b/>
              <w:color w:val="auto"/>
              <w:sz w:val="24"/>
              <w:szCs w:val="24"/>
            </w:rPr>
            <w:tab/>
            <w:t>3</w:t>
          </w:r>
        </w:p>
        <w:p w14:paraId="4395581A" w14:textId="0F388EEA" w:rsidR="00ED6321" w:rsidRPr="00ED6321" w:rsidRDefault="00ED6321" w:rsidP="00ED6321">
          <w:pPr>
            <w:pStyle w:val="a7"/>
            <w:rPr>
              <w:rFonts w:ascii="Times New Roman" w:hAnsi="Times New Roman" w:cs="Times New Roman"/>
              <w:b/>
              <w:color w:val="auto"/>
              <w:sz w:val="24"/>
              <w:szCs w:val="24"/>
            </w:rPr>
          </w:pPr>
          <w:r w:rsidRPr="00ED6321">
            <w:rPr>
              <w:rFonts w:ascii="Times New Roman" w:hAnsi="Times New Roman" w:cs="Times New Roman"/>
              <w:b/>
              <w:color w:val="auto"/>
              <w:sz w:val="24"/>
              <w:szCs w:val="24"/>
            </w:rPr>
            <w:t>2. Main body ……………………………………………………………………………</w:t>
          </w:r>
          <w:r>
            <w:rPr>
              <w:rFonts w:ascii="Times New Roman" w:hAnsi="Times New Roman" w:cs="Times New Roman"/>
              <w:b/>
              <w:color w:val="auto"/>
              <w:sz w:val="24"/>
              <w:szCs w:val="24"/>
            </w:rPr>
            <w:t>..</w:t>
          </w:r>
          <w:r w:rsidRPr="00ED6321">
            <w:rPr>
              <w:rFonts w:ascii="Times New Roman" w:hAnsi="Times New Roman" w:cs="Times New Roman"/>
              <w:b/>
              <w:color w:val="auto"/>
              <w:sz w:val="24"/>
              <w:szCs w:val="24"/>
            </w:rPr>
            <w:tab/>
            <w:t>4</w:t>
          </w:r>
        </w:p>
        <w:p w14:paraId="5361BCE7" w14:textId="00EC5166" w:rsidR="00ED6321" w:rsidRPr="00ED6321" w:rsidRDefault="00ED6321" w:rsidP="00ED6321">
          <w:pPr>
            <w:pStyle w:val="a7"/>
            <w:rPr>
              <w:rFonts w:ascii="Times New Roman" w:hAnsi="Times New Roman" w:cs="Times New Roman"/>
              <w:b/>
              <w:color w:val="auto"/>
              <w:sz w:val="24"/>
              <w:szCs w:val="24"/>
            </w:rPr>
          </w:pPr>
          <w:r w:rsidRPr="00ED6321">
            <w:rPr>
              <w:rFonts w:ascii="Times New Roman" w:hAnsi="Times New Roman" w:cs="Times New Roman"/>
              <w:b/>
              <w:color w:val="auto"/>
              <w:sz w:val="24"/>
              <w:szCs w:val="24"/>
            </w:rPr>
            <w:t>2.1 Theoretical frameworks and models of international financial management ……</w:t>
          </w:r>
          <w:r>
            <w:rPr>
              <w:rFonts w:ascii="Times New Roman" w:hAnsi="Times New Roman" w:cs="Times New Roman"/>
              <w:b/>
              <w:color w:val="auto"/>
              <w:sz w:val="24"/>
              <w:szCs w:val="24"/>
            </w:rPr>
            <w:t xml:space="preserve"> </w:t>
          </w:r>
          <w:r w:rsidRPr="00ED6321">
            <w:rPr>
              <w:rFonts w:ascii="Times New Roman" w:hAnsi="Times New Roman" w:cs="Times New Roman"/>
              <w:b/>
              <w:color w:val="auto"/>
              <w:sz w:val="24"/>
              <w:szCs w:val="24"/>
            </w:rPr>
            <w:t>4</w:t>
          </w:r>
        </w:p>
        <w:p w14:paraId="6798D37D" w14:textId="33254E59" w:rsidR="00ED6321" w:rsidRPr="00ED6321" w:rsidRDefault="00ED6321" w:rsidP="00ED6321">
          <w:pPr>
            <w:pStyle w:val="a7"/>
            <w:rPr>
              <w:rFonts w:ascii="Times New Roman" w:hAnsi="Times New Roman" w:cs="Times New Roman"/>
              <w:b/>
              <w:color w:val="auto"/>
              <w:sz w:val="24"/>
              <w:szCs w:val="24"/>
            </w:rPr>
          </w:pPr>
          <w:r w:rsidRPr="00ED6321">
            <w:rPr>
              <w:rFonts w:ascii="Times New Roman" w:hAnsi="Times New Roman" w:cs="Times New Roman"/>
              <w:b/>
              <w:color w:val="auto"/>
              <w:sz w:val="24"/>
              <w:szCs w:val="24"/>
            </w:rPr>
            <w:t>2.1.1 Discounted cash flow ………………………………………………………………</w:t>
          </w:r>
          <w:r w:rsidR="00C24003">
            <w:rPr>
              <w:rFonts w:ascii="Times New Roman" w:hAnsi="Times New Roman" w:cs="Times New Roman"/>
              <w:b/>
              <w:color w:val="auto"/>
              <w:sz w:val="24"/>
              <w:szCs w:val="24"/>
            </w:rPr>
            <w:t xml:space="preserve">. </w:t>
          </w:r>
          <w:r w:rsidRPr="00ED6321">
            <w:rPr>
              <w:rFonts w:ascii="Times New Roman" w:hAnsi="Times New Roman" w:cs="Times New Roman"/>
              <w:b/>
              <w:color w:val="auto"/>
              <w:sz w:val="24"/>
              <w:szCs w:val="24"/>
            </w:rPr>
            <w:t>4</w:t>
          </w:r>
        </w:p>
        <w:p w14:paraId="6CF65FFD" w14:textId="5755C055" w:rsidR="00ED6321" w:rsidRPr="00ED6321" w:rsidRDefault="00ED6321" w:rsidP="00ED6321">
          <w:pPr>
            <w:pStyle w:val="a7"/>
            <w:rPr>
              <w:rFonts w:ascii="Times New Roman" w:hAnsi="Times New Roman" w:cs="Times New Roman"/>
              <w:b/>
              <w:color w:val="auto"/>
              <w:sz w:val="24"/>
              <w:szCs w:val="24"/>
            </w:rPr>
          </w:pPr>
          <w:r w:rsidRPr="00ED6321">
            <w:rPr>
              <w:rFonts w:ascii="Times New Roman" w:hAnsi="Times New Roman" w:cs="Times New Roman"/>
              <w:b/>
              <w:color w:val="auto"/>
              <w:sz w:val="24"/>
              <w:szCs w:val="24"/>
            </w:rPr>
            <w:t>2.1.2 Weighted average cost of capital …………………………………………………</w:t>
          </w:r>
          <w:r>
            <w:rPr>
              <w:rFonts w:ascii="Times New Roman" w:hAnsi="Times New Roman" w:cs="Times New Roman"/>
              <w:b/>
              <w:color w:val="auto"/>
              <w:sz w:val="24"/>
              <w:szCs w:val="24"/>
            </w:rPr>
            <w:t>.</w:t>
          </w:r>
          <w:r w:rsidR="00C24003">
            <w:rPr>
              <w:rFonts w:ascii="Times New Roman" w:hAnsi="Times New Roman" w:cs="Times New Roman"/>
              <w:b/>
              <w:color w:val="auto"/>
              <w:sz w:val="24"/>
              <w:szCs w:val="24"/>
            </w:rPr>
            <w:t xml:space="preserve"> </w:t>
          </w:r>
          <w:r w:rsidRPr="00ED6321">
            <w:rPr>
              <w:rFonts w:ascii="Times New Roman" w:hAnsi="Times New Roman" w:cs="Times New Roman"/>
              <w:b/>
              <w:color w:val="auto"/>
              <w:sz w:val="24"/>
              <w:szCs w:val="24"/>
            </w:rPr>
            <w:t>4</w:t>
          </w:r>
        </w:p>
        <w:p w14:paraId="42CD573C" w14:textId="6611552E" w:rsidR="00ED6321" w:rsidRPr="00ED6321" w:rsidRDefault="00ED6321" w:rsidP="00ED6321">
          <w:pPr>
            <w:pStyle w:val="a7"/>
            <w:rPr>
              <w:rFonts w:ascii="Times New Roman" w:hAnsi="Times New Roman" w:cs="Times New Roman"/>
              <w:b/>
              <w:color w:val="auto"/>
              <w:sz w:val="24"/>
              <w:szCs w:val="24"/>
            </w:rPr>
          </w:pPr>
          <w:r w:rsidRPr="00ED6321">
            <w:rPr>
              <w:rFonts w:ascii="Times New Roman" w:hAnsi="Times New Roman" w:cs="Times New Roman"/>
              <w:b/>
              <w:color w:val="auto"/>
              <w:sz w:val="24"/>
              <w:szCs w:val="24"/>
            </w:rPr>
            <w:t>2.1.3 Adjusted present value (APV) ……………………………………………………</w:t>
          </w:r>
          <w:r>
            <w:rPr>
              <w:rFonts w:ascii="Times New Roman" w:hAnsi="Times New Roman" w:cs="Times New Roman"/>
              <w:b/>
              <w:color w:val="auto"/>
              <w:sz w:val="24"/>
              <w:szCs w:val="24"/>
            </w:rPr>
            <w:t>.</w:t>
          </w:r>
          <w:r w:rsidR="00C24003">
            <w:rPr>
              <w:rFonts w:ascii="Times New Roman" w:hAnsi="Times New Roman" w:cs="Times New Roman"/>
              <w:b/>
              <w:color w:val="auto"/>
              <w:sz w:val="24"/>
              <w:szCs w:val="24"/>
            </w:rPr>
            <w:t xml:space="preserve"> </w:t>
          </w:r>
          <w:r w:rsidRPr="00ED6321">
            <w:rPr>
              <w:rFonts w:ascii="Times New Roman" w:hAnsi="Times New Roman" w:cs="Times New Roman"/>
              <w:b/>
              <w:color w:val="auto"/>
              <w:sz w:val="24"/>
              <w:szCs w:val="24"/>
            </w:rPr>
            <w:t>4</w:t>
          </w:r>
        </w:p>
        <w:p w14:paraId="5A98690B" w14:textId="36451612" w:rsidR="00ED6321" w:rsidRPr="00ED6321" w:rsidRDefault="00ED6321" w:rsidP="00ED6321">
          <w:pPr>
            <w:pStyle w:val="a7"/>
            <w:rPr>
              <w:rFonts w:ascii="Times New Roman" w:hAnsi="Times New Roman" w:cs="Times New Roman"/>
              <w:b/>
              <w:color w:val="auto"/>
              <w:sz w:val="24"/>
              <w:szCs w:val="24"/>
            </w:rPr>
          </w:pPr>
          <w:r w:rsidRPr="00ED6321">
            <w:rPr>
              <w:rFonts w:ascii="Times New Roman" w:hAnsi="Times New Roman" w:cs="Times New Roman"/>
              <w:b/>
              <w:color w:val="auto"/>
              <w:sz w:val="24"/>
              <w:szCs w:val="24"/>
            </w:rPr>
            <w:t>2.2 Applications of international financial management (IFM) models …………</w:t>
          </w:r>
          <w:r>
            <w:rPr>
              <w:rFonts w:ascii="Times New Roman" w:hAnsi="Times New Roman" w:cs="Times New Roman"/>
              <w:b/>
              <w:color w:val="auto"/>
              <w:sz w:val="24"/>
              <w:szCs w:val="24"/>
            </w:rPr>
            <w:t xml:space="preserve">…..  </w:t>
          </w:r>
          <w:r w:rsidRPr="00ED6321">
            <w:rPr>
              <w:rFonts w:ascii="Times New Roman" w:hAnsi="Times New Roman" w:cs="Times New Roman"/>
              <w:b/>
              <w:color w:val="auto"/>
              <w:sz w:val="24"/>
              <w:szCs w:val="24"/>
            </w:rPr>
            <w:t>5</w:t>
          </w:r>
        </w:p>
        <w:p w14:paraId="2402B971" w14:textId="1EA05726" w:rsidR="00ED6321" w:rsidRPr="00ED6321" w:rsidRDefault="00ED6321" w:rsidP="00ED6321">
          <w:pPr>
            <w:pStyle w:val="a7"/>
            <w:rPr>
              <w:rFonts w:ascii="Times New Roman" w:hAnsi="Times New Roman" w:cs="Times New Roman"/>
              <w:b/>
              <w:color w:val="auto"/>
              <w:sz w:val="24"/>
              <w:szCs w:val="24"/>
            </w:rPr>
          </w:pPr>
          <w:r w:rsidRPr="00ED6321">
            <w:rPr>
              <w:rFonts w:ascii="Times New Roman" w:hAnsi="Times New Roman" w:cs="Times New Roman"/>
              <w:b/>
              <w:color w:val="auto"/>
              <w:sz w:val="24"/>
              <w:szCs w:val="24"/>
            </w:rPr>
            <w:t>2.3 Critical evaluation of international financial management models ………………</w:t>
          </w:r>
          <w:r w:rsidR="00C24003">
            <w:rPr>
              <w:rFonts w:ascii="Times New Roman" w:hAnsi="Times New Roman" w:cs="Times New Roman"/>
              <w:b/>
              <w:color w:val="auto"/>
              <w:sz w:val="24"/>
              <w:szCs w:val="24"/>
            </w:rPr>
            <w:t xml:space="preserve"> </w:t>
          </w:r>
          <w:r w:rsidRPr="00ED6321">
            <w:rPr>
              <w:rFonts w:ascii="Times New Roman" w:hAnsi="Times New Roman" w:cs="Times New Roman"/>
              <w:b/>
              <w:color w:val="auto"/>
              <w:sz w:val="24"/>
              <w:szCs w:val="24"/>
            </w:rPr>
            <w:t>6</w:t>
          </w:r>
        </w:p>
        <w:p w14:paraId="1790F3DA" w14:textId="6FBDCBE0" w:rsidR="00ED6321" w:rsidRPr="00ED6321" w:rsidRDefault="00ED6321" w:rsidP="00ED6321">
          <w:pPr>
            <w:pStyle w:val="a7"/>
            <w:rPr>
              <w:rFonts w:ascii="Times New Roman" w:hAnsi="Times New Roman" w:cs="Times New Roman"/>
              <w:b/>
              <w:color w:val="auto"/>
              <w:sz w:val="24"/>
              <w:szCs w:val="24"/>
            </w:rPr>
          </w:pPr>
          <w:r w:rsidRPr="00ED6321">
            <w:rPr>
              <w:rFonts w:ascii="Times New Roman" w:hAnsi="Times New Roman" w:cs="Times New Roman"/>
              <w:b/>
              <w:color w:val="auto"/>
              <w:sz w:val="24"/>
              <w:szCs w:val="24"/>
            </w:rPr>
            <w:t>3. Conclusion ……………………………………………………………………………</w:t>
          </w:r>
          <w:r w:rsidR="00C24003">
            <w:rPr>
              <w:rFonts w:ascii="Times New Roman" w:hAnsi="Times New Roman" w:cs="Times New Roman"/>
              <w:b/>
              <w:color w:val="auto"/>
              <w:sz w:val="24"/>
              <w:szCs w:val="24"/>
            </w:rPr>
            <w:t xml:space="preserve">.  </w:t>
          </w:r>
          <w:r w:rsidRPr="00ED6321">
            <w:rPr>
              <w:rFonts w:ascii="Times New Roman" w:hAnsi="Times New Roman" w:cs="Times New Roman"/>
              <w:b/>
              <w:color w:val="auto"/>
              <w:sz w:val="24"/>
              <w:szCs w:val="24"/>
            </w:rPr>
            <w:t>7</w:t>
          </w:r>
        </w:p>
        <w:p w14:paraId="3E4D9DB5" w14:textId="18C706C0" w:rsidR="00B61F29" w:rsidRPr="00ED6321" w:rsidRDefault="00ED6321" w:rsidP="00ED6321">
          <w:pPr>
            <w:pStyle w:val="a7"/>
            <w:spacing w:line="360" w:lineRule="auto"/>
            <w:rPr>
              <w:b/>
              <w:color w:val="auto"/>
            </w:rPr>
          </w:pPr>
          <w:r w:rsidRPr="00ED6321">
            <w:rPr>
              <w:rFonts w:ascii="Times New Roman" w:hAnsi="Times New Roman" w:cs="Times New Roman"/>
              <w:b/>
              <w:color w:val="auto"/>
              <w:sz w:val="24"/>
              <w:szCs w:val="24"/>
            </w:rPr>
            <w:t>Reference …………………………………………………………………………………</w:t>
          </w:r>
          <w:r w:rsidR="00C24003">
            <w:rPr>
              <w:rFonts w:ascii="Times New Roman" w:hAnsi="Times New Roman" w:cs="Times New Roman"/>
              <w:b/>
              <w:color w:val="auto"/>
              <w:sz w:val="24"/>
              <w:szCs w:val="24"/>
            </w:rPr>
            <w:t xml:space="preserve"> </w:t>
          </w:r>
          <w:r w:rsidRPr="00ED6321">
            <w:rPr>
              <w:rFonts w:ascii="Times New Roman" w:hAnsi="Times New Roman" w:cs="Times New Roman"/>
              <w:b/>
              <w:color w:val="auto"/>
              <w:sz w:val="24"/>
              <w:szCs w:val="24"/>
            </w:rPr>
            <w:t>8</w:t>
          </w:r>
        </w:p>
      </w:sdtContent>
    </w:sdt>
    <w:p w14:paraId="0E5DED1B" w14:textId="77777777" w:rsidR="00055A53" w:rsidRPr="00C76E85" w:rsidRDefault="00055A53" w:rsidP="00AA67D1">
      <w:pPr>
        <w:jc w:val="center"/>
        <w:rPr>
          <w:b/>
          <w:bCs/>
        </w:rPr>
      </w:pPr>
    </w:p>
    <w:p w14:paraId="2B481D9B" w14:textId="77777777" w:rsidR="00055A53" w:rsidRPr="00C76E85" w:rsidRDefault="00055A53" w:rsidP="00AA67D1">
      <w:pPr>
        <w:spacing w:before="0" w:after="160"/>
        <w:jc w:val="left"/>
        <w:rPr>
          <w:b/>
          <w:bCs/>
        </w:rPr>
      </w:pPr>
      <w:r w:rsidRPr="00C76E85">
        <w:rPr>
          <w:b/>
          <w:bCs/>
        </w:rPr>
        <w:br w:type="page"/>
      </w:r>
    </w:p>
    <w:p w14:paraId="63D1396D" w14:textId="76757DAC" w:rsidR="00602352" w:rsidRPr="00C76E85" w:rsidRDefault="001C243C" w:rsidP="00AA67D1">
      <w:pPr>
        <w:pStyle w:val="1"/>
        <w:rPr>
          <w:rFonts w:eastAsiaTheme="minorHAnsi" w:cs="Times New Roman"/>
          <w:b w:val="0"/>
          <w:bCs w:val="0"/>
          <w:spacing w:val="0"/>
          <w:szCs w:val="24"/>
        </w:rPr>
      </w:pPr>
      <w:bookmarkStart w:id="1" w:name="_Toc149038996"/>
      <w:r w:rsidRPr="00C76E85">
        <w:rPr>
          <w:rFonts w:cs="Times New Roman"/>
          <w:szCs w:val="24"/>
        </w:rPr>
        <w:lastRenderedPageBreak/>
        <w:t xml:space="preserve">1. </w:t>
      </w:r>
      <w:r w:rsidR="00055A53" w:rsidRPr="00C76E85">
        <w:rPr>
          <w:rFonts w:cs="Times New Roman"/>
          <w:szCs w:val="24"/>
        </w:rPr>
        <w:t>Introduction</w:t>
      </w:r>
      <w:bookmarkEnd w:id="1"/>
      <w:r w:rsidR="00055A53" w:rsidRPr="00C76E85">
        <w:rPr>
          <w:rFonts w:eastAsiaTheme="minorHAnsi" w:cs="Times New Roman"/>
          <w:b w:val="0"/>
          <w:bCs w:val="0"/>
          <w:spacing w:val="0"/>
          <w:szCs w:val="24"/>
        </w:rPr>
        <w:t xml:space="preserve"> </w:t>
      </w:r>
    </w:p>
    <w:p w14:paraId="1762397A" w14:textId="476677DA" w:rsidR="001C243C" w:rsidRPr="00C76E85" w:rsidRDefault="00055A53" w:rsidP="00AA67D1">
      <w:r w:rsidRPr="00C76E85">
        <w:t xml:space="preserve">The concepts of international financial management refer to the consideration of business institutions </w:t>
      </w:r>
      <w:r w:rsidR="00C76E85" w:rsidRPr="00C76E85">
        <w:t xml:space="preserve">in </w:t>
      </w:r>
      <w:r w:rsidR="00DA54E1">
        <w:t xml:space="preserve">towards </w:t>
      </w:r>
      <w:r w:rsidRPr="00C76E85">
        <w:t>the effective sustainability of monetary resources</w:t>
      </w:r>
      <w:r w:rsidR="00DA54E1">
        <w:t xml:space="preserve"> in the midst of </w:t>
      </w:r>
      <w:r w:rsidR="00676980">
        <w:t>global uncertainties and fluctuations</w:t>
      </w:r>
      <w:r w:rsidRPr="00C76E85">
        <w:t xml:space="preserve">. </w:t>
      </w:r>
      <w:r w:rsidR="00C76E85" w:rsidRPr="00C76E85">
        <w:t>Several practices and strategies</w:t>
      </w:r>
      <w:r w:rsidRPr="00C76E85">
        <w:t xml:space="preserve"> are adopted by multinational compan</w:t>
      </w:r>
      <w:r w:rsidR="00C76E85" w:rsidRPr="00C76E85">
        <w:t>ies</w:t>
      </w:r>
      <w:r w:rsidRPr="00C76E85">
        <w:t xml:space="preserve"> (MNCs) </w:t>
      </w:r>
      <w:r w:rsidR="00C76E85" w:rsidRPr="00C76E85">
        <w:t>t</w:t>
      </w:r>
      <w:r w:rsidRPr="00C76E85">
        <w:t xml:space="preserve">o sustain their capital interests in the global markets and during economic fluctuations. One of the primary applications of international financial management is to eliminate the risks related </w:t>
      </w:r>
      <w:r w:rsidR="00C76E85" w:rsidRPr="00C76E85">
        <w:t>to</w:t>
      </w:r>
      <w:r w:rsidRPr="00C76E85">
        <w:t xml:space="preserve"> foreign exchanges</w:t>
      </w:r>
      <w:r w:rsidR="00C76E85" w:rsidRPr="00C76E85">
        <w:t xml:space="preserve"> (Zetzsche, et al., 2020)</w:t>
      </w:r>
      <w:r w:rsidRPr="00C76E85">
        <w:t>. Furthermore</w:t>
      </w:r>
      <w:r w:rsidR="001C243C" w:rsidRPr="00C76E85">
        <w:t>,</w:t>
      </w:r>
      <w:r w:rsidRPr="00C76E85">
        <w:t xml:space="preserve"> investing in international executions and acquiring capital resources from different entities are also crucial aspects of international financial management (IFM).</w:t>
      </w:r>
      <w:r w:rsidR="001C243C" w:rsidRPr="00C76E85">
        <w:t xml:space="preserve"> Following that, </w:t>
      </w:r>
      <w:r w:rsidR="00676980">
        <w:t xml:space="preserve">numerous </w:t>
      </w:r>
      <w:r w:rsidR="003F6942">
        <w:t>s</w:t>
      </w:r>
      <w:r w:rsidR="00C76E85" w:rsidRPr="00C76E85">
        <w:t>theories and models</w:t>
      </w:r>
      <w:r w:rsidR="001C243C" w:rsidRPr="00C76E85">
        <w:t xml:space="preserve"> are prominent and proven to be efficient at managing international finance. Therefore, this report is dedicated to critically and comparatively evaluat</w:t>
      </w:r>
      <w:r w:rsidR="00C76E85" w:rsidRPr="00C76E85">
        <w:t>ing</w:t>
      </w:r>
      <w:r w:rsidR="001C243C" w:rsidRPr="00C76E85">
        <w:t xml:space="preserve"> various distinct theories and models that are proposed in </w:t>
      </w:r>
      <w:r w:rsidR="00C76E85" w:rsidRPr="00C76E85">
        <w:t xml:space="preserve">the </w:t>
      </w:r>
      <w:r w:rsidR="001C243C" w:rsidRPr="00C76E85">
        <w:t xml:space="preserve">context of global financial management. Moreover, the report is also determined to emphasise the real-life applications of these models and theories of financial sustainability. </w:t>
      </w:r>
    </w:p>
    <w:p w14:paraId="6A901A16" w14:textId="77777777" w:rsidR="001C243C" w:rsidRPr="00C76E85" w:rsidRDefault="001C243C" w:rsidP="00AA67D1">
      <w:pPr>
        <w:spacing w:before="0" w:after="160"/>
        <w:jc w:val="left"/>
      </w:pPr>
      <w:r w:rsidRPr="00C76E85">
        <w:br w:type="page"/>
      </w:r>
    </w:p>
    <w:p w14:paraId="37C04CA2" w14:textId="0E34C2A6" w:rsidR="00055A53" w:rsidRPr="00C76E85" w:rsidRDefault="001C243C" w:rsidP="00AA67D1">
      <w:pPr>
        <w:pStyle w:val="1"/>
        <w:rPr>
          <w:rFonts w:cs="Times New Roman"/>
          <w:szCs w:val="24"/>
        </w:rPr>
      </w:pPr>
      <w:bookmarkStart w:id="2" w:name="_Toc149038997"/>
      <w:r w:rsidRPr="00C76E85">
        <w:rPr>
          <w:rFonts w:cs="Times New Roman"/>
          <w:szCs w:val="24"/>
        </w:rPr>
        <w:lastRenderedPageBreak/>
        <w:t>2. Main body</w:t>
      </w:r>
      <w:bookmarkEnd w:id="2"/>
      <w:r w:rsidRPr="00C76E85">
        <w:rPr>
          <w:rFonts w:cs="Times New Roman"/>
          <w:szCs w:val="24"/>
        </w:rPr>
        <w:t xml:space="preserve"> </w:t>
      </w:r>
    </w:p>
    <w:p w14:paraId="650CFA88" w14:textId="36F9C7B9" w:rsidR="001C243C" w:rsidRPr="00C76E85" w:rsidRDefault="0080178D" w:rsidP="00AA67D1">
      <w:pPr>
        <w:pStyle w:val="2"/>
        <w:spacing w:line="360" w:lineRule="auto"/>
        <w:rPr>
          <w:rFonts w:cs="Times New Roman"/>
          <w:szCs w:val="24"/>
          <w:u w:val="single"/>
        </w:rPr>
      </w:pPr>
      <w:bookmarkStart w:id="3" w:name="_Toc149038998"/>
      <w:r w:rsidRPr="00C76E85">
        <w:rPr>
          <w:rFonts w:cs="Times New Roman"/>
          <w:szCs w:val="24"/>
          <w:u w:val="single"/>
        </w:rPr>
        <w:t xml:space="preserve">2.1 Theoretical frameworks and models of </w:t>
      </w:r>
      <w:r w:rsidR="00C30D44" w:rsidRPr="00C76E85">
        <w:rPr>
          <w:rFonts w:cs="Times New Roman"/>
          <w:szCs w:val="24"/>
          <w:u w:val="single"/>
        </w:rPr>
        <w:t>international financial management</w:t>
      </w:r>
      <w:bookmarkEnd w:id="3"/>
      <w:r w:rsidR="00C30D44" w:rsidRPr="00C76E85">
        <w:rPr>
          <w:rFonts w:cs="Times New Roman"/>
          <w:szCs w:val="24"/>
          <w:u w:val="single"/>
        </w:rPr>
        <w:t xml:space="preserve"> </w:t>
      </w:r>
    </w:p>
    <w:p w14:paraId="21CEE54B" w14:textId="20ABEBD2" w:rsidR="0080178D" w:rsidRPr="00C76E85" w:rsidRDefault="0080178D" w:rsidP="00AA67D1">
      <w:r w:rsidRPr="00C76E85">
        <w:t xml:space="preserve">By evaluating the theoretical frameworks of international financial management, it can be observed that </w:t>
      </w:r>
      <w:r w:rsidR="00C76E85" w:rsidRPr="00C76E85">
        <w:t>numerous models</w:t>
      </w:r>
      <w:r w:rsidRPr="00C76E85">
        <w:t xml:space="preserve"> </w:t>
      </w:r>
      <w:r w:rsidR="00C76E85" w:rsidRPr="00C76E85">
        <w:t>hav</w:t>
      </w:r>
      <w:r w:rsidRPr="00C76E85">
        <w:t xml:space="preserve">e historically proven to be efficient at </w:t>
      </w:r>
      <w:r w:rsidR="00AA67D1" w:rsidRPr="00C76E85">
        <w:t xml:space="preserve">IFM </w:t>
      </w:r>
      <w:r w:rsidRPr="00C76E85">
        <w:t>and are currently adopted by multinational corporations.</w:t>
      </w:r>
      <w:r w:rsidR="00C76E85" w:rsidRPr="00C76E85">
        <w:t xml:space="preserve"> According to Yanushevsky, (2022),</w:t>
      </w:r>
      <w:r w:rsidRPr="00C76E85">
        <w:t xml:space="preserve"> </w:t>
      </w:r>
      <w:r w:rsidR="00C76E85" w:rsidRPr="00C76E85">
        <w:t>d</w:t>
      </w:r>
      <w:r w:rsidRPr="00C76E85">
        <w:t xml:space="preserve">iscounted cash flow (DCF), </w:t>
      </w:r>
      <w:r w:rsidR="00B61F29" w:rsidRPr="00C76E85">
        <w:t>asset-based</w:t>
      </w:r>
      <w:r w:rsidRPr="00C76E85">
        <w:t xml:space="preserve"> valuation</w:t>
      </w:r>
      <w:r w:rsidR="00B61F29" w:rsidRPr="00C76E85">
        <w:t xml:space="preserve"> and</w:t>
      </w:r>
      <w:r w:rsidRPr="00C76E85">
        <w:t xml:space="preserve"> relative valuation are the frameworks and models that are utilised by the corporation and the current scenario of international markets</w:t>
      </w:r>
    </w:p>
    <w:p w14:paraId="7DA1F11C" w14:textId="13543FE5" w:rsidR="0080178D" w:rsidRPr="00C76E85" w:rsidRDefault="0080178D" w:rsidP="00AA67D1">
      <w:pPr>
        <w:pStyle w:val="3"/>
        <w:rPr>
          <w:rFonts w:cs="Times New Roman"/>
        </w:rPr>
      </w:pPr>
      <w:bookmarkStart w:id="4" w:name="_Toc149038999"/>
      <w:r w:rsidRPr="00C76E85">
        <w:rPr>
          <w:rFonts w:cs="Times New Roman"/>
        </w:rPr>
        <w:t xml:space="preserve">2.1.1 Discounted </w:t>
      </w:r>
      <w:r w:rsidR="00C76E85" w:rsidRPr="00C76E85">
        <w:rPr>
          <w:rFonts w:cs="Times New Roman"/>
        </w:rPr>
        <w:t>Cash F</w:t>
      </w:r>
      <w:r w:rsidRPr="00C76E85">
        <w:rPr>
          <w:rFonts w:cs="Times New Roman"/>
        </w:rPr>
        <w:t>low</w:t>
      </w:r>
      <w:bookmarkEnd w:id="4"/>
    </w:p>
    <w:p w14:paraId="1B73D0D9" w14:textId="3998F428" w:rsidR="0080178D" w:rsidRPr="00C76E85" w:rsidRDefault="0080178D" w:rsidP="00AA67D1">
      <w:r w:rsidRPr="00C76E85">
        <w:t>The analysis based on discounted cash flow is one of the most prominently utilised method</w:t>
      </w:r>
      <w:r w:rsidR="00C76E85" w:rsidRPr="00C76E85">
        <w:t>s</w:t>
      </w:r>
      <w:r w:rsidRPr="00C76E85">
        <w:t xml:space="preserve"> of international financial management which is based on comparing the current cash flows and expenditure with the future plans of a corporation. </w:t>
      </w:r>
      <w:r w:rsidR="006C72FA" w:rsidRPr="00C76E85">
        <w:t>T</w:t>
      </w:r>
      <w:r w:rsidRPr="00C76E85">
        <w:t xml:space="preserve">he current value of a corporation’s assets investments and expenditures can be distinguished from its prospective interests in </w:t>
      </w:r>
      <w:r w:rsidR="00C76E85" w:rsidRPr="00C76E85">
        <w:t xml:space="preserve">the </w:t>
      </w:r>
      <w:r w:rsidRPr="00C76E85">
        <w:t>context of financial plans</w:t>
      </w:r>
      <w:r w:rsidR="00C76E85" w:rsidRPr="00C76E85">
        <w:t xml:space="preserve"> (Laitinen, 2019)</w:t>
      </w:r>
      <w:r w:rsidRPr="00C76E85">
        <w:t xml:space="preserve">. Therefore, the model of discounted cash flow </w:t>
      </w:r>
      <w:r w:rsidR="00B61F29" w:rsidRPr="00C76E85">
        <w:t xml:space="preserve">(DCF) </w:t>
      </w:r>
      <w:r w:rsidRPr="00C76E85">
        <w:t>is one of the most feasible frameworks which can be adopted for purpose</w:t>
      </w:r>
      <w:r w:rsidR="00C76E85" w:rsidRPr="00C76E85">
        <w:t>s</w:t>
      </w:r>
      <w:r w:rsidRPr="00C76E85">
        <w:t xml:space="preserve"> such as segregating equity and debt along with determining the profitability and risks related </w:t>
      </w:r>
      <w:r w:rsidR="00C76E85" w:rsidRPr="00C76E85">
        <w:t>to</w:t>
      </w:r>
      <w:r w:rsidRPr="00C76E85">
        <w:t xml:space="preserve"> them.</w:t>
      </w:r>
    </w:p>
    <w:p w14:paraId="03D5BE91" w14:textId="4B3113F8" w:rsidR="00B61F29" w:rsidRPr="00C76E85" w:rsidRDefault="00B61F29" w:rsidP="00AA67D1">
      <w:pPr>
        <w:pStyle w:val="3"/>
        <w:rPr>
          <w:rFonts w:cs="Times New Roman"/>
        </w:rPr>
      </w:pPr>
      <w:bookmarkStart w:id="5" w:name="_Toc149039000"/>
      <w:r w:rsidRPr="00C76E85">
        <w:rPr>
          <w:rFonts w:cs="Times New Roman"/>
        </w:rPr>
        <w:t>2.1.2 Weighted average cost of capital</w:t>
      </w:r>
      <w:bookmarkEnd w:id="5"/>
      <w:r w:rsidRPr="00C76E85">
        <w:rPr>
          <w:rFonts w:cs="Times New Roman"/>
        </w:rPr>
        <w:t xml:space="preserve"> </w:t>
      </w:r>
    </w:p>
    <w:p w14:paraId="71640067" w14:textId="2257B8C1" w:rsidR="000D256C" w:rsidRPr="00C76E85" w:rsidRDefault="000D256C" w:rsidP="00AA67D1">
      <w:r w:rsidRPr="00C76E85">
        <w:t>The framework of weighted average cost of capital (WACC) is based on determining a balanced proportion of assets acquired by an entity or multinational corporation</w:t>
      </w:r>
      <w:r w:rsidR="00C76E85" w:rsidRPr="00C76E85">
        <w:t xml:space="preserve"> (Harvey, 2020)</w:t>
      </w:r>
      <w:r w:rsidRPr="00C76E85">
        <w:t xml:space="preserve">. The assets acquired by an institution can be in the form of equity, debt, commodity or shares. The structure of capital expenditure cultivated by a company plays a role in determining the weightage of these assets as per the financial interests. </w:t>
      </w:r>
      <w:r w:rsidR="00396533" w:rsidRPr="00C76E85">
        <w:t xml:space="preserve">Furthermore, the international cost of capital is also one of the crucial aspects that contribute </w:t>
      </w:r>
      <w:r w:rsidR="00C76E85" w:rsidRPr="00C76E85">
        <w:t>to</w:t>
      </w:r>
      <w:r w:rsidR="00396533" w:rsidRPr="00C76E85">
        <w:t xml:space="preserve"> determining the weight of all the assets possessed by a multinational company. This model is also equivalent to </w:t>
      </w:r>
      <w:r w:rsidR="00C76E85" w:rsidRPr="00C76E85">
        <w:t xml:space="preserve">the </w:t>
      </w:r>
      <w:r w:rsidR="00396533" w:rsidRPr="00C76E85">
        <w:t>asset-based valuation framework which prevailed in international finance management (I</w:t>
      </w:r>
      <w:r w:rsidR="00AA67D1" w:rsidRPr="00C76E85">
        <w:t>FM</w:t>
      </w:r>
      <w:r w:rsidR="00396533" w:rsidRPr="00C76E85">
        <w:t xml:space="preserve">). </w:t>
      </w:r>
    </w:p>
    <w:p w14:paraId="1653D72A" w14:textId="3CA47976" w:rsidR="00396533" w:rsidRPr="00C76E85" w:rsidRDefault="00396533" w:rsidP="00AA67D1">
      <w:pPr>
        <w:pStyle w:val="3"/>
        <w:rPr>
          <w:rFonts w:cs="Times New Roman"/>
        </w:rPr>
      </w:pPr>
      <w:bookmarkStart w:id="6" w:name="_Toc149039001"/>
      <w:r w:rsidRPr="00C76E85">
        <w:rPr>
          <w:rFonts w:cs="Times New Roman"/>
        </w:rPr>
        <w:t>2.1.3 Adjusted present value (APV)</w:t>
      </w:r>
      <w:bookmarkEnd w:id="6"/>
      <w:r w:rsidRPr="00C76E85">
        <w:rPr>
          <w:rFonts w:cs="Times New Roman"/>
        </w:rPr>
        <w:t xml:space="preserve"> </w:t>
      </w:r>
    </w:p>
    <w:p w14:paraId="132DCFFC" w14:textId="12958C87" w:rsidR="001859FE" w:rsidRPr="00C76E85" w:rsidRDefault="001859FE" w:rsidP="00AA67D1">
      <w:r w:rsidRPr="00C76E85">
        <w:t>The model and framework of adjusted present value was established in the year 1974 which is still relevant in the context of international financial management</w:t>
      </w:r>
      <w:r w:rsidR="00C76E85" w:rsidRPr="00C76E85">
        <w:t xml:space="preserve"> (Fernandez, 2020)</w:t>
      </w:r>
      <w:r w:rsidRPr="00C76E85">
        <w:t xml:space="preserve">. This framework is based on the classification of </w:t>
      </w:r>
      <w:r w:rsidR="00C76E85" w:rsidRPr="00C76E85">
        <w:t xml:space="preserve">a </w:t>
      </w:r>
      <w:r w:rsidRPr="00C76E85">
        <w:t xml:space="preserve">company’s value on the basis of leveraged and unleveraged costs that are spent by the corporation. Furthermore, the model is based on the consideration of frequently occurring risks related </w:t>
      </w:r>
      <w:r w:rsidR="00C76E85" w:rsidRPr="00C76E85">
        <w:t>to</w:t>
      </w:r>
      <w:r w:rsidRPr="00C76E85">
        <w:t xml:space="preserve"> geopolitical fluctuations and regulations related to taxation. </w:t>
      </w:r>
    </w:p>
    <w:p w14:paraId="664EA802" w14:textId="27CE72EE" w:rsidR="00AA67D1" w:rsidRPr="00C76E85" w:rsidRDefault="00AA67D1" w:rsidP="00AA67D1">
      <w:pPr>
        <w:pStyle w:val="2"/>
        <w:spacing w:line="360" w:lineRule="auto"/>
        <w:rPr>
          <w:rFonts w:cs="Times New Roman"/>
          <w:szCs w:val="24"/>
          <w:u w:val="single"/>
        </w:rPr>
      </w:pPr>
      <w:bookmarkStart w:id="7" w:name="_Toc149039002"/>
      <w:r w:rsidRPr="00C76E85">
        <w:rPr>
          <w:rFonts w:cs="Times New Roman"/>
          <w:szCs w:val="24"/>
          <w:u w:val="single"/>
        </w:rPr>
        <w:lastRenderedPageBreak/>
        <w:t>2.2 Applications of international financial management (IFM) models</w:t>
      </w:r>
      <w:bookmarkEnd w:id="7"/>
      <w:r w:rsidRPr="00C76E85">
        <w:rPr>
          <w:rFonts w:cs="Times New Roman"/>
          <w:szCs w:val="24"/>
          <w:u w:val="single"/>
        </w:rPr>
        <w:t xml:space="preserve">  </w:t>
      </w:r>
    </w:p>
    <w:p w14:paraId="377636BA" w14:textId="4AFA6A0E" w:rsidR="00B61F29" w:rsidRPr="00C76E85" w:rsidRDefault="00AA67D1" w:rsidP="00AA67D1">
      <w:r w:rsidRPr="00C76E85">
        <w:t>There are several application</w:t>
      </w:r>
      <w:r w:rsidR="00C76E85" w:rsidRPr="00C76E85">
        <w:t>s</w:t>
      </w:r>
      <w:r w:rsidRPr="00C76E85">
        <w:t xml:space="preserve"> and usages of international financial management models that are necessary for mitigating the risks occurring due to geopolitical fluctuations and uncertainties </w:t>
      </w:r>
      <w:r w:rsidR="009E1776" w:rsidRPr="00C76E85">
        <w:t xml:space="preserve">in </w:t>
      </w:r>
      <w:r w:rsidRPr="00C76E85">
        <w:t xml:space="preserve">foreign exchange policies. </w:t>
      </w:r>
      <w:r w:rsidR="009E1776" w:rsidRPr="00C76E85">
        <w:t xml:space="preserve">One of the core applications of international financial management models is to cope with </w:t>
      </w:r>
      <w:r w:rsidR="009E1776" w:rsidRPr="00C76E85">
        <w:rPr>
          <w:b/>
          <w:bCs/>
          <w:i/>
          <w:iCs/>
        </w:rPr>
        <w:t>foreign exchange</w:t>
      </w:r>
      <w:r w:rsidR="009E1776" w:rsidRPr="00C76E85">
        <w:t xml:space="preserve"> </w:t>
      </w:r>
      <w:r w:rsidR="009E1776" w:rsidRPr="00C76E85">
        <w:rPr>
          <w:b/>
          <w:bCs/>
          <w:i/>
          <w:iCs/>
        </w:rPr>
        <w:t xml:space="preserve">and </w:t>
      </w:r>
      <w:r w:rsidR="006831D2" w:rsidRPr="00C76E85">
        <w:rPr>
          <w:b/>
          <w:bCs/>
          <w:i/>
          <w:iCs/>
        </w:rPr>
        <w:t>related</w:t>
      </w:r>
      <w:r w:rsidR="006831D2" w:rsidRPr="00C76E85">
        <w:t xml:space="preserve"> </w:t>
      </w:r>
      <w:r w:rsidR="009E1776" w:rsidRPr="00C76E85">
        <w:rPr>
          <w:b/>
          <w:bCs/>
          <w:i/>
          <w:iCs/>
        </w:rPr>
        <w:t>risks</w:t>
      </w:r>
      <w:r w:rsidR="00C76E85" w:rsidRPr="00C76E85">
        <w:rPr>
          <w:b/>
          <w:bCs/>
          <w:i/>
          <w:iCs/>
        </w:rPr>
        <w:t xml:space="preserve"> </w:t>
      </w:r>
      <w:r w:rsidR="00C76E85" w:rsidRPr="00C76E85">
        <w:t>(Gabor, 2021)</w:t>
      </w:r>
      <w:r w:rsidR="009E1776" w:rsidRPr="00C76E85">
        <w:t xml:space="preserve">. </w:t>
      </w:r>
      <w:r w:rsidR="00C76E85" w:rsidRPr="00C76E85">
        <w:t>Several internal and external factors</w:t>
      </w:r>
      <w:r w:rsidR="009E1776" w:rsidRPr="00C76E85">
        <w:t xml:space="preserve"> are responsible for changing the policies and regulations related to foreign exchange imposed on a particular entity or collective business environment in a country. These regulations and policies can be related to tariffs, taxation and rules in </w:t>
      </w:r>
      <w:r w:rsidR="00C76E85" w:rsidRPr="00C76E85">
        <w:t xml:space="preserve">the </w:t>
      </w:r>
      <w:r w:rsidR="009E1776" w:rsidRPr="00C76E85">
        <w:t>context of import and export activities. National authorities and higher figures in a country are external factors that are responsible for chronologically changing the policies and regulations related to tariffs and taxation. Therefore, the IFM models such as discounted cash flow</w:t>
      </w:r>
      <w:r w:rsidR="006831D2" w:rsidRPr="00C76E85">
        <w:t xml:space="preserve"> (DCF)</w:t>
      </w:r>
      <w:r w:rsidR="009E1776" w:rsidRPr="00C76E85">
        <w:t xml:space="preserve"> and </w:t>
      </w:r>
      <w:r w:rsidR="006831D2" w:rsidRPr="00C76E85">
        <w:t>asset-based</w:t>
      </w:r>
      <w:r w:rsidR="009E1776" w:rsidRPr="00C76E85">
        <w:t xml:space="preserve"> valuation </w:t>
      </w:r>
      <w:r w:rsidR="00C76E85" w:rsidRPr="00C76E85">
        <w:t>help contribute</w:t>
      </w:r>
      <w:r w:rsidR="009E1776" w:rsidRPr="00C76E85">
        <w:t xml:space="preserve"> to mitigat</w:t>
      </w:r>
      <w:r w:rsidR="00C76E85" w:rsidRPr="00C76E85">
        <w:t>ing</w:t>
      </w:r>
      <w:r w:rsidR="009E1776" w:rsidRPr="00C76E85">
        <w:t xml:space="preserve"> the uncertainties and challenges occurring due to these fluctuations</w:t>
      </w:r>
      <w:r w:rsidR="00C76E85" w:rsidRPr="00C76E85">
        <w:t xml:space="preserve"> (Abuamsha, 2021)</w:t>
      </w:r>
      <w:r w:rsidR="009E1776" w:rsidRPr="00C76E85">
        <w:t>.</w:t>
      </w:r>
      <w:r w:rsidR="006831D2" w:rsidRPr="00C76E85">
        <w:t xml:space="preserve"> </w:t>
      </w:r>
    </w:p>
    <w:p w14:paraId="7FAF628D" w14:textId="34DB1A56" w:rsidR="006831D2" w:rsidRPr="00C76E85" w:rsidRDefault="006831D2" w:rsidP="00AA67D1">
      <w:r w:rsidRPr="00C76E85">
        <w:t xml:space="preserve">Another major application of these models and frameworks is to </w:t>
      </w:r>
      <w:r w:rsidRPr="00C76E85">
        <w:rPr>
          <w:b/>
          <w:bCs/>
          <w:i/>
          <w:iCs/>
        </w:rPr>
        <w:t>raise monetary resources</w:t>
      </w:r>
      <w:r w:rsidRPr="00C76E85">
        <w:t xml:space="preserve"> in international markets which is an essential requirement</w:t>
      </w:r>
      <w:r w:rsidR="00C76E85" w:rsidRPr="00C76E85">
        <w:t xml:space="preserve"> (Ahmed, 2019)</w:t>
      </w:r>
      <w:r w:rsidRPr="00C76E85">
        <w:t>. The IFM models contribute to determin</w:t>
      </w:r>
      <w:r w:rsidR="00C76E85" w:rsidRPr="00C76E85">
        <w:t>ing</w:t>
      </w:r>
      <w:r w:rsidRPr="00C76E85">
        <w:t xml:space="preserve"> the channels and mediums that can be utilised by business entities </w:t>
      </w:r>
      <w:r w:rsidR="00C76E85" w:rsidRPr="00C76E85">
        <w:t>to acquire</w:t>
      </w:r>
      <w:r w:rsidRPr="00C76E85">
        <w:t xml:space="preserve"> funds and capital resources for their organisational operations. There are several options and different mediums that can be acquired by the companies </w:t>
      </w:r>
      <w:r w:rsidR="00C76E85" w:rsidRPr="00C76E85">
        <w:t>based on</w:t>
      </w:r>
      <w:r w:rsidRPr="00C76E85">
        <w:t xml:space="preserve"> their inf model such as foreign currency bonds and equity markets that are spread internationally. Therefore, international financial management models and frameworks are required for selecting the most efficient channels of fundraising and obtaining monetary resources.</w:t>
      </w:r>
    </w:p>
    <w:p w14:paraId="09EAB01D" w14:textId="6273E74B" w:rsidR="006C72FA" w:rsidRPr="00C76E85" w:rsidRDefault="006C72FA" w:rsidP="00AA67D1">
      <w:r w:rsidRPr="00C76E85">
        <w:t xml:space="preserve">Furthermore. these frameworks are also crucial for deciding the </w:t>
      </w:r>
      <w:r w:rsidRPr="00C76E85">
        <w:rPr>
          <w:b/>
          <w:bCs/>
          <w:i/>
          <w:iCs/>
        </w:rPr>
        <w:t>investment in global operations</w:t>
      </w:r>
      <w:r w:rsidRPr="00C76E85">
        <w:t xml:space="preserve"> for which the entities are required to considerately determine their association with other corporations</w:t>
      </w:r>
      <w:r w:rsidR="00C76E85" w:rsidRPr="00C76E85">
        <w:t xml:space="preserve"> (Ghauri, et al., 2021). </w:t>
      </w:r>
      <w:r w:rsidRPr="00C76E85">
        <w:t xml:space="preserve">The decisions regarding investments are sensitive and essential for the companies to expand their businesses in foreign countries and global markets. </w:t>
      </w:r>
      <w:r w:rsidR="00C76E85" w:rsidRPr="00C76E85">
        <w:t>Several risks and uncertainties</w:t>
      </w:r>
      <w:r w:rsidRPr="00C76E85">
        <w:t xml:space="preserve"> can be priorly mitigated by considering frameworks such as discounted cash flow (DCF) and weighted average cost of capital (WACC). These risks can be related to political and regulatory uncertainties that are influential </w:t>
      </w:r>
      <w:r w:rsidR="00C76E85" w:rsidRPr="00C76E85">
        <w:t>on</w:t>
      </w:r>
      <w:r w:rsidRPr="00C76E85">
        <w:t xml:space="preserve"> the business environment within a country on </w:t>
      </w:r>
      <w:r w:rsidR="00C76E85" w:rsidRPr="00C76E85">
        <w:t xml:space="preserve">a </w:t>
      </w:r>
      <w:r w:rsidRPr="00C76E85">
        <w:t>global scale. On the other hand, these risks can also be affiliated with internal factors such as the chronologically changing decisions of business entities that are associated with a concerned organisation</w:t>
      </w:r>
      <w:r w:rsidR="00C76E85" w:rsidRPr="00C76E85">
        <w:t xml:space="preserve"> (Chyba, 2020)</w:t>
      </w:r>
      <w:r w:rsidRPr="00C76E85">
        <w:t xml:space="preserve">. </w:t>
      </w:r>
    </w:p>
    <w:p w14:paraId="6D066461" w14:textId="0110D583" w:rsidR="006C72FA" w:rsidRPr="00C76E85" w:rsidRDefault="00C30D44" w:rsidP="00AA67D1">
      <w:r w:rsidRPr="00C76E85">
        <w:rPr>
          <w:b/>
          <w:bCs/>
          <w:i/>
          <w:iCs/>
        </w:rPr>
        <w:lastRenderedPageBreak/>
        <w:t xml:space="preserve">Forecasting the financial risks </w:t>
      </w:r>
      <w:r w:rsidRPr="00C76E85">
        <w:t xml:space="preserve">is also one of the primary applications of international financial management models. The forecasting of these risks </w:t>
      </w:r>
      <w:r w:rsidR="00863BE5" w:rsidRPr="00C76E85">
        <w:t>refers</w:t>
      </w:r>
      <w:r w:rsidRPr="00C76E85">
        <w:t xml:space="preserve"> to the predictions made by business entities in </w:t>
      </w:r>
      <w:r w:rsidR="00C76E85" w:rsidRPr="00C76E85">
        <w:t xml:space="preserve">the </w:t>
      </w:r>
      <w:r w:rsidRPr="00C76E85">
        <w:t>context of financial risks that can occur in the future practices of their corporation due to different uncertainties. Therefore</w:t>
      </w:r>
      <w:r w:rsidR="00863BE5" w:rsidRPr="00C76E85">
        <w:t>,</w:t>
      </w:r>
      <w:r w:rsidRPr="00C76E85">
        <w:t xml:space="preserve"> international financial management models such as </w:t>
      </w:r>
      <w:r w:rsidR="00C76E85" w:rsidRPr="00C76E85">
        <w:t xml:space="preserve">the </w:t>
      </w:r>
      <w:r w:rsidRPr="00C76E85">
        <w:t xml:space="preserve">adjusted present value </w:t>
      </w:r>
      <w:r w:rsidR="00863BE5" w:rsidRPr="00C76E85">
        <w:t xml:space="preserve">(APV) </w:t>
      </w:r>
      <w:r w:rsidRPr="00C76E85">
        <w:t xml:space="preserve">method can </w:t>
      </w:r>
      <w:r w:rsidR="00C76E85" w:rsidRPr="00C76E85">
        <w:t>help forecast</w:t>
      </w:r>
      <w:r w:rsidRPr="00C76E85">
        <w:t xml:space="preserve"> the monetary risks which is essential for avoiding the financial losses</w:t>
      </w:r>
      <w:r w:rsidR="00863BE5" w:rsidRPr="00C76E85">
        <w:t xml:space="preserve"> in global markets</w:t>
      </w:r>
      <w:r w:rsidR="00C76E85" w:rsidRPr="00C76E85">
        <w:t xml:space="preserve"> (Breuer, 2021)</w:t>
      </w:r>
      <w:r w:rsidR="00863BE5" w:rsidRPr="00C76E85">
        <w:t>.</w:t>
      </w:r>
    </w:p>
    <w:p w14:paraId="5581E914" w14:textId="49499D01" w:rsidR="00863BE5" w:rsidRPr="00C76E85" w:rsidRDefault="00863BE5" w:rsidP="00863BE5">
      <w:pPr>
        <w:pStyle w:val="2"/>
        <w:rPr>
          <w:rFonts w:cs="Times New Roman"/>
          <w:szCs w:val="24"/>
          <w:u w:val="single"/>
        </w:rPr>
      </w:pPr>
      <w:bookmarkStart w:id="8" w:name="_Toc149039003"/>
      <w:r w:rsidRPr="00C76E85">
        <w:rPr>
          <w:rFonts w:cs="Times New Roman"/>
          <w:szCs w:val="24"/>
          <w:u w:val="single"/>
        </w:rPr>
        <w:t>2.3 Critical evaluation of international financial management models</w:t>
      </w:r>
      <w:bookmarkEnd w:id="8"/>
      <w:r w:rsidRPr="00C76E85">
        <w:rPr>
          <w:rFonts w:cs="Times New Roman"/>
          <w:szCs w:val="24"/>
          <w:u w:val="single"/>
        </w:rPr>
        <w:t xml:space="preserve"> </w:t>
      </w:r>
    </w:p>
    <w:p w14:paraId="23CC494D" w14:textId="5E3BC1B3" w:rsidR="00320EAF" w:rsidRPr="00C76E85" w:rsidRDefault="00320EAF" w:rsidP="00320EAF">
      <w:r w:rsidRPr="00C76E85">
        <w:t>The models of international financial management such as adjusted present value, Relative valuation and asset-based valuation have their own strengths and drawbacks. The frameworks and models are to be considerately determined by the companies to ensure the beneficial outgrowth and successful execution of organisational operations in the international business environment. By critically observing the collective outcomes of different IFM frameworks, it can be stated that asset-based valuation is a more feasible and pragmatic method when it is relatively compared to other strategies</w:t>
      </w:r>
      <w:r w:rsidR="00C76E85" w:rsidRPr="00C76E85">
        <w:t xml:space="preserve"> (</w:t>
      </w:r>
      <w:r w:rsidR="00C76E85" w:rsidRPr="00C76E85">
        <w:rPr>
          <w:color w:val="222222"/>
          <w:shd w:val="clear" w:color="auto" w:fill="FFFFFF"/>
        </w:rPr>
        <w:t>Kulwizira Lukanima, 2023)</w:t>
      </w:r>
      <w:r w:rsidRPr="00C76E85">
        <w:t xml:space="preserve">. This model is more convenient to </w:t>
      </w:r>
      <w:r w:rsidR="00C76E85" w:rsidRPr="00C76E85">
        <w:t>execute</w:t>
      </w:r>
      <w:r w:rsidRPr="00C76E85">
        <w:t xml:space="preserve"> in the real</w:t>
      </w:r>
      <w:r w:rsidR="00C76E85" w:rsidRPr="00C76E85">
        <w:t>-</w:t>
      </w:r>
      <w:r w:rsidRPr="00C76E85">
        <w:t xml:space="preserve">time organisational operations of an institution since it is based on the segmentation of assets such as equity, debt and commodities. However, it can be implied as a drawback of this model that the framework of asset-based evaluation is not efficient at ensuring synergy and coordination between the different assets. </w:t>
      </w:r>
    </w:p>
    <w:p w14:paraId="39F5F904" w14:textId="489D0B37" w:rsidR="00320EAF" w:rsidRPr="00C76E85" w:rsidRDefault="003E3467" w:rsidP="00320EAF">
      <w:r w:rsidRPr="00C76E85">
        <w:t>Similarly, the relative valuation model is also based on comparatively determining the acquisition of different valuation holding assets provided by the entities in international markets</w:t>
      </w:r>
      <w:r w:rsidR="00C76E85" w:rsidRPr="00C76E85">
        <w:t xml:space="preserve"> (</w:t>
      </w:r>
      <w:r w:rsidR="00C76E85" w:rsidRPr="00C76E85">
        <w:rPr>
          <w:color w:val="222222"/>
          <w:shd w:val="clear" w:color="auto" w:fill="FFFFFF"/>
        </w:rPr>
        <w:t>Renneboog, L. and Vansteenkiste, 2019</w:t>
      </w:r>
      <w:r w:rsidR="00C76E85" w:rsidRPr="00C76E85">
        <w:t>)</w:t>
      </w:r>
      <w:r w:rsidRPr="00C76E85">
        <w:t xml:space="preserve">. However, the method of relative valuation is utilised by companies that are facing difficulties in implementing other similar methods due to the lack of financial measurement parameters. The companies that are working in </w:t>
      </w:r>
      <w:r w:rsidR="00C76E85" w:rsidRPr="00C76E85">
        <w:t xml:space="preserve">the </w:t>
      </w:r>
      <w:r w:rsidRPr="00C76E85">
        <w:t>information technology (IT) industry are an example of corporations that are inclined to adopt this framework of international financial management. The method of relative valuation is also known as one of the most straightforward and effective frameworks for the applications of risk management and financial loss forecasting.</w:t>
      </w:r>
    </w:p>
    <w:p w14:paraId="5BFFAEF3" w14:textId="0098803D" w:rsidR="003E3467" w:rsidRPr="00C76E85" w:rsidRDefault="003E3467" w:rsidP="00320EAF">
      <w:r w:rsidRPr="00C76E85">
        <w:t>On the other hand, the method of discounted cash flow (DCF) is argued to be remarkable at benefiting companies with long</w:t>
      </w:r>
      <w:r w:rsidR="00C76E85" w:rsidRPr="00C76E85">
        <w:t>-</w:t>
      </w:r>
      <w:r w:rsidRPr="00C76E85">
        <w:t>term sustainability and establishing a significant international market</w:t>
      </w:r>
      <w:r w:rsidR="00C76E85" w:rsidRPr="00C76E85">
        <w:t xml:space="preserve"> (Guarini, et al., 2020)</w:t>
      </w:r>
      <w:r w:rsidRPr="00C76E85">
        <w:t xml:space="preserve">. </w:t>
      </w:r>
      <w:r w:rsidR="00C76E85" w:rsidRPr="00C76E85">
        <w:t>However,</w:t>
      </w:r>
      <w:r w:rsidRPr="00C76E85">
        <w:t xml:space="preserve"> this method is also stated to be sensitive and uncertain in </w:t>
      </w:r>
      <w:r w:rsidR="00C76E85" w:rsidRPr="00C76E85">
        <w:t xml:space="preserve">the </w:t>
      </w:r>
      <w:r w:rsidRPr="00C76E85">
        <w:t>context of the assumptions and forecasting related to future risks and uncertainties such as geopolitical fluctuations.</w:t>
      </w:r>
    </w:p>
    <w:p w14:paraId="72A5C2E4" w14:textId="77777777" w:rsidR="005D2685" w:rsidRPr="00C76E85" w:rsidRDefault="00320EAF" w:rsidP="00320EAF">
      <w:pPr>
        <w:pStyle w:val="1"/>
        <w:rPr>
          <w:rFonts w:cs="Times New Roman"/>
          <w:szCs w:val="24"/>
        </w:rPr>
      </w:pPr>
      <w:r w:rsidRPr="00C76E85">
        <w:rPr>
          <w:rFonts w:cs="Times New Roman"/>
          <w:szCs w:val="24"/>
        </w:rPr>
        <w:br w:type="page"/>
      </w:r>
      <w:bookmarkStart w:id="9" w:name="_Toc149039004"/>
      <w:r w:rsidRPr="00C76E85">
        <w:rPr>
          <w:rFonts w:cs="Times New Roman"/>
          <w:szCs w:val="24"/>
        </w:rPr>
        <w:lastRenderedPageBreak/>
        <w:t>3. Conclusion</w:t>
      </w:r>
      <w:bookmarkEnd w:id="9"/>
      <w:r w:rsidRPr="00C76E85">
        <w:rPr>
          <w:rFonts w:cs="Times New Roman"/>
          <w:szCs w:val="24"/>
        </w:rPr>
        <w:t xml:space="preserve"> </w:t>
      </w:r>
    </w:p>
    <w:p w14:paraId="023E9EB1" w14:textId="33C82574" w:rsidR="005D2685" w:rsidRPr="00C76E85" w:rsidRDefault="005D2685" w:rsidP="005D2685">
      <w:r w:rsidRPr="00C76E85">
        <w:t xml:space="preserve">By concluding the different viewpoints and arguments given regarding distinct models and frameworks of international financial management, it can be stated that all the models have their own strengths and drawbacks. Furthermore, it can also be analysed that the distinct models and frameworks are only utilised and adopted by particular industries and companies according </w:t>
      </w:r>
      <w:r w:rsidR="00C76E85" w:rsidRPr="00C76E85">
        <w:t xml:space="preserve">to </w:t>
      </w:r>
      <w:r w:rsidRPr="00C76E85">
        <w:t xml:space="preserve">their interests and financial plans in international markets. The models such as asset-based valuation and relative valuation are efficient at the segmentation of assets as these frameworks are more convenient and pragmatic to </w:t>
      </w:r>
      <w:r w:rsidR="00C76E85" w:rsidRPr="00C76E85">
        <w:t>execute</w:t>
      </w:r>
      <w:r w:rsidRPr="00C76E85">
        <w:t>. Whereas, the model of discounted cash flow (DCF) is more suitable for determining the future objectives and prospective operations of a business corporation</w:t>
      </w:r>
    </w:p>
    <w:p w14:paraId="5B946833" w14:textId="28027B3D" w:rsidR="00320EAF" w:rsidRPr="00C76E85" w:rsidRDefault="00320EAF" w:rsidP="005D2685">
      <w:r w:rsidRPr="00C76E85">
        <w:br w:type="page"/>
      </w:r>
    </w:p>
    <w:p w14:paraId="5551DEB9" w14:textId="740317BA" w:rsidR="00C30D44" w:rsidRPr="00C76E85" w:rsidRDefault="00320EAF" w:rsidP="00320EAF">
      <w:pPr>
        <w:pStyle w:val="1"/>
        <w:rPr>
          <w:rFonts w:cs="Times New Roman"/>
          <w:szCs w:val="24"/>
        </w:rPr>
      </w:pPr>
      <w:bookmarkStart w:id="10" w:name="_Toc149039005"/>
      <w:r w:rsidRPr="00C76E85">
        <w:rPr>
          <w:rFonts w:cs="Times New Roman"/>
          <w:szCs w:val="24"/>
        </w:rPr>
        <w:lastRenderedPageBreak/>
        <w:t>Reference</w:t>
      </w:r>
      <w:bookmarkEnd w:id="10"/>
      <w:r w:rsidR="005D2685" w:rsidRPr="00C76E85">
        <w:rPr>
          <w:rFonts w:cs="Times New Roman"/>
          <w:szCs w:val="24"/>
        </w:rPr>
        <w:t>s</w:t>
      </w:r>
    </w:p>
    <w:p w14:paraId="13E36937" w14:textId="77777777" w:rsidR="00C76E85" w:rsidRPr="00C76E85" w:rsidRDefault="00C76E85" w:rsidP="00C76E85">
      <w:pPr>
        <w:rPr>
          <w:color w:val="222222"/>
          <w:shd w:val="clear" w:color="auto" w:fill="FFFFFF"/>
        </w:rPr>
      </w:pPr>
      <w:r w:rsidRPr="00C76E85">
        <w:rPr>
          <w:color w:val="222222"/>
          <w:shd w:val="clear" w:color="auto" w:fill="FFFFFF"/>
        </w:rPr>
        <w:t>Abuamsha, M.K., 2021. VALUATION METHODS IN EMERGING FINANCIAL MARKETS: LITERATURE REVIEW STUDY. </w:t>
      </w:r>
      <w:r w:rsidRPr="00C76E85">
        <w:rPr>
          <w:i/>
          <w:iCs/>
          <w:color w:val="222222"/>
          <w:shd w:val="clear" w:color="auto" w:fill="FFFFFF"/>
        </w:rPr>
        <w:t>Academy of Strategic Management Journal</w:t>
      </w:r>
      <w:r w:rsidRPr="00C76E85">
        <w:rPr>
          <w:color w:val="222222"/>
          <w:shd w:val="clear" w:color="auto" w:fill="FFFFFF"/>
        </w:rPr>
        <w:t>, </w:t>
      </w:r>
      <w:r w:rsidRPr="00C76E85">
        <w:rPr>
          <w:i/>
          <w:iCs/>
          <w:color w:val="222222"/>
          <w:shd w:val="clear" w:color="auto" w:fill="FFFFFF"/>
        </w:rPr>
        <w:t>20</w:t>
      </w:r>
      <w:r w:rsidRPr="00C76E85">
        <w:rPr>
          <w:color w:val="222222"/>
          <w:shd w:val="clear" w:color="auto" w:fill="FFFFFF"/>
        </w:rPr>
        <w:t>, pp.1-27.</w:t>
      </w:r>
    </w:p>
    <w:p w14:paraId="16481449" w14:textId="77777777" w:rsidR="00C76E85" w:rsidRPr="00C76E85" w:rsidRDefault="00C76E85" w:rsidP="00C76E85">
      <w:pPr>
        <w:rPr>
          <w:color w:val="222222"/>
          <w:shd w:val="clear" w:color="auto" w:fill="FFFFFF"/>
        </w:rPr>
      </w:pPr>
      <w:r w:rsidRPr="00C76E85">
        <w:rPr>
          <w:color w:val="222222"/>
          <w:shd w:val="clear" w:color="auto" w:fill="FFFFFF"/>
        </w:rPr>
        <w:t>Breuer, W. and Ruiz de Vargas, S., 2021. Some key developments in international financial management. </w:t>
      </w:r>
      <w:r w:rsidRPr="00C76E85">
        <w:rPr>
          <w:i/>
          <w:iCs/>
          <w:color w:val="222222"/>
          <w:shd w:val="clear" w:color="auto" w:fill="FFFFFF"/>
        </w:rPr>
        <w:t>Journal of Business Economics</w:t>
      </w:r>
      <w:r w:rsidRPr="00C76E85">
        <w:rPr>
          <w:color w:val="222222"/>
          <w:shd w:val="clear" w:color="auto" w:fill="FFFFFF"/>
        </w:rPr>
        <w:t>, </w:t>
      </w:r>
      <w:r w:rsidRPr="00C76E85">
        <w:rPr>
          <w:i/>
          <w:iCs/>
          <w:color w:val="222222"/>
          <w:shd w:val="clear" w:color="auto" w:fill="FFFFFF"/>
        </w:rPr>
        <w:t>91</w:t>
      </w:r>
      <w:r w:rsidRPr="00C76E85">
        <w:rPr>
          <w:color w:val="222222"/>
          <w:shd w:val="clear" w:color="auto" w:fill="FFFFFF"/>
        </w:rPr>
        <w:t>(5), pp.595-615.</w:t>
      </w:r>
    </w:p>
    <w:p w14:paraId="663EFBED" w14:textId="77777777" w:rsidR="00C76E85" w:rsidRPr="00C76E85" w:rsidRDefault="00C76E85" w:rsidP="00C76E85">
      <w:pPr>
        <w:rPr>
          <w:color w:val="222222"/>
          <w:shd w:val="clear" w:color="auto" w:fill="FFFFFF"/>
        </w:rPr>
      </w:pPr>
      <w:r w:rsidRPr="00C76E85">
        <w:rPr>
          <w:color w:val="222222"/>
          <w:shd w:val="clear" w:color="auto" w:fill="FFFFFF"/>
        </w:rPr>
        <w:t>Chyba, J., 2020. Impact of Capital Structure and Its Changes on the Value of Companies Obtained Through the Discounted Cash Flow Formula.</w:t>
      </w:r>
    </w:p>
    <w:p w14:paraId="195390E9" w14:textId="77777777" w:rsidR="00C76E85" w:rsidRPr="00C76E85" w:rsidRDefault="00C76E85" w:rsidP="00C76E85">
      <w:pPr>
        <w:rPr>
          <w:color w:val="222222"/>
          <w:shd w:val="clear" w:color="auto" w:fill="FFFFFF"/>
        </w:rPr>
      </w:pPr>
      <w:r w:rsidRPr="00C76E85">
        <w:rPr>
          <w:color w:val="222222"/>
          <w:shd w:val="clear" w:color="auto" w:fill="FFFFFF"/>
        </w:rPr>
        <w:t>Fernandez, P., 2020. Valuing companies by cash flow discounting: Only APV does not require iteration. </w:t>
      </w:r>
      <w:r w:rsidRPr="00C76E85">
        <w:rPr>
          <w:i/>
          <w:iCs/>
          <w:color w:val="222222"/>
          <w:shd w:val="clear" w:color="auto" w:fill="FFFFFF"/>
        </w:rPr>
        <w:t>Available at SSRN 3682128</w:t>
      </w:r>
      <w:r w:rsidRPr="00C76E85">
        <w:rPr>
          <w:color w:val="222222"/>
          <w:shd w:val="clear" w:color="auto" w:fill="FFFFFF"/>
        </w:rPr>
        <w:t>.</w:t>
      </w:r>
    </w:p>
    <w:p w14:paraId="35EAFE02" w14:textId="77777777" w:rsidR="00C76E85" w:rsidRPr="00C76E85" w:rsidRDefault="00C76E85" w:rsidP="00C76E85">
      <w:pPr>
        <w:rPr>
          <w:color w:val="222222"/>
          <w:shd w:val="clear" w:color="auto" w:fill="FFFFFF"/>
        </w:rPr>
      </w:pPr>
      <w:r w:rsidRPr="00C76E85">
        <w:rPr>
          <w:color w:val="222222"/>
          <w:shd w:val="clear" w:color="auto" w:fill="FFFFFF"/>
        </w:rPr>
        <w:t>Gabor, D., 2021. The wall street consensus. </w:t>
      </w:r>
      <w:r w:rsidRPr="00C76E85">
        <w:rPr>
          <w:i/>
          <w:iCs/>
          <w:color w:val="222222"/>
          <w:shd w:val="clear" w:color="auto" w:fill="FFFFFF"/>
        </w:rPr>
        <w:t>Development and change</w:t>
      </w:r>
      <w:r w:rsidRPr="00C76E85">
        <w:rPr>
          <w:color w:val="222222"/>
          <w:shd w:val="clear" w:color="auto" w:fill="FFFFFF"/>
        </w:rPr>
        <w:t>, </w:t>
      </w:r>
      <w:r w:rsidRPr="00C76E85">
        <w:rPr>
          <w:i/>
          <w:iCs/>
          <w:color w:val="222222"/>
          <w:shd w:val="clear" w:color="auto" w:fill="FFFFFF"/>
        </w:rPr>
        <w:t>52</w:t>
      </w:r>
      <w:r w:rsidRPr="00C76E85">
        <w:rPr>
          <w:color w:val="222222"/>
          <w:shd w:val="clear" w:color="auto" w:fill="FFFFFF"/>
        </w:rPr>
        <w:t>(3), pp.429-459.</w:t>
      </w:r>
    </w:p>
    <w:p w14:paraId="131F5185" w14:textId="77777777" w:rsidR="00C76E85" w:rsidRPr="00C76E85" w:rsidRDefault="00C76E85" w:rsidP="00C76E85">
      <w:r w:rsidRPr="00C76E85">
        <w:rPr>
          <w:color w:val="222222"/>
          <w:shd w:val="clear" w:color="auto" w:fill="FFFFFF"/>
        </w:rPr>
        <w:t>Ghauri, P., Strange, R. and Cooke, F.L., 2021. Research on international business: The new realities. </w:t>
      </w:r>
      <w:r w:rsidRPr="00C76E85">
        <w:rPr>
          <w:i/>
          <w:iCs/>
          <w:color w:val="222222"/>
          <w:shd w:val="clear" w:color="auto" w:fill="FFFFFF"/>
        </w:rPr>
        <w:t>International Business Review</w:t>
      </w:r>
      <w:r w:rsidRPr="00C76E85">
        <w:rPr>
          <w:color w:val="222222"/>
          <w:shd w:val="clear" w:color="auto" w:fill="FFFFFF"/>
        </w:rPr>
        <w:t>, </w:t>
      </w:r>
      <w:r w:rsidRPr="00C76E85">
        <w:rPr>
          <w:i/>
          <w:iCs/>
          <w:color w:val="222222"/>
          <w:shd w:val="clear" w:color="auto" w:fill="FFFFFF"/>
        </w:rPr>
        <w:t>30</w:t>
      </w:r>
      <w:r w:rsidRPr="00C76E85">
        <w:rPr>
          <w:color w:val="222222"/>
          <w:shd w:val="clear" w:color="auto" w:fill="FFFFFF"/>
        </w:rPr>
        <w:t>(2), p.101794.</w:t>
      </w:r>
    </w:p>
    <w:p w14:paraId="33871709" w14:textId="77777777" w:rsidR="00C76E85" w:rsidRPr="00C76E85" w:rsidRDefault="00C76E85" w:rsidP="00C76E85">
      <w:pPr>
        <w:rPr>
          <w:color w:val="222222"/>
          <w:shd w:val="clear" w:color="auto" w:fill="FFFFFF"/>
        </w:rPr>
      </w:pPr>
      <w:r w:rsidRPr="00C76E85">
        <w:rPr>
          <w:color w:val="222222"/>
          <w:shd w:val="clear" w:color="auto" w:fill="FFFFFF"/>
        </w:rPr>
        <w:t>Guarini, M.R., Morano, P. and Micheli, A., 2020, July. A Procedure to Evaluate the Extra-Charge of Urbanization. In </w:t>
      </w:r>
      <w:r w:rsidRPr="00C76E85">
        <w:rPr>
          <w:i/>
          <w:iCs/>
          <w:color w:val="222222"/>
          <w:shd w:val="clear" w:color="auto" w:fill="FFFFFF"/>
        </w:rPr>
        <w:t>International Conference on Computational Science and Its Applications</w:t>
      </w:r>
      <w:r w:rsidRPr="00C76E85">
        <w:rPr>
          <w:color w:val="222222"/>
          <w:shd w:val="clear" w:color="auto" w:fill="FFFFFF"/>
        </w:rPr>
        <w:t> (pp. 981-999). Cham: Springer International Publishing.</w:t>
      </w:r>
    </w:p>
    <w:p w14:paraId="608B8531" w14:textId="77777777" w:rsidR="00C76E85" w:rsidRPr="00C76E85" w:rsidRDefault="00C76E85" w:rsidP="00C76E85">
      <w:pPr>
        <w:rPr>
          <w:color w:val="222222"/>
          <w:shd w:val="clear" w:color="auto" w:fill="FFFFFF"/>
        </w:rPr>
      </w:pPr>
      <w:r w:rsidRPr="00C76E85">
        <w:rPr>
          <w:color w:val="222222"/>
          <w:shd w:val="clear" w:color="auto" w:fill="FFFFFF"/>
        </w:rPr>
        <w:t>Harvey, L.D., 2020. Clarifications of and improvements to the equations used to calculate the levelized cost of electricity (LCOE), and comments on the weighted average cost of capital (WACC). </w:t>
      </w:r>
      <w:r w:rsidRPr="00C76E85">
        <w:rPr>
          <w:i/>
          <w:iCs/>
          <w:color w:val="222222"/>
          <w:shd w:val="clear" w:color="auto" w:fill="FFFFFF"/>
        </w:rPr>
        <w:t>Energy</w:t>
      </w:r>
      <w:r w:rsidRPr="00C76E85">
        <w:rPr>
          <w:color w:val="222222"/>
          <w:shd w:val="clear" w:color="auto" w:fill="FFFFFF"/>
        </w:rPr>
        <w:t>, </w:t>
      </w:r>
      <w:r w:rsidRPr="00C76E85">
        <w:rPr>
          <w:i/>
          <w:iCs/>
          <w:color w:val="222222"/>
          <w:shd w:val="clear" w:color="auto" w:fill="FFFFFF"/>
        </w:rPr>
        <w:t>207</w:t>
      </w:r>
      <w:r w:rsidRPr="00C76E85">
        <w:rPr>
          <w:color w:val="222222"/>
          <w:shd w:val="clear" w:color="auto" w:fill="FFFFFF"/>
        </w:rPr>
        <w:t>, p.118340.</w:t>
      </w:r>
    </w:p>
    <w:p w14:paraId="6381893B" w14:textId="77777777" w:rsidR="00C76E85" w:rsidRPr="00C76E85" w:rsidRDefault="00C76E85" w:rsidP="00C76E85">
      <w:pPr>
        <w:rPr>
          <w:color w:val="222222"/>
          <w:shd w:val="clear" w:color="auto" w:fill="FFFFFF"/>
        </w:rPr>
      </w:pPr>
      <w:r w:rsidRPr="00C76E85">
        <w:rPr>
          <w:color w:val="222222"/>
          <w:shd w:val="clear" w:color="auto" w:fill="FFFFFF"/>
        </w:rPr>
        <w:t>Kulwizira Lukanima, B., 2023. Free Cash Flow Discount Models: The Adjusted Present Value Approach. In </w:t>
      </w:r>
      <w:r w:rsidRPr="00C76E85">
        <w:rPr>
          <w:i/>
          <w:iCs/>
          <w:color w:val="222222"/>
          <w:shd w:val="clear" w:color="auto" w:fill="FFFFFF"/>
        </w:rPr>
        <w:t>Corporate Valuation: A Practical Approach with Case Studies</w:t>
      </w:r>
      <w:r w:rsidRPr="00C76E85">
        <w:rPr>
          <w:color w:val="222222"/>
          <w:shd w:val="clear" w:color="auto" w:fill="FFFFFF"/>
        </w:rPr>
        <w:t> (pp. 541-557). Cham: Springer International Publishing.</w:t>
      </w:r>
    </w:p>
    <w:p w14:paraId="7B7A93DE" w14:textId="77777777" w:rsidR="00C76E85" w:rsidRPr="00C76E85" w:rsidRDefault="00C76E85" w:rsidP="00C76E85">
      <w:pPr>
        <w:rPr>
          <w:color w:val="222222"/>
          <w:shd w:val="clear" w:color="auto" w:fill="FFFFFF"/>
        </w:rPr>
      </w:pPr>
      <w:r w:rsidRPr="00C76E85">
        <w:rPr>
          <w:color w:val="222222"/>
          <w:shd w:val="clear" w:color="auto" w:fill="FFFFFF"/>
        </w:rPr>
        <w:t>Laitinen, E.K., 2019. Discounted Cash Flow (DCF) as a measure of startup financial success.</w:t>
      </w:r>
    </w:p>
    <w:p w14:paraId="28879A05" w14:textId="77777777" w:rsidR="00C76E85" w:rsidRPr="00C76E85" w:rsidRDefault="00C76E85" w:rsidP="00C76E85">
      <w:r w:rsidRPr="00C76E85">
        <w:rPr>
          <w:color w:val="222222"/>
          <w:shd w:val="clear" w:color="auto" w:fill="FFFFFF"/>
        </w:rPr>
        <w:t>Renneboog, L. and Vansteenkiste, C., 2019. Failure and success in mergers and acquisitions. </w:t>
      </w:r>
      <w:r w:rsidRPr="00C76E85">
        <w:rPr>
          <w:i/>
          <w:iCs/>
          <w:color w:val="222222"/>
          <w:shd w:val="clear" w:color="auto" w:fill="FFFFFF"/>
        </w:rPr>
        <w:t>Journal of Corporate Finance</w:t>
      </w:r>
      <w:r w:rsidRPr="00C76E85">
        <w:rPr>
          <w:color w:val="222222"/>
          <w:shd w:val="clear" w:color="auto" w:fill="FFFFFF"/>
        </w:rPr>
        <w:t>, </w:t>
      </w:r>
      <w:r w:rsidRPr="00C76E85">
        <w:rPr>
          <w:i/>
          <w:iCs/>
          <w:color w:val="222222"/>
          <w:shd w:val="clear" w:color="auto" w:fill="FFFFFF"/>
        </w:rPr>
        <w:t>58</w:t>
      </w:r>
      <w:r w:rsidRPr="00C76E85">
        <w:rPr>
          <w:color w:val="222222"/>
          <w:shd w:val="clear" w:color="auto" w:fill="FFFFFF"/>
        </w:rPr>
        <w:t>, pp.650-699.</w:t>
      </w:r>
    </w:p>
    <w:p w14:paraId="752C7AB8" w14:textId="77777777" w:rsidR="00C76E85" w:rsidRPr="00C76E85" w:rsidRDefault="00C76E85" w:rsidP="00C76E85">
      <w:pPr>
        <w:rPr>
          <w:color w:val="222222"/>
          <w:shd w:val="clear" w:color="auto" w:fill="FFFFFF"/>
        </w:rPr>
      </w:pPr>
      <w:r w:rsidRPr="00C76E85">
        <w:rPr>
          <w:color w:val="222222"/>
          <w:shd w:val="clear" w:color="auto" w:fill="FFFFFF"/>
        </w:rPr>
        <w:t>Yanushevsky, R., Yanushevsky, D. and Yanushevsky, C., 2022. Asset-based valuation: a modified discounted cash flow approach. In </w:t>
      </w:r>
      <w:r w:rsidRPr="00C76E85">
        <w:rPr>
          <w:i/>
          <w:iCs/>
          <w:color w:val="222222"/>
          <w:shd w:val="clear" w:color="auto" w:fill="FFFFFF"/>
        </w:rPr>
        <w:t>Handbook of Banking and Finance in Emerging Markets</w:t>
      </w:r>
      <w:r w:rsidRPr="00C76E85">
        <w:rPr>
          <w:color w:val="222222"/>
          <w:shd w:val="clear" w:color="auto" w:fill="FFFFFF"/>
        </w:rPr>
        <w:t> (pp. 70-82). Edward Elgar Publishing.</w:t>
      </w:r>
    </w:p>
    <w:p w14:paraId="5F1F7B72" w14:textId="0E84C702" w:rsidR="006C72FA" w:rsidRPr="00635D57" w:rsidRDefault="00C76E85" w:rsidP="00AA67D1">
      <w:pPr>
        <w:rPr>
          <w:color w:val="222222"/>
          <w:shd w:val="clear" w:color="auto" w:fill="FFFFFF"/>
        </w:rPr>
      </w:pPr>
      <w:r w:rsidRPr="00C76E85">
        <w:rPr>
          <w:color w:val="222222"/>
          <w:shd w:val="clear" w:color="auto" w:fill="FFFFFF"/>
        </w:rPr>
        <w:t>Zetzsche, D.A., Arner, D.W. and Buckley, R.P., 2020. Decentralized finance (defi). </w:t>
      </w:r>
      <w:r w:rsidRPr="00C76E85">
        <w:rPr>
          <w:i/>
          <w:iCs/>
          <w:color w:val="222222"/>
          <w:shd w:val="clear" w:color="auto" w:fill="FFFFFF"/>
        </w:rPr>
        <w:t>Journal of Financial Regulation</w:t>
      </w:r>
      <w:r w:rsidRPr="00C76E85">
        <w:rPr>
          <w:color w:val="222222"/>
          <w:shd w:val="clear" w:color="auto" w:fill="FFFFFF"/>
        </w:rPr>
        <w:t>, </w:t>
      </w:r>
      <w:r w:rsidRPr="00C76E85">
        <w:rPr>
          <w:i/>
          <w:iCs/>
          <w:color w:val="222222"/>
          <w:shd w:val="clear" w:color="auto" w:fill="FFFFFF"/>
        </w:rPr>
        <w:t>6</w:t>
      </w:r>
      <w:r w:rsidRPr="00C76E85">
        <w:rPr>
          <w:color w:val="222222"/>
          <w:shd w:val="clear" w:color="auto" w:fill="FFFFFF"/>
        </w:rPr>
        <w:t>, pp.172-203.</w:t>
      </w:r>
    </w:p>
    <w:sectPr w:rsidR="006C72FA" w:rsidRPr="00635D5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1F8BD5" w14:textId="77777777" w:rsidR="00F359E5" w:rsidRDefault="00F359E5" w:rsidP="0080178D">
      <w:pPr>
        <w:spacing w:before="0" w:after="0" w:line="240" w:lineRule="auto"/>
      </w:pPr>
      <w:r>
        <w:separator/>
      </w:r>
    </w:p>
  </w:endnote>
  <w:endnote w:type="continuationSeparator" w:id="0">
    <w:p w14:paraId="1BEF4416" w14:textId="77777777" w:rsidR="00F359E5" w:rsidRDefault="00F359E5" w:rsidP="0080178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8589824"/>
      <w:docPartObj>
        <w:docPartGallery w:val="Page Numbers (Bottom of Page)"/>
        <w:docPartUnique/>
      </w:docPartObj>
    </w:sdtPr>
    <w:sdtEndPr>
      <w:rPr>
        <w:noProof/>
      </w:rPr>
    </w:sdtEndPr>
    <w:sdtContent>
      <w:p w14:paraId="1CE75338" w14:textId="4341C942" w:rsidR="0080178D" w:rsidRDefault="0080178D">
        <w:pPr>
          <w:pStyle w:val="a5"/>
          <w:jc w:val="center"/>
        </w:pPr>
        <w:r>
          <w:fldChar w:fldCharType="begin"/>
        </w:r>
        <w:r>
          <w:instrText xml:space="preserve"> PAGE   \* MERGEFORMAT </w:instrText>
        </w:r>
        <w:r>
          <w:fldChar w:fldCharType="separate"/>
        </w:r>
        <w:r w:rsidR="005D4EA6">
          <w:rPr>
            <w:noProof/>
          </w:rPr>
          <w:t>8</w:t>
        </w:r>
        <w:r>
          <w:rPr>
            <w:noProof/>
          </w:rPr>
          <w:fldChar w:fldCharType="end"/>
        </w:r>
      </w:p>
    </w:sdtContent>
  </w:sdt>
  <w:p w14:paraId="3860B4EF" w14:textId="77777777" w:rsidR="0080178D" w:rsidRDefault="0080178D">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F4CEB5" w14:textId="77777777" w:rsidR="00F359E5" w:rsidRDefault="00F359E5" w:rsidP="0080178D">
      <w:pPr>
        <w:spacing w:before="0" w:after="0" w:line="240" w:lineRule="auto"/>
      </w:pPr>
      <w:r>
        <w:separator/>
      </w:r>
    </w:p>
  </w:footnote>
  <w:footnote w:type="continuationSeparator" w:id="0">
    <w:p w14:paraId="4009E803" w14:textId="77777777" w:rsidR="00F359E5" w:rsidRDefault="00F359E5" w:rsidP="0080178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625868"/>
    <w:multiLevelType w:val="hybridMultilevel"/>
    <w:tmpl w:val="B2DE7C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K1sDA3MjIzsjQzNDFW0lEKTi0uzszPAykwrAUAfu1cYSwAAAA="/>
  </w:docVars>
  <w:rsids>
    <w:rsidRoot w:val="00055A53"/>
    <w:rsid w:val="000025E3"/>
    <w:rsid w:val="00055A53"/>
    <w:rsid w:val="000767F7"/>
    <w:rsid w:val="000D256C"/>
    <w:rsid w:val="001859FE"/>
    <w:rsid w:val="0019308B"/>
    <w:rsid w:val="001C243C"/>
    <w:rsid w:val="001F51E4"/>
    <w:rsid w:val="00206F02"/>
    <w:rsid w:val="00320EAF"/>
    <w:rsid w:val="00396533"/>
    <w:rsid w:val="003A6073"/>
    <w:rsid w:val="003E3467"/>
    <w:rsid w:val="003F6942"/>
    <w:rsid w:val="00426D93"/>
    <w:rsid w:val="004709D8"/>
    <w:rsid w:val="005144F6"/>
    <w:rsid w:val="0051563C"/>
    <w:rsid w:val="00542290"/>
    <w:rsid w:val="005A62BE"/>
    <w:rsid w:val="005D2685"/>
    <w:rsid w:val="005D4EA6"/>
    <w:rsid w:val="00602352"/>
    <w:rsid w:val="006263A4"/>
    <w:rsid w:val="00635D57"/>
    <w:rsid w:val="00676980"/>
    <w:rsid w:val="006831D2"/>
    <w:rsid w:val="006C72FA"/>
    <w:rsid w:val="0070526D"/>
    <w:rsid w:val="00732CF8"/>
    <w:rsid w:val="0079405C"/>
    <w:rsid w:val="0080178D"/>
    <w:rsid w:val="00863BE5"/>
    <w:rsid w:val="008701C4"/>
    <w:rsid w:val="008935A0"/>
    <w:rsid w:val="0094753F"/>
    <w:rsid w:val="009505F8"/>
    <w:rsid w:val="009E1776"/>
    <w:rsid w:val="00A03FB4"/>
    <w:rsid w:val="00A6371B"/>
    <w:rsid w:val="00AA67D1"/>
    <w:rsid w:val="00B2300B"/>
    <w:rsid w:val="00B51AD2"/>
    <w:rsid w:val="00B61F29"/>
    <w:rsid w:val="00B676DE"/>
    <w:rsid w:val="00BE17F3"/>
    <w:rsid w:val="00C24003"/>
    <w:rsid w:val="00C30D44"/>
    <w:rsid w:val="00C76E85"/>
    <w:rsid w:val="00D52B68"/>
    <w:rsid w:val="00DA54E1"/>
    <w:rsid w:val="00ED6321"/>
    <w:rsid w:val="00F07847"/>
    <w:rsid w:val="00F359E5"/>
    <w:rsid w:val="00F36F7F"/>
    <w:rsid w:val="00F3789B"/>
    <w:rsid w:val="00F42DC5"/>
    <w:rsid w:val="00F9320B"/>
    <w:rsid w:val="00FF4E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6C274F"/>
  <w15:chartTrackingRefBased/>
  <w15:docId w15:val="{7F06EFD9-3CA5-499A-A8DF-48380DD1B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kern w:val="2"/>
        <w:sz w:val="32"/>
        <w:szCs w:val="24"/>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51563C"/>
    <w:pPr>
      <w:spacing w:before="120" w:after="120" w:line="360" w:lineRule="auto"/>
      <w:jc w:val="both"/>
    </w:pPr>
    <w:rPr>
      <w:sz w:val="24"/>
    </w:rPr>
  </w:style>
  <w:style w:type="paragraph" w:styleId="1">
    <w:name w:val="heading 1"/>
    <w:basedOn w:val="a"/>
    <w:next w:val="a"/>
    <w:link w:val="10"/>
    <w:uiPriority w:val="9"/>
    <w:qFormat/>
    <w:rsid w:val="0051563C"/>
    <w:pPr>
      <w:keepNext/>
      <w:keepLines/>
      <w:spacing w:before="320" w:after="40"/>
      <w:outlineLvl w:val="0"/>
    </w:pPr>
    <w:rPr>
      <w:rFonts w:eastAsiaTheme="majorEastAsia" w:cstheme="majorBidi"/>
      <w:b/>
      <w:bCs/>
      <w:spacing w:val="4"/>
      <w:szCs w:val="28"/>
    </w:rPr>
  </w:style>
  <w:style w:type="paragraph" w:styleId="2">
    <w:name w:val="heading 2"/>
    <w:basedOn w:val="a"/>
    <w:next w:val="a"/>
    <w:link w:val="20"/>
    <w:uiPriority w:val="9"/>
    <w:unhideWhenUsed/>
    <w:qFormat/>
    <w:rsid w:val="00206F02"/>
    <w:pPr>
      <w:keepNext/>
      <w:keepLines/>
      <w:spacing w:after="0" w:line="252" w:lineRule="auto"/>
      <w:outlineLvl w:val="1"/>
    </w:pPr>
    <w:rPr>
      <w:rFonts w:eastAsiaTheme="majorEastAsia" w:cstheme="majorBidi"/>
      <w:b/>
      <w:bCs/>
      <w:szCs w:val="28"/>
    </w:rPr>
  </w:style>
  <w:style w:type="paragraph" w:styleId="3">
    <w:name w:val="heading 3"/>
    <w:basedOn w:val="a"/>
    <w:next w:val="a"/>
    <w:link w:val="30"/>
    <w:uiPriority w:val="9"/>
    <w:unhideWhenUsed/>
    <w:qFormat/>
    <w:rsid w:val="0051563C"/>
    <w:pPr>
      <w:keepNext/>
      <w:keepLines/>
      <w:spacing w:before="40" w:after="0"/>
      <w:outlineLvl w:val="2"/>
    </w:pPr>
    <w:rPr>
      <w:rFonts w:eastAsiaTheme="majorEastAsia" w:cstheme="majorBidi"/>
      <w:b/>
      <w:i/>
      <w:color w:val="000000" w:themeColor="tex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оловок 2 Знак"/>
    <w:basedOn w:val="a0"/>
    <w:link w:val="2"/>
    <w:uiPriority w:val="9"/>
    <w:rsid w:val="00206F02"/>
    <w:rPr>
      <w:rFonts w:eastAsiaTheme="majorEastAsia" w:cstheme="majorBidi"/>
      <w:b/>
      <w:bCs/>
      <w:sz w:val="24"/>
      <w:szCs w:val="28"/>
    </w:rPr>
  </w:style>
  <w:style w:type="character" w:customStyle="1" w:styleId="10">
    <w:name w:val="Заголовок 1 Знак"/>
    <w:basedOn w:val="a0"/>
    <w:link w:val="1"/>
    <w:uiPriority w:val="9"/>
    <w:rsid w:val="0051563C"/>
    <w:rPr>
      <w:rFonts w:eastAsiaTheme="majorEastAsia" w:cstheme="majorBidi"/>
      <w:b/>
      <w:bCs/>
      <w:spacing w:val="4"/>
      <w:sz w:val="24"/>
      <w:szCs w:val="28"/>
    </w:rPr>
  </w:style>
  <w:style w:type="character" w:customStyle="1" w:styleId="30">
    <w:name w:val="Заголовок 3 Знак"/>
    <w:basedOn w:val="a0"/>
    <w:link w:val="3"/>
    <w:uiPriority w:val="9"/>
    <w:rsid w:val="0051563C"/>
    <w:rPr>
      <w:rFonts w:eastAsiaTheme="majorEastAsia" w:cstheme="majorBidi"/>
      <w:b/>
      <w:i/>
      <w:color w:val="000000" w:themeColor="text1"/>
      <w:sz w:val="24"/>
    </w:rPr>
  </w:style>
  <w:style w:type="paragraph" w:styleId="a3">
    <w:name w:val="header"/>
    <w:basedOn w:val="a"/>
    <w:link w:val="a4"/>
    <w:uiPriority w:val="99"/>
    <w:unhideWhenUsed/>
    <w:rsid w:val="0080178D"/>
    <w:pPr>
      <w:tabs>
        <w:tab w:val="center" w:pos="4513"/>
        <w:tab w:val="right" w:pos="9026"/>
      </w:tabs>
      <w:spacing w:before="0" w:after="0" w:line="240" w:lineRule="auto"/>
    </w:pPr>
  </w:style>
  <w:style w:type="character" w:customStyle="1" w:styleId="a4">
    <w:name w:val="Верхний колонтитул Знак"/>
    <w:basedOn w:val="a0"/>
    <w:link w:val="a3"/>
    <w:uiPriority w:val="99"/>
    <w:rsid w:val="0080178D"/>
    <w:rPr>
      <w:sz w:val="24"/>
    </w:rPr>
  </w:style>
  <w:style w:type="paragraph" w:styleId="a5">
    <w:name w:val="footer"/>
    <w:basedOn w:val="a"/>
    <w:link w:val="a6"/>
    <w:uiPriority w:val="99"/>
    <w:unhideWhenUsed/>
    <w:rsid w:val="0080178D"/>
    <w:pPr>
      <w:tabs>
        <w:tab w:val="center" w:pos="4513"/>
        <w:tab w:val="right" w:pos="9026"/>
      </w:tabs>
      <w:spacing w:before="0" w:after="0" w:line="240" w:lineRule="auto"/>
    </w:pPr>
  </w:style>
  <w:style w:type="character" w:customStyle="1" w:styleId="a6">
    <w:name w:val="Нижний колонтитул Знак"/>
    <w:basedOn w:val="a0"/>
    <w:link w:val="a5"/>
    <w:uiPriority w:val="99"/>
    <w:rsid w:val="0080178D"/>
    <w:rPr>
      <w:sz w:val="24"/>
    </w:rPr>
  </w:style>
  <w:style w:type="paragraph" w:styleId="a7">
    <w:name w:val="TOC Heading"/>
    <w:basedOn w:val="1"/>
    <w:next w:val="a"/>
    <w:uiPriority w:val="39"/>
    <w:unhideWhenUsed/>
    <w:qFormat/>
    <w:rsid w:val="00B61F29"/>
    <w:pPr>
      <w:spacing w:before="240" w:after="0" w:line="259" w:lineRule="auto"/>
      <w:jc w:val="left"/>
      <w:outlineLvl w:val="9"/>
    </w:pPr>
    <w:rPr>
      <w:rFonts w:asciiTheme="majorHAnsi" w:hAnsiTheme="majorHAnsi"/>
      <w:b w:val="0"/>
      <w:bCs w:val="0"/>
      <w:color w:val="2F5496" w:themeColor="accent1" w:themeShade="BF"/>
      <w:spacing w:val="0"/>
      <w:kern w:val="0"/>
      <w:sz w:val="32"/>
      <w:szCs w:val="32"/>
      <w:lang w:val="en-US"/>
      <w14:ligatures w14:val="none"/>
    </w:rPr>
  </w:style>
  <w:style w:type="paragraph" w:styleId="11">
    <w:name w:val="toc 1"/>
    <w:basedOn w:val="a"/>
    <w:next w:val="a"/>
    <w:autoRedefine/>
    <w:uiPriority w:val="39"/>
    <w:unhideWhenUsed/>
    <w:rsid w:val="00B61F29"/>
    <w:pPr>
      <w:spacing w:after="100"/>
    </w:pPr>
  </w:style>
  <w:style w:type="paragraph" w:styleId="21">
    <w:name w:val="toc 2"/>
    <w:basedOn w:val="a"/>
    <w:next w:val="a"/>
    <w:autoRedefine/>
    <w:uiPriority w:val="39"/>
    <w:unhideWhenUsed/>
    <w:rsid w:val="00B61F29"/>
    <w:pPr>
      <w:spacing w:after="100"/>
      <w:ind w:left="240"/>
    </w:pPr>
  </w:style>
  <w:style w:type="paragraph" w:styleId="31">
    <w:name w:val="toc 3"/>
    <w:basedOn w:val="a"/>
    <w:next w:val="a"/>
    <w:autoRedefine/>
    <w:uiPriority w:val="39"/>
    <w:unhideWhenUsed/>
    <w:rsid w:val="00B61F29"/>
    <w:pPr>
      <w:spacing w:after="100"/>
      <w:ind w:left="480"/>
    </w:pPr>
  </w:style>
  <w:style w:type="character" w:styleId="a8">
    <w:name w:val="Hyperlink"/>
    <w:basedOn w:val="a0"/>
    <w:uiPriority w:val="99"/>
    <w:unhideWhenUsed/>
    <w:rsid w:val="00B61F29"/>
    <w:rPr>
      <w:color w:val="0563C1" w:themeColor="hyperlink"/>
      <w:u w:val="single"/>
    </w:rPr>
  </w:style>
  <w:style w:type="paragraph" w:styleId="a9">
    <w:name w:val="List Paragraph"/>
    <w:basedOn w:val="a"/>
    <w:uiPriority w:val="34"/>
    <w:qFormat/>
    <w:rsid w:val="00B61F29"/>
    <w:pPr>
      <w:ind w:left="720"/>
      <w:contextualSpacing/>
    </w:pPr>
  </w:style>
  <w:style w:type="paragraph" w:styleId="aa">
    <w:name w:val="Normal (Web)"/>
    <w:basedOn w:val="a"/>
    <w:uiPriority w:val="99"/>
    <w:semiHidden/>
    <w:unhideWhenUsed/>
    <w:rsid w:val="00ED6321"/>
    <w:pPr>
      <w:spacing w:before="100" w:beforeAutospacing="1" w:after="100" w:afterAutospacing="1" w:line="240" w:lineRule="auto"/>
      <w:jc w:val="left"/>
    </w:pPr>
    <w:rPr>
      <w:rFonts w:eastAsia="Times New Roman"/>
      <w:kern w:val="0"/>
      <w:lang w:eastAsia="en-IN"/>
      <w14:ligatures w14:val="none"/>
    </w:rPr>
  </w:style>
  <w:style w:type="character" w:styleId="ab">
    <w:name w:val="Strong"/>
    <w:basedOn w:val="a0"/>
    <w:uiPriority w:val="22"/>
    <w:qFormat/>
    <w:rsid w:val="00ED632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0905213">
      <w:bodyDiv w:val="1"/>
      <w:marLeft w:val="0"/>
      <w:marRight w:val="0"/>
      <w:marTop w:val="0"/>
      <w:marBottom w:val="0"/>
      <w:divBdr>
        <w:top w:val="none" w:sz="0" w:space="0" w:color="auto"/>
        <w:left w:val="none" w:sz="0" w:space="0" w:color="auto"/>
        <w:bottom w:val="none" w:sz="0" w:space="0" w:color="auto"/>
        <w:right w:val="none" w:sz="0" w:space="0" w:color="auto"/>
      </w:divBdr>
      <w:divsChild>
        <w:div w:id="269438220">
          <w:marLeft w:val="0"/>
          <w:marRight w:val="0"/>
          <w:marTop w:val="0"/>
          <w:marBottom w:val="0"/>
          <w:divBdr>
            <w:top w:val="none" w:sz="0" w:space="0" w:color="auto"/>
            <w:left w:val="none" w:sz="0" w:space="0" w:color="auto"/>
            <w:bottom w:val="none" w:sz="0" w:space="0" w:color="auto"/>
            <w:right w:val="none" w:sz="0" w:space="0" w:color="auto"/>
          </w:divBdr>
        </w:div>
        <w:div w:id="1482579658">
          <w:marLeft w:val="0"/>
          <w:marRight w:val="0"/>
          <w:marTop w:val="0"/>
          <w:marBottom w:val="0"/>
          <w:divBdr>
            <w:top w:val="none" w:sz="0" w:space="0" w:color="auto"/>
            <w:left w:val="none" w:sz="0" w:space="0" w:color="auto"/>
            <w:bottom w:val="none" w:sz="0" w:space="0" w:color="auto"/>
            <w:right w:val="none" w:sz="0" w:space="0" w:color="auto"/>
          </w:divBdr>
        </w:div>
        <w:div w:id="285628344">
          <w:marLeft w:val="0"/>
          <w:marRight w:val="0"/>
          <w:marTop w:val="0"/>
          <w:marBottom w:val="0"/>
          <w:divBdr>
            <w:top w:val="none" w:sz="0" w:space="0" w:color="auto"/>
            <w:left w:val="none" w:sz="0" w:space="0" w:color="auto"/>
            <w:bottom w:val="none" w:sz="0" w:space="0" w:color="auto"/>
            <w:right w:val="none" w:sz="0" w:space="0" w:color="auto"/>
          </w:divBdr>
        </w:div>
        <w:div w:id="1591623023">
          <w:marLeft w:val="0"/>
          <w:marRight w:val="0"/>
          <w:marTop w:val="0"/>
          <w:marBottom w:val="0"/>
          <w:divBdr>
            <w:top w:val="none" w:sz="0" w:space="0" w:color="auto"/>
            <w:left w:val="none" w:sz="0" w:space="0" w:color="auto"/>
            <w:bottom w:val="none" w:sz="0" w:space="0" w:color="auto"/>
            <w:right w:val="none" w:sz="0" w:space="0" w:color="auto"/>
          </w:divBdr>
        </w:div>
        <w:div w:id="18022629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AD0B34-44AD-4E6E-9E88-35706D129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1827</Words>
  <Characters>11153</Characters>
  <Application>Microsoft Office Word</Application>
  <DocSecurity>0</DocSecurity>
  <Lines>92</Lines>
  <Paragraphs>25</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bibliotecar</cp:lastModifiedBy>
  <cp:revision>3</cp:revision>
  <dcterms:created xsi:type="dcterms:W3CDTF">2023-10-24T02:38:00Z</dcterms:created>
  <dcterms:modified xsi:type="dcterms:W3CDTF">2023-11-03T06:24:00Z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04cdd23635ff2c45a29e328341b03b008ad193ca46ee563aa90e14d8e0c739cc</vt:lpwstr>
  </property>
</Properties>
</file>