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03C8D4" w14:textId="77777777" w:rsidR="009F3363" w:rsidRDefault="009F3363" w:rsidP="009F3363">
      <w:pPr>
        <w:spacing w:after="0" w:line="360" w:lineRule="auto"/>
        <w:rPr>
          <w:rFonts w:ascii="Arial" w:eastAsiaTheme="minorEastAsia" w:hAnsi="Arial" w:cs="Arial"/>
          <w:b/>
          <w:bCs/>
          <w:smallCaps/>
          <w:color w:val="000000" w:themeColor="text1"/>
          <w:kern w:val="24"/>
          <w:sz w:val="40"/>
          <w:szCs w:val="40"/>
        </w:rPr>
      </w:pPr>
    </w:p>
    <w:p w14:paraId="14DC5ABF" w14:textId="77777777" w:rsidR="009F3363" w:rsidRDefault="009F3363" w:rsidP="009F3363">
      <w:pPr>
        <w:spacing w:after="0" w:line="360" w:lineRule="auto"/>
        <w:rPr>
          <w:rFonts w:ascii="Arial" w:eastAsiaTheme="minorEastAsia" w:hAnsi="Arial" w:cs="Arial"/>
          <w:b/>
          <w:bCs/>
          <w:smallCaps/>
          <w:color w:val="000000" w:themeColor="text1"/>
          <w:kern w:val="24"/>
          <w:sz w:val="40"/>
          <w:szCs w:val="40"/>
        </w:rPr>
      </w:pPr>
    </w:p>
    <w:p w14:paraId="6FCA04CD" w14:textId="793C2ECD" w:rsidR="009F3363" w:rsidRDefault="00A32BC2" w:rsidP="009F3363">
      <w:pPr>
        <w:spacing w:after="0" w:line="360" w:lineRule="auto"/>
        <w:rPr>
          <w:rFonts w:ascii="Arial" w:eastAsiaTheme="minorEastAsia" w:hAnsi="Arial" w:cs="Arial"/>
          <w:b/>
          <w:bCs/>
          <w:smallCaps/>
          <w:color w:val="000000" w:themeColor="text1"/>
          <w:kern w:val="24"/>
          <w:sz w:val="40"/>
          <w:szCs w:val="40"/>
        </w:rPr>
      </w:pPr>
      <w:r w:rsidRPr="00A32BC2">
        <w:rPr>
          <w:rFonts w:ascii="Arial" w:eastAsiaTheme="minorEastAsia" w:hAnsi="Arial" w:cs="Arial"/>
          <w:b/>
          <w:bCs/>
          <w:smallCaps/>
          <w:color w:val="000000" w:themeColor="text1"/>
          <w:kern w:val="24"/>
          <w:sz w:val="40"/>
          <w:szCs w:val="40"/>
        </w:rPr>
        <w:t xml:space="preserve">Student name: </w:t>
      </w:r>
      <w:r w:rsidRPr="00A32BC2">
        <w:rPr>
          <w:rFonts w:ascii="Arial" w:eastAsiaTheme="minorEastAsia" w:hAnsi="Arial" w:cs="Arial"/>
          <w:b/>
          <w:bCs/>
          <w:smallCaps/>
          <w:color w:val="000000" w:themeColor="text1"/>
          <w:kern w:val="24"/>
          <w:sz w:val="40"/>
          <w:szCs w:val="40"/>
        </w:rPr>
        <w:tab/>
      </w:r>
      <w:r>
        <w:rPr>
          <w:rFonts w:ascii="Arial" w:eastAsiaTheme="minorEastAsia" w:hAnsi="Arial" w:cs="Arial"/>
          <w:b/>
          <w:bCs/>
          <w:smallCaps/>
          <w:color w:val="000000" w:themeColor="text1"/>
          <w:kern w:val="24"/>
          <w:sz w:val="40"/>
          <w:szCs w:val="40"/>
        </w:rPr>
        <w:tab/>
      </w:r>
      <w:r w:rsidRPr="00A32BC2">
        <w:rPr>
          <w:rFonts w:ascii="Arial" w:eastAsiaTheme="minorEastAsia" w:hAnsi="Arial" w:cs="Arial"/>
          <w:b/>
          <w:bCs/>
          <w:smallCaps/>
          <w:color w:val="000000" w:themeColor="text1"/>
          <w:kern w:val="24"/>
          <w:sz w:val="40"/>
          <w:szCs w:val="40"/>
        </w:rPr>
        <w:t xml:space="preserve">Anna Poznanska </w:t>
      </w:r>
      <w:r w:rsidRPr="00A32BC2">
        <w:rPr>
          <w:rFonts w:ascii="Arial" w:eastAsiaTheme="minorEastAsia" w:hAnsi="Arial" w:cs="Arial"/>
          <w:b/>
          <w:bCs/>
          <w:smallCaps/>
          <w:color w:val="000000" w:themeColor="text1"/>
          <w:kern w:val="24"/>
          <w:sz w:val="40"/>
          <w:szCs w:val="40"/>
        </w:rPr>
        <w:br/>
        <w:t xml:space="preserve">Student number: </w:t>
      </w:r>
      <w:r w:rsidRPr="00A32BC2">
        <w:rPr>
          <w:rFonts w:ascii="Arial" w:eastAsiaTheme="minorEastAsia" w:hAnsi="Arial" w:cs="Arial"/>
          <w:b/>
          <w:bCs/>
          <w:smallCaps/>
          <w:color w:val="000000" w:themeColor="text1"/>
          <w:kern w:val="24"/>
          <w:sz w:val="40"/>
          <w:szCs w:val="40"/>
        </w:rPr>
        <w:tab/>
        <w:t>ID#2442414</w:t>
      </w:r>
      <w:r w:rsidRPr="00A32BC2">
        <w:rPr>
          <w:rFonts w:ascii="Arial" w:eastAsiaTheme="minorEastAsia" w:hAnsi="Arial" w:cs="Arial"/>
          <w:b/>
          <w:bCs/>
          <w:smallCaps/>
          <w:color w:val="000000" w:themeColor="text1"/>
          <w:kern w:val="24"/>
          <w:sz w:val="40"/>
          <w:szCs w:val="40"/>
        </w:rPr>
        <w:br/>
        <w:t xml:space="preserve">Lecturer’s name: </w:t>
      </w:r>
      <w:r w:rsidRPr="00A32BC2">
        <w:rPr>
          <w:rFonts w:ascii="Arial" w:eastAsiaTheme="minorEastAsia" w:hAnsi="Arial" w:cs="Arial"/>
          <w:b/>
          <w:bCs/>
          <w:smallCaps/>
          <w:color w:val="000000" w:themeColor="text1"/>
          <w:kern w:val="24"/>
          <w:sz w:val="40"/>
          <w:szCs w:val="40"/>
        </w:rPr>
        <w:tab/>
        <w:t xml:space="preserve">Peace Ukachukwu </w:t>
      </w:r>
    </w:p>
    <w:p w14:paraId="78F77056" w14:textId="77777777" w:rsidR="009F3363" w:rsidRDefault="009F3363" w:rsidP="009F3363">
      <w:pPr>
        <w:spacing w:after="0" w:line="360" w:lineRule="auto"/>
        <w:jc w:val="center"/>
        <w:rPr>
          <w:b/>
          <w:bCs/>
          <w:smallCaps/>
          <w:sz w:val="52"/>
          <w:szCs w:val="52"/>
          <w:u w:val="single"/>
        </w:rPr>
      </w:pPr>
    </w:p>
    <w:p w14:paraId="7F403B6C" w14:textId="77777777" w:rsidR="009F3363" w:rsidRDefault="009F3363" w:rsidP="009F3363">
      <w:pPr>
        <w:spacing w:after="0" w:line="360" w:lineRule="auto"/>
        <w:jc w:val="center"/>
        <w:rPr>
          <w:b/>
          <w:bCs/>
          <w:smallCaps/>
          <w:sz w:val="52"/>
          <w:szCs w:val="52"/>
          <w:u w:val="single"/>
        </w:rPr>
      </w:pPr>
    </w:p>
    <w:p w14:paraId="2258EFC0" w14:textId="77777777" w:rsidR="009F3363" w:rsidRDefault="009F3363" w:rsidP="009F3363">
      <w:pPr>
        <w:spacing w:after="0" w:line="360" w:lineRule="auto"/>
        <w:jc w:val="center"/>
        <w:rPr>
          <w:b/>
          <w:bCs/>
          <w:smallCaps/>
          <w:sz w:val="52"/>
          <w:szCs w:val="52"/>
          <w:u w:val="single"/>
        </w:rPr>
      </w:pPr>
    </w:p>
    <w:p w14:paraId="5FCE2F75" w14:textId="7CC59E7E" w:rsidR="00E11207" w:rsidRPr="009F3363" w:rsidRDefault="009F3363" w:rsidP="009F3363">
      <w:pPr>
        <w:spacing w:after="0" w:line="360" w:lineRule="auto"/>
        <w:jc w:val="center"/>
        <w:rPr>
          <w:b/>
          <w:bCs/>
          <w:smallCaps/>
          <w:sz w:val="52"/>
          <w:szCs w:val="52"/>
          <w:u w:val="thick"/>
        </w:rPr>
      </w:pPr>
      <w:r w:rsidRPr="009F3363">
        <w:rPr>
          <w:b/>
          <w:bCs/>
          <w:smallCaps/>
          <w:sz w:val="52"/>
          <w:szCs w:val="52"/>
          <w:u w:val="thick"/>
        </w:rPr>
        <w:t>Bibliography &amp; Report</w:t>
      </w:r>
    </w:p>
    <w:p w14:paraId="1DA594E0" w14:textId="34271CCB" w:rsidR="009F3363" w:rsidRDefault="009F3363">
      <w:pPr>
        <w:rPr>
          <w:rFonts w:ascii="Arial" w:eastAsia="Times New Roman" w:hAnsi="Arial" w:cs="Arial"/>
          <w:b/>
          <w:bCs/>
          <w:kern w:val="0"/>
          <w:sz w:val="32"/>
          <w:szCs w:val="32"/>
          <w:lang w:eastAsia="en-GB"/>
          <w14:ligatures w14:val="none"/>
        </w:rPr>
      </w:pPr>
      <w:r>
        <w:rPr>
          <w:rFonts w:ascii="Arial" w:eastAsia="Times New Roman" w:hAnsi="Arial" w:cs="Arial"/>
          <w:b/>
          <w:bCs/>
          <w:kern w:val="0"/>
          <w:sz w:val="32"/>
          <w:szCs w:val="32"/>
          <w:lang w:eastAsia="en-GB"/>
          <w14:ligatures w14:val="none"/>
        </w:rPr>
        <w:br w:type="page"/>
      </w:r>
    </w:p>
    <w:p w14:paraId="11E33F7E" w14:textId="77777777" w:rsidR="0008298A" w:rsidRPr="00505E5E" w:rsidRDefault="0008298A" w:rsidP="004E1D4C">
      <w:pPr>
        <w:spacing w:after="120" w:line="360" w:lineRule="auto"/>
        <w:rPr>
          <w:rFonts w:ascii="Arial" w:eastAsia="Times New Roman" w:hAnsi="Arial" w:cs="Arial"/>
          <w:b/>
          <w:bCs/>
          <w:kern w:val="0"/>
          <w:sz w:val="32"/>
          <w:szCs w:val="32"/>
          <w:u w:val="single"/>
          <w:lang w:val="nl-NL" w:eastAsia="en-GB"/>
          <w14:ligatures w14:val="none"/>
        </w:rPr>
      </w:pPr>
      <w:r w:rsidRPr="00505E5E">
        <w:rPr>
          <w:rFonts w:ascii="Arial" w:eastAsia="Times New Roman" w:hAnsi="Arial" w:cs="Arial"/>
          <w:b/>
          <w:bCs/>
          <w:kern w:val="0"/>
          <w:sz w:val="32"/>
          <w:szCs w:val="32"/>
          <w:u w:val="single"/>
          <w:lang w:val="nl-NL" w:eastAsia="en-GB"/>
          <w14:ligatures w14:val="none"/>
        </w:rPr>
        <w:lastRenderedPageBreak/>
        <w:t xml:space="preserve">Part A: </w:t>
      </w:r>
      <w:proofErr w:type="spellStart"/>
      <w:r w:rsidRPr="00505E5E">
        <w:rPr>
          <w:rFonts w:ascii="Arial" w:eastAsia="Times New Roman" w:hAnsi="Arial" w:cs="Arial"/>
          <w:b/>
          <w:bCs/>
          <w:kern w:val="0"/>
          <w:sz w:val="32"/>
          <w:szCs w:val="32"/>
          <w:u w:val="single"/>
          <w:lang w:val="nl-NL" w:eastAsia="en-GB"/>
          <w14:ligatures w14:val="none"/>
        </w:rPr>
        <w:t>Annotated</w:t>
      </w:r>
      <w:proofErr w:type="spellEnd"/>
      <w:r w:rsidRPr="00505E5E">
        <w:rPr>
          <w:rFonts w:ascii="Arial" w:eastAsia="Times New Roman" w:hAnsi="Arial" w:cs="Arial"/>
          <w:b/>
          <w:bCs/>
          <w:kern w:val="0"/>
          <w:sz w:val="32"/>
          <w:szCs w:val="32"/>
          <w:u w:val="single"/>
          <w:lang w:val="nl-NL" w:eastAsia="en-GB"/>
          <w14:ligatures w14:val="none"/>
        </w:rPr>
        <w:t xml:space="preserve"> </w:t>
      </w:r>
      <w:proofErr w:type="spellStart"/>
      <w:r w:rsidRPr="00505E5E">
        <w:rPr>
          <w:rFonts w:ascii="Arial" w:eastAsia="Times New Roman" w:hAnsi="Arial" w:cs="Arial"/>
          <w:b/>
          <w:bCs/>
          <w:kern w:val="0"/>
          <w:sz w:val="32"/>
          <w:szCs w:val="32"/>
          <w:u w:val="single"/>
          <w:lang w:val="nl-NL" w:eastAsia="en-GB"/>
          <w14:ligatures w14:val="none"/>
        </w:rPr>
        <w:t>Bibliography</w:t>
      </w:r>
      <w:proofErr w:type="spellEnd"/>
    </w:p>
    <w:p w14:paraId="56078117" w14:textId="77777777" w:rsidR="0008298A" w:rsidRPr="004E1D4C" w:rsidRDefault="0008298A" w:rsidP="004E1D4C">
      <w:pPr>
        <w:spacing w:after="120" w:line="360" w:lineRule="auto"/>
        <w:rPr>
          <w:rFonts w:ascii="Arial" w:eastAsia="Times New Roman" w:hAnsi="Arial" w:cs="Arial"/>
          <w:b/>
          <w:bCs/>
          <w:kern w:val="0"/>
          <w:sz w:val="22"/>
          <w:szCs w:val="22"/>
          <w:lang w:val="nl-NL" w:eastAsia="en-GB"/>
          <w14:ligatures w14:val="none"/>
        </w:rPr>
      </w:pPr>
    </w:p>
    <w:p w14:paraId="78F031A9" w14:textId="77777777" w:rsidR="0008298A" w:rsidRPr="004E1D4C" w:rsidRDefault="0008298A" w:rsidP="004E1D4C">
      <w:pPr>
        <w:spacing w:after="120" w:line="360" w:lineRule="auto"/>
        <w:rPr>
          <w:rFonts w:ascii="Arial" w:eastAsia="Times New Roman" w:hAnsi="Arial" w:cs="Arial"/>
          <w:b/>
          <w:bCs/>
          <w:kern w:val="0"/>
          <w:sz w:val="28"/>
          <w:szCs w:val="28"/>
          <w:lang w:val="nl-NL" w:eastAsia="en-GB"/>
          <w14:ligatures w14:val="none"/>
        </w:rPr>
      </w:pPr>
      <w:r w:rsidRPr="004E1D4C">
        <w:rPr>
          <w:rFonts w:ascii="Arial" w:eastAsia="Times New Roman" w:hAnsi="Arial" w:cs="Arial"/>
          <w:b/>
          <w:bCs/>
          <w:kern w:val="0"/>
          <w:sz w:val="28"/>
          <w:szCs w:val="28"/>
          <w:lang w:val="nl-NL" w:eastAsia="en-GB"/>
          <w14:ligatures w14:val="none"/>
        </w:rPr>
        <w:t>1. Van der Kaap</w:t>
      </w:r>
      <w:r w:rsidRPr="004E1D4C">
        <w:rPr>
          <w:rFonts w:ascii="Cambria Math" w:eastAsia="Times New Roman" w:hAnsi="Cambria Math" w:cs="Cambria Math"/>
          <w:b/>
          <w:bCs/>
          <w:kern w:val="0"/>
          <w:sz w:val="28"/>
          <w:szCs w:val="28"/>
          <w:lang w:val="nl-NL" w:eastAsia="en-GB"/>
          <w14:ligatures w14:val="none"/>
        </w:rPr>
        <w:t>‑</w:t>
      </w:r>
      <w:proofErr w:type="spellStart"/>
      <w:r w:rsidRPr="004E1D4C">
        <w:rPr>
          <w:rFonts w:ascii="Arial" w:eastAsia="Times New Roman" w:hAnsi="Arial" w:cs="Arial"/>
          <w:b/>
          <w:bCs/>
          <w:kern w:val="0"/>
          <w:sz w:val="28"/>
          <w:szCs w:val="28"/>
          <w:lang w:val="nl-NL" w:eastAsia="en-GB"/>
          <w14:ligatures w14:val="none"/>
        </w:rPr>
        <w:t>Deeder</w:t>
      </w:r>
      <w:proofErr w:type="spellEnd"/>
      <w:r w:rsidRPr="004E1D4C">
        <w:rPr>
          <w:rFonts w:ascii="Arial" w:eastAsia="Times New Roman" w:hAnsi="Arial" w:cs="Arial"/>
          <w:b/>
          <w:bCs/>
          <w:kern w:val="0"/>
          <w:sz w:val="28"/>
          <w:szCs w:val="28"/>
          <w:lang w:val="nl-NL" w:eastAsia="en-GB"/>
          <w14:ligatures w14:val="none"/>
        </w:rPr>
        <w:t xml:space="preserve">, J., </w:t>
      </w:r>
      <w:proofErr w:type="spellStart"/>
      <w:r w:rsidRPr="004E1D4C">
        <w:rPr>
          <w:rFonts w:ascii="Arial" w:eastAsia="Times New Roman" w:hAnsi="Arial" w:cs="Arial"/>
          <w:b/>
          <w:bCs/>
          <w:kern w:val="0"/>
          <w:sz w:val="28"/>
          <w:szCs w:val="28"/>
          <w:lang w:val="nl-NL" w:eastAsia="en-GB"/>
          <w14:ligatures w14:val="none"/>
        </w:rPr>
        <w:t>Vermote</w:t>
      </w:r>
      <w:proofErr w:type="spellEnd"/>
      <w:r w:rsidRPr="004E1D4C">
        <w:rPr>
          <w:rFonts w:ascii="Arial" w:eastAsia="Times New Roman" w:hAnsi="Arial" w:cs="Arial"/>
          <w:b/>
          <w:bCs/>
          <w:kern w:val="0"/>
          <w:sz w:val="28"/>
          <w:szCs w:val="28"/>
          <w:lang w:val="nl-NL" w:eastAsia="en-GB"/>
          <w14:ligatures w14:val="none"/>
        </w:rPr>
        <w:t xml:space="preserve">, B., Waterschoot, J., </w:t>
      </w:r>
      <w:proofErr w:type="spellStart"/>
      <w:r w:rsidRPr="004E1D4C">
        <w:rPr>
          <w:rFonts w:ascii="Arial" w:eastAsia="Times New Roman" w:hAnsi="Arial" w:cs="Arial"/>
          <w:b/>
          <w:bCs/>
          <w:kern w:val="0"/>
          <w:sz w:val="28"/>
          <w:szCs w:val="28"/>
          <w:lang w:val="nl-NL" w:eastAsia="en-GB"/>
          <w14:ligatures w14:val="none"/>
        </w:rPr>
        <w:t>Soenens</w:t>
      </w:r>
      <w:proofErr w:type="spellEnd"/>
      <w:r w:rsidRPr="004E1D4C">
        <w:rPr>
          <w:rFonts w:ascii="Arial" w:eastAsia="Times New Roman" w:hAnsi="Arial" w:cs="Arial"/>
          <w:b/>
          <w:bCs/>
          <w:kern w:val="0"/>
          <w:sz w:val="28"/>
          <w:szCs w:val="28"/>
          <w:lang w:val="nl-NL" w:eastAsia="en-GB"/>
          <w14:ligatures w14:val="none"/>
        </w:rPr>
        <w:t xml:space="preserve">, B., </w:t>
      </w:r>
      <w:proofErr w:type="spellStart"/>
      <w:r w:rsidRPr="004E1D4C">
        <w:rPr>
          <w:rFonts w:ascii="Arial" w:eastAsia="Times New Roman" w:hAnsi="Arial" w:cs="Arial"/>
          <w:b/>
          <w:bCs/>
          <w:kern w:val="0"/>
          <w:sz w:val="28"/>
          <w:szCs w:val="28"/>
          <w:lang w:val="nl-NL" w:eastAsia="en-GB"/>
          <w14:ligatures w14:val="none"/>
        </w:rPr>
        <w:t>Morbée</w:t>
      </w:r>
      <w:proofErr w:type="spellEnd"/>
      <w:r w:rsidRPr="004E1D4C">
        <w:rPr>
          <w:rFonts w:ascii="Arial" w:eastAsia="Times New Roman" w:hAnsi="Arial" w:cs="Arial"/>
          <w:b/>
          <w:bCs/>
          <w:kern w:val="0"/>
          <w:sz w:val="28"/>
          <w:szCs w:val="28"/>
          <w:lang w:val="nl-NL" w:eastAsia="en-GB"/>
          <w14:ligatures w14:val="none"/>
        </w:rPr>
        <w:t xml:space="preserve">, S. &amp; </w:t>
      </w:r>
      <w:proofErr w:type="spellStart"/>
      <w:r w:rsidRPr="004E1D4C">
        <w:rPr>
          <w:rFonts w:ascii="Arial" w:eastAsia="Times New Roman" w:hAnsi="Arial" w:cs="Arial"/>
          <w:b/>
          <w:bCs/>
          <w:kern w:val="0"/>
          <w:sz w:val="28"/>
          <w:szCs w:val="28"/>
          <w:lang w:val="nl-NL" w:eastAsia="en-GB"/>
          <w14:ligatures w14:val="none"/>
        </w:rPr>
        <w:t>Vansteenkiste</w:t>
      </w:r>
      <w:proofErr w:type="spellEnd"/>
      <w:r w:rsidRPr="004E1D4C">
        <w:rPr>
          <w:rFonts w:ascii="Arial" w:eastAsia="Times New Roman" w:hAnsi="Arial" w:cs="Arial"/>
          <w:b/>
          <w:bCs/>
          <w:kern w:val="0"/>
          <w:sz w:val="28"/>
          <w:szCs w:val="28"/>
          <w:lang w:val="nl-NL" w:eastAsia="en-GB"/>
          <w14:ligatures w14:val="none"/>
        </w:rPr>
        <w:t xml:space="preserve">, M. (2022)  </w:t>
      </w:r>
    </w:p>
    <w:p w14:paraId="31AE0639" w14:textId="77777777" w:rsidR="0008298A" w:rsidRPr="004E1D4C" w:rsidRDefault="0008298A" w:rsidP="004E1D4C">
      <w:pPr>
        <w:spacing w:after="120" w:line="360" w:lineRule="auto"/>
        <w:rPr>
          <w:rFonts w:ascii="Arial" w:eastAsia="Times New Roman" w:hAnsi="Arial" w:cs="Arial"/>
          <w:b/>
          <w:bCs/>
          <w:kern w:val="0"/>
          <w:lang w:eastAsia="en-GB"/>
          <w14:ligatures w14:val="none"/>
        </w:rPr>
      </w:pPr>
      <w:r w:rsidRPr="004E1D4C">
        <w:rPr>
          <w:rFonts w:ascii="Arial" w:eastAsia="Times New Roman" w:hAnsi="Arial" w:cs="Arial"/>
          <w:b/>
          <w:bCs/>
          <w:kern w:val="0"/>
          <w:lang w:eastAsia="en-GB"/>
          <w14:ligatures w14:val="none"/>
        </w:rPr>
        <w:t xml:space="preserve">Summary  </w:t>
      </w:r>
    </w:p>
    <w:p w14:paraId="59D21B4A" w14:textId="6C6DBA53" w:rsidR="00EA1790" w:rsidRDefault="00EA1790" w:rsidP="004E1D4C">
      <w:pPr>
        <w:spacing w:after="120" w:line="360" w:lineRule="auto"/>
        <w:rPr>
          <w:rFonts w:ascii="Arial" w:eastAsia="Times New Roman" w:hAnsi="Arial" w:cs="Arial"/>
          <w:kern w:val="0"/>
          <w:sz w:val="22"/>
          <w:szCs w:val="22"/>
          <w:lang w:eastAsia="en-GB"/>
          <w14:ligatures w14:val="none"/>
        </w:rPr>
      </w:pPr>
      <w:r w:rsidRPr="004E1D4C">
        <w:rPr>
          <w:rFonts w:ascii="Arial" w:eastAsia="Times New Roman" w:hAnsi="Arial" w:cs="Arial"/>
          <w:kern w:val="0"/>
          <w:sz w:val="22"/>
          <w:szCs w:val="22"/>
          <w:lang w:eastAsia="en-GB"/>
          <w14:ligatures w14:val="none"/>
        </w:rPr>
        <w:t>This article applies Erikson’s final psychosocial stage, ego integrity versus despair, to older adults’ wellbeing during the COVID-19 crisis. The authors report that higher ego integrity was associated with greater life satisfaction, while higher despair was associated with poorer mental health. They identify need-based experiences — perceived autonomy, competence and relatedness — as partial mediators, indicating that satisfaction of basic psychological needs helps translate life review into present wellbeing.</w:t>
      </w:r>
    </w:p>
    <w:p w14:paraId="52F294E0" w14:textId="3F462F5D" w:rsidR="00505E5E" w:rsidRPr="004E1D4C" w:rsidRDefault="00505E5E" w:rsidP="004E1D4C">
      <w:pPr>
        <w:spacing w:after="120" w:line="360" w:lineRule="auto"/>
        <w:rPr>
          <w:rFonts w:ascii="Arial" w:eastAsia="Times New Roman" w:hAnsi="Arial" w:cs="Arial"/>
          <w:kern w:val="0"/>
          <w:sz w:val="22"/>
          <w:szCs w:val="22"/>
          <w:lang w:eastAsia="en-GB"/>
          <w14:ligatures w14:val="none"/>
        </w:rPr>
      </w:pPr>
      <w:r w:rsidRPr="00505E5E">
        <w:rPr>
          <w:rFonts w:ascii="Arial" w:eastAsia="Times New Roman" w:hAnsi="Arial" w:cs="Arial"/>
          <w:kern w:val="0"/>
          <w:sz w:val="22"/>
          <w:szCs w:val="22"/>
          <w:lang w:eastAsia="en-GB"/>
          <w14:ligatures w14:val="none"/>
        </w:rPr>
        <w:t>The study used a cross</w:t>
      </w:r>
      <w:r w:rsidRPr="00505E5E">
        <w:rPr>
          <w:rFonts w:ascii="Cambria Math" w:eastAsia="Times New Roman" w:hAnsi="Cambria Math" w:cs="Cambria Math"/>
          <w:kern w:val="0"/>
          <w:sz w:val="22"/>
          <w:szCs w:val="22"/>
          <w:lang w:eastAsia="en-GB"/>
          <w14:ligatures w14:val="none"/>
        </w:rPr>
        <w:t>‑</w:t>
      </w:r>
      <w:r w:rsidRPr="00505E5E">
        <w:rPr>
          <w:rFonts w:ascii="Arial" w:eastAsia="Times New Roman" w:hAnsi="Arial" w:cs="Arial"/>
          <w:kern w:val="0"/>
          <w:sz w:val="22"/>
          <w:szCs w:val="22"/>
          <w:lang w:eastAsia="en-GB"/>
          <w14:ligatures w14:val="none"/>
        </w:rPr>
        <w:t>sectional online survey conducted in Belgium with N = 693 older adults (age range reported in the article), collecting self</w:t>
      </w:r>
      <w:r w:rsidRPr="00505E5E">
        <w:rPr>
          <w:rFonts w:ascii="Cambria Math" w:eastAsia="Times New Roman" w:hAnsi="Cambria Math" w:cs="Cambria Math"/>
          <w:kern w:val="0"/>
          <w:sz w:val="22"/>
          <w:szCs w:val="22"/>
          <w:lang w:eastAsia="en-GB"/>
          <w14:ligatures w14:val="none"/>
        </w:rPr>
        <w:t>‑</w:t>
      </w:r>
      <w:r w:rsidRPr="00505E5E">
        <w:rPr>
          <w:rFonts w:ascii="Arial" w:eastAsia="Times New Roman" w:hAnsi="Arial" w:cs="Arial"/>
          <w:kern w:val="0"/>
          <w:sz w:val="22"/>
          <w:szCs w:val="22"/>
          <w:lang w:eastAsia="en-GB"/>
          <w14:ligatures w14:val="none"/>
        </w:rPr>
        <w:t>report measures of integrity, despair, need satisfaction and wellbeing during the pandemic.</w:t>
      </w:r>
    </w:p>
    <w:p w14:paraId="655D9ACA" w14:textId="7A16DABA" w:rsidR="0008298A" w:rsidRPr="004E1D4C" w:rsidRDefault="0008298A" w:rsidP="004E1D4C">
      <w:pPr>
        <w:spacing w:after="120" w:line="360" w:lineRule="auto"/>
        <w:rPr>
          <w:rFonts w:ascii="Arial" w:eastAsia="Times New Roman" w:hAnsi="Arial" w:cs="Arial"/>
          <w:b/>
          <w:bCs/>
          <w:kern w:val="0"/>
          <w:lang w:eastAsia="en-GB"/>
          <w14:ligatures w14:val="none"/>
        </w:rPr>
      </w:pPr>
      <w:r w:rsidRPr="004E1D4C">
        <w:rPr>
          <w:rFonts w:ascii="Arial" w:eastAsia="Times New Roman" w:hAnsi="Arial" w:cs="Arial"/>
          <w:b/>
          <w:bCs/>
          <w:kern w:val="0"/>
          <w:lang w:eastAsia="en-GB"/>
          <w14:ligatures w14:val="none"/>
        </w:rPr>
        <w:t>Critical evaluation of the theory</w:t>
      </w:r>
    </w:p>
    <w:p w14:paraId="13102ABC" w14:textId="4FFE2EFE" w:rsidR="0008298A" w:rsidRPr="004E1D4C" w:rsidRDefault="0008298A" w:rsidP="004E1D4C">
      <w:pPr>
        <w:spacing w:after="120" w:line="360" w:lineRule="auto"/>
        <w:rPr>
          <w:rFonts w:ascii="Arial" w:eastAsia="Times New Roman" w:hAnsi="Arial" w:cs="Arial"/>
          <w:kern w:val="0"/>
          <w:sz w:val="22"/>
          <w:szCs w:val="22"/>
          <w:lang w:eastAsia="en-GB"/>
          <w14:ligatures w14:val="none"/>
        </w:rPr>
      </w:pPr>
      <w:r w:rsidRPr="004E1D4C">
        <w:rPr>
          <w:rFonts w:ascii="Arial" w:eastAsia="Times New Roman" w:hAnsi="Arial" w:cs="Arial"/>
          <w:kern w:val="0"/>
          <w:sz w:val="22"/>
          <w:szCs w:val="22"/>
          <w:lang w:eastAsia="en-GB"/>
          <w14:ligatures w14:val="none"/>
        </w:rPr>
        <w:t>The theoretical application is coherent and timely, but the cross</w:t>
      </w:r>
      <w:r w:rsidRPr="004E1D4C">
        <w:rPr>
          <w:rFonts w:ascii="Cambria Math" w:eastAsia="Times New Roman" w:hAnsi="Cambria Math" w:cs="Cambria Math"/>
          <w:kern w:val="0"/>
          <w:sz w:val="22"/>
          <w:szCs w:val="22"/>
          <w:lang w:eastAsia="en-GB"/>
          <w14:ligatures w14:val="none"/>
        </w:rPr>
        <w:t>‑</w:t>
      </w:r>
      <w:r w:rsidRPr="004E1D4C">
        <w:rPr>
          <w:rFonts w:ascii="Arial" w:eastAsia="Times New Roman" w:hAnsi="Arial" w:cs="Arial"/>
          <w:kern w:val="0"/>
          <w:sz w:val="22"/>
          <w:szCs w:val="22"/>
          <w:lang w:eastAsia="en-GB"/>
          <w14:ligatures w14:val="none"/>
        </w:rPr>
        <w:t>sectional, self</w:t>
      </w:r>
      <w:r w:rsidRPr="004E1D4C">
        <w:rPr>
          <w:rFonts w:ascii="Cambria Math" w:eastAsia="Times New Roman" w:hAnsi="Cambria Math" w:cs="Cambria Math"/>
          <w:kern w:val="0"/>
          <w:sz w:val="22"/>
          <w:szCs w:val="22"/>
          <w:lang w:eastAsia="en-GB"/>
          <w14:ligatures w14:val="none"/>
        </w:rPr>
        <w:t>‑</w:t>
      </w:r>
      <w:r w:rsidRPr="004E1D4C">
        <w:rPr>
          <w:rFonts w:ascii="Arial" w:eastAsia="Times New Roman" w:hAnsi="Arial" w:cs="Arial"/>
          <w:kern w:val="0"/>
          <w:sz w:val="22"/>
          <w:szCs w:val="22"/>
          <w:lang w:eastAsia="en-GB"/>
          <w14:ligatures w14:val="none"/>
        </w:rPr>
        <w:t>report design limits causal claims and may be affected by common</w:t>
      </w:r>
      <w:r w:rsidRPr="004E1D4C">
        <w:rPr>
          <w:rFonts w:ascii="Cambria Math" w:eastAsia="Times New Roman" w:hAnsi="Cambria Math" w:cs="Cambria Math"/>
          <w:kern w:val="0"/>
          <w:sz w:val="22"/>
          <w:szCs w:val="22"/>
          <w:lang w:eastAsia="en-GB"/>
          <w14:ligatures w14:val="none"/>
        </w:rPr>
        <w:t>‑</w:t>
      </w:r>
      <w:r w:rsidRPr="004E1D4C">
        <w:rPr>
          <w:rFonts w:ascii="Arial" w:eastAsia="Times New Roman" w:hAnsi="Arial" w:cs="Arial"/>
          <w:kern w:val="0"/>
          <w:sz w:val="22"/>
          <w:szCs w:val="22"/>
          <w:lang w:eastAsia="en-GB"/>
          <w14:ligatures w14:val="none"/>
        </w:rPr>
        <w:t>method variance. The sample context (Belgium during COVID</w:t>
      </w:r>
      <w:r w:rsidRPr="004E1D4C">
        <w:rPr>
          <w:rFonts w:ascii="Cambria Math" w:eastAsia="Times New Roman" w:hAnsi="Cambria Math" w:cs="Cambria Math"/>
          <w:kern w:val="0"/>
          <w:sz w:val="22"/>
          <w:szCs w:val="22"/>
          <w:lang w:eastAsia="en-GB"/>
          <w14:ligatures w14:val="none"/>
        </w:rPr>
        <w:t>‑</w:t>
      </w:r>
      <w:r w:rsidRPr="004E1D4C">
        <w:rPr>
          <w:rFonts w:ascii="Arial" w:eastAsia="Times New Roman" w:hAnsi="Arial" w:cs="Arial"/>
          <w:kern w:val="0"/>
          <w:sz w:val="22"/>
          <w:szCs w:val="22"/>
          <w:lang w:eastAsia="en-GB"/>
          <w14:ligatures w14:val="none"/>
        </w:rPr>
        <w:t>19) constrains generalisability. For practice, the findings support interventions that foster life review and need satisfaction — for example, structured reminiscence therapy combined with autonomy</w:t>
      </w:r>
      <w:r w:rsidRPr="004E1D4C">
        <w:rPr>
          <w:rFonts w:ascii="Cambria Math" w:eastAsia="Times New Roman" w:hAnsi="Cambria Math" w:cs="Cambria Math"/>
          <w:kern w:val="0"/>
          <w:sz w:val="22"/>
          <w:szCs w:val="22"/>
          <w:lang w:eastAsia="en-GB"/>
          <w14:ligatures w14:val="none"/>
        </w:rPr>
        <w:t>‑</w:t>
      </w:r>
      <w:r w:rsidRPr="004E1D4C">
        <w:rPr>
          <w:rFonts w:ascii="Arial" w:eastAsia="Times New Roman" w:hAnsi="Arial" w:cs="Arial"/>
          <w:kern w:val="0"/>
          <w:sz w:val="22"/>
          <w:szCs w:val="22"/>
          <w:lang w:eastAsia="en-GB"/>
          <w14:ligatures w14:val="none"/>
        </w:rPr>
        <w:t>supportive care planning to strengthen meaning and perceived control among residents.</w:t>
      </w:r>
    </w:p>
    <w:p w14:paraId="6E443421" w14:textId="77777777" w:rsidR="0008298A" w:rsidRPr="004E1D4C" w:rsidRDefault="0008298A" w:rsidP="004E1D4C">
      <w:pPr>
        <w:spacing w:after="120" w:line="360" w:lineRule="auto"/>
        <w:rPr>
          <w:rFonts w:ascii="Arial" w:eastAsia="Times New Roman" w:hAnsi="Arial" w:cs="Arial"/>
          <w:b/>
          <w:bCs/>
          <w:kern w:val="0"/>
          <w:sz w:val="22"/>
          <w:szCs w:val="22"/>
          <w:lang w:eastAsia="en-GB"/>
          <w14:ligatures w14:val="none"/>
        </w:rPr>
      </w:pPr>
    </w:p>
    <w:p w14:paraId="4990BAEB" w14:textId="77777777" w:rsidR="0008298A" w:rsidRPr="00505E5E" w:rsidRDefault="0008298A" w:rsidP="004E1D4C">
      <w:pPr>
        <w:spacing w:after="120" w:line="360" w:lineRule="auto"/>
        <w:rPr>
          <w:rFonts w:ascii="Arial" w:eastAsia="Times New Roman" w:hAnsi="Arial" w:cs="Arial"/>
          <w:b/>
          <w:bCs/>
          <w:kern w:val="0"/>
          <w:sz w:val="28"/>
          <w:szCs w:val="28"/>
          <w:lang w:eastAsia="en-GB"/>
          <w14:ligatures w14:val="none"/>
        </w:rPr>
      </w:pPr>
      <w:r w:rsidRPr="00505E5E">
        <w:rPr>
          <w:rFonts w:ascii="Arial" w:eastAsia="Times New Roman" w:hAnsi="Arial" w:cs="Arial"/>
          <w:b/>
          <w:bCs/>
          <w:kern w:val="0"/>
          <w:sz w:val="28"/>
          <w:szCs w:val="28"/>
          <w:lang w:eastAsia="en-GB"/>
          <w14:ligatures w14:val="none"/>
        </w:rPr>
        <w:t xml:space="preserve">2. Westerhof, G.J. &amp; </w:t>
      </w:r>
      <w:proofErr w:type="spellStart"/>
      <w:r w:rsidRPr="00505E5E">
        <w:rPr>
          <w:rFonts w:ascii="Arial" w:eastAsia="Times New Roman" w:hAnsi="Arial" w:cs="Arial"/>
          <w:b/>
          <w:bCs/>
          <w:kern w:val="0"/>
          <w:sz w:val="28"/>
          <w:szCs w:val="28"/>
          <w:lang w:eastAsia="en-GB"/>
          <w14:ligatures w14:val="none"/>
        </w:rPr>
        <w:t>Bohlmeijer</w:t>
      </w:r>
      <w:proofErr w:type="spellEnd"/>
      <w:r w:rsidRPr="00505E5E">
        <w:rPr>
          <w:rFonts w:ascii="Arial" w:eastAsia="Times New Roman" w:hAnsi="Arial" w:cs="Arial"/>
          <w:b/>
          <w:bCs/>
          <w:kern w:val="0"/>
          <w:sz w:val="28"/>
          <w:szCs w:val="28"/>
          <w:lang w:eastAsia="en-GB"/>
          <w14:ligatures w14:val="none"/>
        </w:rPr>
        <w:t xml:space="preserve">, E.T. (2017)  </w:t>
      </w:r>
    </w:p>
    <w:p w14:paraId="505F969F" w14:textId="77777777" w:rsidR="0008298A" w:rsidRPr="00505E5E" w:rsidRDefault="0008298A" w:rsidP="004E1D4C">
      <w:pPr>
        <w:spacing w:after="120" w:line="360" w:lineRule="auto"/>
        <w:rPr>
          <w:rFonts w:ascii="Arial" w:eastAsia="Times New Roman" w:hAnsi="Arial" w:cs="Arial"/>
          <w:b/>
          <w:bCs/>
          <w:kern w:val="0"/>
          <w:lang w:eastAsia="en-GB"/>
          <w14:ligatures w14:val="none"/>
        </w:rPr>
      </w:pPr>
      <w:r w:rsidRPr="00505E5E">
        <w:rPr>
          <w:rFonts w:ascii="Arial" w:eastAsia="Times New Roman" w:hAnsi="Arial" w:cs="Arial"/>
          <w:b/>
          <w:bCs/>
          <w:kern w:val="0"/>
          <w:lang w:eastAsia="en-GB"/>
          <w14:ligatures w14:val="none"/>
        </w:rPr>
        <w:t xml:space="preserve">Summary  </w:t>
      </w:r>
    </w:p>
    <w:p w14:paraId="7E223603" w14:textId="77777777" w:rsidR="0008298A" w:rsidRDefault="0008298A" w:rsidP="004E1D4C">
      <w:pPr>
        <w:spacing w:after="120" w:line="360" w:lineRule="auto"/>
        <w:rPr>
          <w:rFonts w:ascii="Arial" w:eastAsia="Times New Roman" w:hAnsi="Arial" w:cs="Arial"/>
          <w:kern w:val="0"/>
          <w:sz w:val="22"/>
          <w:szCs w:val="22"/>
          <w:lang w:eastAsia="en-GB"/>
          <w14:ligatures w14:val="none"/>
        </w:rPr>
      </w:pPr>
      <w:r w:rsidRPr="004E1D4C">
        <w:rPr>
          <w:rFonts w:ascii="Arial" w:eastAsia="Times New Roman" w:hAnsi="Arial" w:cs="Arial"/>
          <w:kern w:val="0"/>
          <w:sz w:val="22"/>
          <w:szCs w:val="22"/>
          <w:lang w:eastAsia="en-GB"/>
          <w14:ligatures w14:val="none"/>
        </w:rPr>
        <w:t xml:space="preserve">This empirical paper links </w:t>
      </w:r>
      <w:proofErr w:type="spellStart"/>
      <w:r w:rsidRPr="004E1D4C">
        <w:rPr>
          <w:rFonts w:ascii="Arial" w:eastAsia="Times New Roman" w:hAnsi="Arial" w:cs="Arial"/>
          <w:kern w:val="0"/>
          <w:sz w:val="22"/>
          <w:szCs w:val="22"/>
          <w:lang w:eastAsia="en-GB"/>
          <w14:ligatures w14:val="none"/>
        </w:rPr>
        <w:t>Eriksonian</w:t>
      </w:r>
      <w:proofErr w:type="spellEnd"/>
      <w:r w:rsidRPr="004E1D4C">
        <w:rPr>
          <w:rFonts w:ascii="Arial" w:eastAsia="Times New Roman" w:hAnsi="Arial" w:cs="Arial"/>
          <w:kern w:val="0"/>
          <w:sz w:val="22"/>
          <w:szCs w:val="22"/>
          <w:lang w:eastAsia="en-GB"/>
          <w14:ligatures w14:val="none"/>
        </w:rPr>
        <w:t xml:space="preserve"> constructs to personality and mental health in later life. Ego integrity relates to indicators of positive mental health, whereas despair shows stronger associations with depressive symptoms and neuroticism. The authors also report that traits such as openness and extraversion are indirectly associated with integrity through their relationships with wellbeing. The study situates psychosocial development within contemporary trait frameworks.</w:t>
      </w:r>
    </w:p>
    <w:p w14:paraId="39173A68" w14:textId="15BC48C1" w:rsidR="00505E5E" w:rsidRPr="004E1D4C" w:rsidRDefault="00505E5E" w:rsidP="004E1D4C">
      <w:pPr>
        <w:spacing w:after="120" w:line="360" w:lineRule="auto"/>
        <w:rPr>
          <w:rFonts w:ascii="Arial" w:eastAsia="Times New Roman" w:hAnsi="Arial" w:cs="Arial"/>
          <w:kern w:val="0"/>
          <w:sz w:val="22"/>
          <w:szCs w:val="22"/>
          <w:lang w:eastAsia="en-GB"/>
          <w14:ligatures w14:val="none"/>
        </w:rPr>
      </w:pPr>
      <w:r w:rsidRPr="00505E5E">
        <w:rPr>
          <w:rFonts w:ascii="Arial" w:eastAsia="Times New Roman" w:hAnsi="Arial" w:cs="Arial"/>
          <w:kern w:val="0"/>
          <w:sz w:val="22"/>
          <w:szCs w:val="22"/>
          <w:lang w:eastAsia="en-GB"/>
          <w14:ligatures w14:val="none"/>
        </w:rPr>
        <w:lastRenderedPageBreak/>
        <w:t>The research is a cross</w:t>
      </w:r>
      <w:r w:rsidRPr="00505E5E">
        <w:rPr>
          <w:rFonts w:ascii="Cambria Math" w:eastAsia="Times New Roman" w:hAnsi="Cambria Math" w:cs="Cambria Math"/>
          <w:kern w:val="0"/>
          <w:sz w:val="22"/>
          <w:szCs w:val="22"/>
          <w:lang w:eastAsia="en-GB"/>
          <w14:ligatures w14:val="none"/>
        </w:rPr>
        <w:t>‑</w:t>
      </w:r>
      <w:r w:rsidRPr="00505E5E">
        <w:rPr>
          <w:rFonts w:ascii="Arial" w:eastAsia="Times New Roman" w:hAnsi="Arial" w:cs="Arial"/>
          <w:kern w:val="0"/>
          <w:sz w:val="22"/>
          <w:szCs w:val="22"/>
          <w:lang w:eastAsia="en-GB"/>
          <w14:ligatures w14:val="none"/>
        </w:rPr>
        <w:t>sectional study carried out in the Netherlands with approximately 218 older adult participants (middle</w:t>
      </w:r>
      <w:r w:rsidRPr="00505E5E">
        <w:rPr>
          <w:rFonts w:ascii="Cambria Math" w:eastAsia="Times New Roman" w:hAnsi="Cambria Math" w:cs="Cambria Math"/>
          <w:kern w:val="0"/>
          <w:sz w:val="22"/>
          <w:szCs w:val="22"/>
          <w:lang w:eastAsia="en-GB"/>
          <w14:ligatures w14:val="none"/>
        </w:rPr>
        <w:t>‑</w:t>
      </w:r>
      <w:r w:rsidRPr="00505E5E">
        <w:rPr>
          <w:rFonts w:ascii="Arial" w:eastAsia="Times New Roman" w:hAnsi="Arial" w:cs="Arial"/>
          <w:kern w:val="0"/>
          <w:sz w:val="22"/>
          <w:szCs w:val="22"/>
          <w:lang w:eastAsia="en-GB"/>
          <w14:ligatures w14:val="none"/>
        </w:rPr>
        <w:t>older age range reported), using validated scales for ego integrity, despair, personality (NEO</w:t>
      </w:r>
      <w:r w:rsidRPr="00505E5E">
        <w:rPr>
          <w:rFonts w:ascii="Cambria Math" w:eastAsia="Times New Roman" w:hAnsi="Cambria Math" w:cs="Cambria Math"/>
          <w:kern w:val="0"/>
          <w:sz w:val="22"/>
          <w:szCs w:val="22"/>
          <w:lang w:eastAsia="en-GB"/>
          <w14:ligatures w14:val="none"/>
        </w:rPr>
        <w:t>‑</w:t>
      </w:r>
      <w:r w:rsidRPr="00505E5E">
        <w:rPr>
          <w:rFonts w:ascii="Arial" w:eastAsia="Times New Roman" w:hAnsi="Arial" w:cs="Arial"/>
          <w:kern w:val="0"/>
          <w:sz w:val="22"/>
          <w:szCs w:val="22"/>
          <w:lang w:eastAsia="en-GB"/>
          <w14:ligatures w14:val="none"/>
        </w:rPr>
        <w:t>FFI) and mental health outcomes.</w:t>
      </w:r>
    </w:p>
    <w:p w14:paraId="5BFBB1B1" w14:textId="77777777" w:rsidR="0008298A" w:rsidRPr="00505E5E" w:rsidRDefault="0008298A" w:rsidP="004E1D4C">
      <w:pPr>
        <w:spacing w:after="120" w:line="360" w:lineRule="auto"/>
        <w:rPr>
          <w:rFonts w:ascii="Arial" w:eastAsia="Times New Roman" w:hAnsi="Arial" w:cs="Arial"/>
          <w:b/>
          <w:bCs/>
          <w:kern w:val="0"/>
          <w:lang w:eastAsia="en-GB"/>
          <w14:ligatures w14:val="none"/>
        </w:rPr>
      </w:pPr>
      <w:r w:rsidRPr="00505E5E">
        <w:rPr>
          <w:rFonts w:ascii="Arial" w:eastAsia="Times New Roman" w:hAnsi="Arial" w:cs="Arial"/>
          <w:b/>
          <w:bCs/>
          <w:kern w:val="0"/>
          <w:lang w:eastAsia="en-GB"/>
          <w14:ligatures w14:val="none"/>
        </w:rPr>
        <w:t>Critical evaluation of the theory</w:t>
      </w:r>
    </w:p>
    <w:p w14:paraId="11A0431C" w14:textId="3D395842" w:rsidR="0008298A" w:rsidRPr="004E1D4C" w:rsidRDefault="0008298A" w:rsidP="004E1D4C">
      <w:pPr>
        <w:spacing w:after="120" w:line="360" w:lineRule="auto"/>
        <w:rPr>
          <w:rFonts w:ascii="Arial" w:eastAsia="Times New Roman" w:hAnsi="Arial" w:cs="Arial"/>
          <w:kern w:val="0"/>
          <w:sz w:val="22"/>
          <w:szCs w:val="22"/>
          <w:lang w:eastAsia="en-GB"/>
          <w14:ligatures w14:val="none"/>
        </w:rPr>
      </w:pPr>
      <w:r w:rsidRPr="004E1D4C">
        <w:rPr>
          <w:rFonts w:ascii="Arial" w:eastAsia="Times New Roman" w:hAnsi="Arial" w:cs="Arial"/>
          <w:kern w:val="0"/>
          <w:sz w:val="22"/>
          <w:szCs w:val="22"/>
          <w:lang w:eastAsia="en-GB"/>
          <w14:ligatures w14:val="none"/>
        </w:rPr>
        <w:t>Because the design is correlational, directionality cannot be established: personality may shape life review, or life experiences may influence trait expression. The sample size and demographic scope limit external validity. Clinically, the study suggests combining life</w:t>
      </w:r>
      <w:r w:rsidRPr="004E1D4C">
        <w:rPr>
          <w:rFonts w:ascii="Cambria Math" w:eastAsia="Times New Roman" w:hAnsi="Cambria Math" w:cs="Cambria Math"/>
          <w:kern w:val="0"/>
          <w:sz w:val="22"/>
          <w:szCs w:val="22"/>
          <w:lang w:eastAsia="en-GB"/>
          <w14:ligatures w14:val="none"/>
        </w:rPr>
        <w:t>‑</w:t>
      </w:r>
      <w:r w:rsidRPr="004E1D4C">
        <w:rPr>
          <w:rFonts w:ascii="Arial" w:eastAsia="Times New Roman" w:hAnsi="Arial" w:cs="Arial"/>
          <w:kern w:val="0"/>
          <w:sz w:val="22"/>
          <w:szCs w:val="22"/>
          <w:lang w:eastAsia="en-GB"/>
          <w14:ligatures w14:val="none"/>
        </w:rPr>
        <w:t>story work with personality</w:t>
      </w:r>
      <w:r w:rsidRPr="004E1D4C">
        <w:rPr>
          <w:rFonts w:ascii="Cambria Math" w:eastAsia="Times New Roman" w:hAnsi="Cambria Math" w:cs="Cambria Math"/>
          <w:kern w:val="0"/>
          <w:sz w:val="22"/>
          <w:szCs w:val="22"/>
          <w:lang w:eastAsia="en-GB"/>
          <w14:ligatures w14:val="none"/>
        </w:rPr>
        <w:t>‑</w:t>
      </w:r>
      <w:r w:rsidRPr="004E1D4C">
        <w:rPr>
          <w:rFonts w:ascii="Arial" w:eastAsia="Times New Roman" w:hAnsi="Arial" w:cs="Arial"/>
          <w:kern w:val="0"/>
          <w:sz w:val="22"/>
          <w:szCs w:val="22"/>
          <w:lang w:eastAsia="en-GB"/>
          <w14:ligatures w14:val="none"/>
        </w:rPr>
        <w:t>informed support: practitioners can tailor psychosocial interventions to individual trait profiles to enhance acceptance and reduce despair.</w:t>
      </w:r>
    </w:p>
    <w:p w14:paraId="4C3B33F5" w14:textId="77777777" w:rsidR="0008298A" w:rsidRPr="004E1D4C" w:rsidRDefault="0008298A" w:rsidP="004E1D4C">
      <w:pPr>
        <w:spacing w:after="120" w:line="360" w:lineRule="auto"/>
        <w:rPr>
          <w:rFonts w:ascii="Arial" w:eastAsia="Times New Roman" w:hAnsi="Arial" w:cs="Arial"/>
          <w:b/>
          <w:bCs/>
          <w:kern w:val="0"/>
          <w:sz w:val="22"/>
          <w:szCs w:val="22"/>
          <w:lang w:eastAsia="en-GB"/>
          <w14:ligatures w14:val="none"/>
        </w:rPr>
      </w:pPr>
    </w:p>
    <w:p w14:paraId="16450CFB" w14:textId="77777777" w:rsidR="0008298A" w:rsidRPr="00505E5E" w:rsidRDefault="0008298A" w:rsidP="004E1D4C">
      <w:pPr>
        <w:spacing w:after="120" w:line="360" w:lineRule="auto"/>
        <w:rPr>
          <w:rFonts w:ascii="Arial" w:eastAsia="Times New Roman" w:hAnsi="Arial" w:cs="Arial"/>
          <w:b/>
          <w:bCs/>
          <w:kern w:val="0"/>
          <w:sz w:val="28"/>
          <w:szCs w:val="28"/>
          <w:lang w:val="nl-NL" w:eastAsia="en-GB"/>
          <w14:ligatures w14:val="none"/>
        </w:rPr>
      </w:pPr>
      <w:r w:rsidRPr="00505E5E">
        <w:rPr>
          <w:rFonts w:ascii="Arial" w:eastAsia="Times New Roman" w:hAnsi="Arial" w:cs="Arial"/>
          <w:b/>
          <w:bCs/>
          <w:kern w:val="0"/>
          <w:sz w:val="28"/>
          <w:szCs w:val="28"/>
          <w:lang w:val="nl-NL" w:eastAsia="en-GB"/>
          <w14:ligatures w14:val="none"/>
        </w:rPr>
        <w:t xml:space="preserve">3. </w:t>
      </w:r>
      <w:proofErr w:type="spellStart"/>
      <w:r w:rsidRPr="00505E5E">
        <w:rPr>
          <w:rFonts w:ascii="Arial" w:eastAsia="Times New Roman" w:hAnsi="Arial" w:cs="Arial"/>
          <w:b/>
          <w:bCs/>
          <w:kern w:val="0"/>
          <w:sz w:val="28"/>
          <w:szCs w:val="28"/>
          <w:lang w:val="nl-NL" w:eastAsia="en-GB"/>
          <w14:ligatures w14:val="none"/>
        </w:rPr>
        <w:t>DeLiema</w:t>
      </w:r>
      <w:proofErr w:type="spellEnd"/>
      <w:r w:rsidRPr="00505E5E">
        <w:rPr>
          <w:rFonts w:ascii="Arial" w:eastAsia="Times New Roman" w:hAnsi="Arial" w:cs="Arial"/>
          <w:b/>
          <w:bCs/>
          <w:kern w:val="0"/>
          <w:sz w:val="28"/>
          <w:szCs w:val="28"/>
          <w:lang w:val="nl-NL" w:eastAsia="en-GB"/>
          <w14:ligatures w14:val="none"/>
        </w:rPr>
        <w:t xml:space="preserve">, M. &amp; </w:t>
      </w:r>
      <w:proofErr w:type="spellStart"/>
      <w:r w:rsidRPr="00505E5E">
        <w:rPr>
          <w:rFonts w:ascii="Arial" w:eastAsia="Times New Roman" w:hAnsi="Arial" w:cs="Arial"/>
          <w:b/>
          <w:bCs/>
          <w:kern w:val="0"/>
          <w:sz w:val="28"/>
          <w:szCs w:val="28"/>
          <w:lang w:val="nl-NL" w:eastAsia="en-GB"/>
          <w14:ligatures w14:val="none"/>
        </w:rPr>
        <w:t>Bengtson</w:t>
      </w:r>
      <w:proofErr w:type="spellEnd"/>
      <w:r w:rsidRPr="00505E5E">
        <w:rPr>
          <w:rFonts w:ascii="Arial" w:eastAsia="Times New Roman" w:hAnsi="Arial" w:cs="Arial"/>
          <w:b/>
          <w:bCs/>
          <w:kern w:val="0"/>
          <w:sz w:val="28"/>
          <w:szCs w:val="28"/>
          <w:lang w:val="nl-NL" w:eastAsia="en-GB"/>
          <w14:ligatures w14:val="none"/>
        </w:rPr>
        <w:t xml:space="preserve">, V.L. (2017)  </w:t>
      </w:r>
    </w:p>
    <w:p w14:paraId="720FBDE4" w14:textId="77777777" w:rsidR="0008298A" w:rsidRPr="00505E5E" w:rsidRDefault="0008298A" w:rsidP="004E1D4C">
      <w:pPr>
        <w:spacing w:after="120" w:line="360" w:lineRule="auto"/>
        <w:rPr>
          <w:rFonts w:ascii="Arial" w:eastAsia="Times New Roman" w:hAnsi="Arial" w:cs="Arial"/>
          <w:b/>
          <w:bCs/>
          <w:kern w:val="0"/>
          <w:lang w:eastAsia="en-GB"/>
          <w14:ligatures w14:val="none"/>
        </w:rPr>
      </w:pPr>
      <w:r w:rsidRPr="00505E5E">
        <w:rPr>
          <w:rFonts w:ascii="Arial" w:eastAsia="Times New Roman" w:hAnsi="Arial" w:cs="Arial"/>
          <w:b/>
          <w:bCs/>
          <w:kern w:val="0"/>
          <w:lang w:eastAsia="en-GB"/>
          <w14:ligatures w14:val="none"/>
        </w:rPr>
        <w:t xml:space="preserve">Summary  </w:t>
      </w:r>
    </w:p>
    <w:p w14:paraId="60F4C352" w14:textId="77777777" w:rsidR="0008298A" w:rsidRDefault="0008298A" w:rsidP="004E1D4C">
      <w:pPr>
        <w:spacing w:after="120" w:line="360" w:lineRule="auto"/>
        <w:rPr>
          <w:rFonts w:ascii="Arial" w:eastAsia="Times New Roman" w:hAnsi="Arial" w:cs="Arial"/>
          <w:kern w:val="0"/>
          <w:sz w:val="22"/>
          <w:szCs w:val="22"/>
          <w:lang w:eastAsia="en-GB"/>
          <w14:ligatures w14:val="none"/>
        </w:rPr>
      </w:pPr>
      <w:r w:rsidRPr="004E1D4C">
        <w:rPr>
          <w:rFonts w:ascii="Arial" w:eastAsia="Times New Roman" w:hAnsi="Arial" w:cs="Arial"/>
          <w:kern w:val="0"/>
          <w:sz w:val="22"/>
          <w:szCs w:val="22"/>
          <w:lang w:eastAsia="en-GB"/>
          <w14:ligatures w14:val="none"/>
        </w:rPr>
        <w:t xml:space="preserve">This </w:t>
      </w:r>
      <w:proofErr w:type="spellStart"/>
      <w:r w:rsidRPr="004E1D4C">
        <w:rPr>
          <w:rFonts w:ascii="Arial" w:eastAsia="Times New Roman" w:hAnsi="Arial" w:cs="Arial"/>
          <w:kern w:val="0"/>
          <w:sz w:val="22"/>
          <w:szCs w:val="22"/>
          <w:lang w:eastAsia="en-GB"/>
          <w14:ligatures w14:val="none"/>
        </w:rPr>
        <w:t>encyclopedia</w:t>
      </w:r>
      <w:proofErr w:type="spellEnd"/>
      <w:r w:rsidRPr="004E1D4C">
        <w:rPr>
          <w:rFonts w:ascii="Arial" w:eastAsia="Times New Roman" w:hAnsi="Arial" w:cs="Arial"/>
          <w:kern w:val="0"/>
          <w:sz w:val="22"/>
          <w:szCs w:val="22"/>
          <w:lang w:eastAsia="en-GB"/>
          <w14:ligatures w14:val="none"/>
        </w:rPr>
        <w:t xml:space="preserve"> entry outlines Activity Theory and contrasts it with disengagement theory. Activity Theory posits that maintaining social roles and engagement in meaningful activities supports identity continuity and life satisfaction in older age. The authors synthesise theoretical arguments and evidence linking role maintenance, role replacement after loss, and social participation to successful ageing.</w:t>
      </w:r>
    </w:p>
    <w:p w14:paraId="3D194229" w14:textId="26C37791" w:rsidR="00505E5E" w:rsidRPr="004E1D4C" w:rsidRDefault="00505E5E" w:rsidP="004E1D4C">
      <w:pPr>
        <w:spacing w:after="120" w:line="360" w:lineRule="auto"/>
        <w:rPr>
          <w:rFonts w:ascii="Arial" w:eastAsia="Times New Roman" w:hAnsi="Arial" w:cs="Arial"/>
          <w:kern w:val="0"/>
          <w:sz w:val="22"/>
          <w:szCs w:val="22"/>
          <w:lang w:eastAsia="en-GB"/>
          <w14:ligatures w14:val="none"/>
        </w:rPr>
      </w:pPr>
      <w:r w:rsidRPr="00505E5E">
        <w:rPr>
          <w:rFonts w:ascii="Arial" w:eastAsia="Times New Roman" w:hAnsi="Arial" w:cs="Arial"/>
          <w:kern w:val="0"/>
          <w:sz w:val="22"/>
          <w:szCs w:val="22"/>
          <w:lang w:eastAsia="en-GB"/>
          <w14:ligatures w14:val="none"/>
        </w:rPr>
        <w:t>As an encyclopaedic chapter, the piece is a theoretical and literature synthesis rather than an original empirical study; it summarises findings from multiple studies rather than reporting a primary sample.</w:t>
      </w:r>
    </w:p>
    <w:p w14:paraId="08172988" w14:textId="77777777" w:rsidR="0008298A" w:rsidRPr="00505E5E" w:rsidRDefault="0008298A" w:rsidP="004E1D4C">
      <w:pPr>
        <w:spacing w:after="120" w:line="360" w:lineRule="auto"/>
        <w:rPr>
          <w:rFonts w:ascii="Arial" w:eastAsia="Times New Roman" w:hAnsi="Arial" w:cs="Arial"/>
          <w:b/>
          <w:bCs/>
          <w:kern w:val="0"/>
          <w:lang w:eastAsia="en-GB"/>
          <w14:ligatures w14:val="none"/>
        </w:rPr>
      </w:pPr>
      <w:r w:rsidRPr="00505E5E">
        <w:rPr>
          <w:rFonts w:ascii="Arial" w:eastAsia="Times New Roman" w:hAnsi="Arial" w:cs="Arial"/>
          <w:b/>
          <w:bCs/>
          <w:kern w:val="0"/>
          <w:lang w:eastAsia="en-GB"/>
          <w14:ligatures w14:val="none"/>
        </w:rPr>
        <w:t>Critical evaluation of the theory</w:t>
      </w:r>
    </w:p>
    <w:p w14:paraId="486905F2" w14:textId="60C531DF" w:rsidR="0008298A" w:rsidRPr="004E1D4C" w:rsidRDefault="0008298A" w:rsidP="004E1D4C">
      <w:pPr>
        <w:spacing w:after="120" w:line="360" w:lineRule="auto"/>
        <w:rPr>
          <w:rFonts w:ascii="Arial" w:eastAsia="Times New Roman" w:hAnsi="Arial" w:cs="Arial"/>
          <w:kern w:val="0"/>
          <w:sz w:val="22"/>
          <w:szCs w:val="22"/>
          <w:lang w:eastAsia="en-GB"/>
          <w14:ligatures w14:val="none"/>
        </w:rPr>
      </w:pPr>
      <w:r w:rsidRPr="004E1D4C">
        <w:rPr>
          <w:rFonts w:ascii="Arial" w:eastAsia="Times New Roman" w:hAnsi="Arial" w:cs="Arial"/>
          <w:kern w:val="0"/>
          <w:sz w:val="22"/>
          <w:szCs w:val="22"/>
          <w:lang w:eastAsia="en-GB"/>
          <w14:ligatures w14:val="none"/>
        </w:rPr>
        <w:t xml:space="preserve">The entry is valuable for conceptual clarity and practical guidance, but it does not provide new empirical data. Critics note Activity Theory’s tendency to universalise the benefits of activity and to reflect Western norms valuing productivity. In practice, activity programmes must be personalised: tailored physical activity and engagement </w:t>
      </w:r>
      <w:proofErr w:type="gramStart"/>
      <w:r w:rsidRPr="004E1D4C">
        <w:rPr>
          <w:rFonts w:ascii="Arial" w:eastAsia="Times New Roman" w:hAnsi="Arial" w:cs="Arial"/>
          <w:kern w:val="0"/>
          <w:sz w:val="22"/>
          <w:szCs w:val="22"/>
          <w:lang w:eastAsia="en-GB"/>
          <w14:ligatures w14:val="none"/>
        </w:rPr>
        <w:t>plans</w:t>
      </w:r>
      <w:proofErr w:type="gramEnd"/>
      <w:r w:rsidRPr="004E1D4C">
        <w:rPr>
          <w:rFonts w:ascii="Arial" w:eastAsia="Times New Roman" w:hAnsi="Arial" w:cs="Arial"/>
          <w:kern w:val="0"/>
          <w:sz w:val="22"/>
          <w:szCs w:val="22"/>
          <w:lang w:eastAsia="en-GB"/>
          <w14:ligatures w14:val="none"/>
        </w:rPr>
        <w:t xml:space="preserve"> that account for health limitations, cultural preferences and cognitive status are more appropriate than one</w:t>
      </w:r>
      <w:r w:rsidRPr="004E1D4C">
        <w:rPr>
          <w:rFonts w:ascii="Cambria Math" w:eastAsia="Times New Roman" w:hAnsi="Cambria Math" w:cs="Cambria Math"/>
          <w:kern w:val="0"/>
          <w:sz w:val="22"/>
          <w:szCs w:val="22"/>
          <w:lang w:eastAsia="en-GB"/>
          <w14:ligatures w14:val="none"/>
        </w:rPr>
        <w:t>‑</w:t>
      </w:r>
      <w:r w:rsidRPr="004E1D4C">
        <w:rPr>
          <w:rFonts w:ascii="Arial" w:eastAsia="Times New Roman" w:hAnsi="Arial" w:cs="Arial"/>
          <w:kern w:val="0"/>
          <w:sz w:val="22"/>
          <w:szCs w:val="22"/>
          <w:lang w:eastAsia="en-GB"/>
          <w14:ligatures w14:val="none"/>
        </w:rPr>
        <w:t>size</w:t>
      </w:r>
      <w:r w:rsidRPr="004E1D4C">
        <w:rPr>
          <w:rFonts w:ascii="Cambria Math" w:eastAsia="Times New Roman" w:hAnsi="Cambria Math" w:cs="Cambria Math"/>
          <w:kern w:val="0"/>
          <w:sz w:val="22"/>
          <w:szCs w:val="22"/>
          <w:lang w:eastAsia="en-GB"/>
          <w14:ligatures w14:val="none"/>
        </w:rPr>
        <w:t>‑</w:t>
      </w:r>
      <w:r w:rsidRPr="004E1D4C">
        <w:rPr>
          <w:rFonts w:ascii="Arial" w:eastAsia="Times New Roman" w:hAnsi="Arial" w:cs="Arial"/>
          <w:kern w:val="0"/>
          <w:sz w:val="22"/>
          <w:szCs w:val="22"/>
          <w:lang w:eastAsia="en-GB"/>
          <w14:ligatures w14:val="none"/>
        </w:rPr>
        <w:t>fits</w:t>
      </w:r>
      <w:r w:rsidRPr="004E1D4C">
        <w:rPr>
          <w:rFonts w:ascii="Cambria Math" w:eastAsia="Times New Roman" w:hAnsi="Cambria Math" w:cs="Cambria Math"/>
          <w:kern w:val="0"/>
          <w:sz w:val="22"/>
          <w:szCs w:val="22"/>
          <w:lang w:eastAsia="en-GB"/>
          <w14:ligatures w14:val="none"/>
        </w:rPr>
        <w:t>‑</w:t>
      </w:r>
      <w:r w:rsidRPr="004E1D4C">
        <w:rPr>
          <w:rFonts w:ascii="Arial" w:eastAsia="Times New Roman" w:hAnsi="Arial" w:cs="Arial"/>
          <w:kern w:val="0"/>
          <w:sz w:val="22"/>
          <w:szCs w:val="22"/>
          <w:lang w:eastAsia="en-GB"/>
          <w14:ligatures w14:val="none"/>
        </w:rPr>
        <w:t>all approaches.</w:t>
      </w:r>
    </w:p>
    <w:p w14:paraId="0015E3BE" w14:textId="77777777" w:rsidR="0008298A" w:rsidRPr="004E1D4C" w:rsidRDefault="0008298A" w:rsidP="004E1D4C">
      <w:pPr>
        <w:spacing w:after="120" w:line="360" w:lineRule="auto"/>
        <w:rPr>
          <w:rFonts w:ascii="Arial" w:eastAsia="Times New Roman" w:hAnsi="Arial" w:cs="Arial"/>
          <w:b/>
          <w:bCs/>
          <w:kern w:val="0"/>
          <w:sz w:val="22"/>
          <w:szCs w:val="22"/>
          <w:lang w:eastAsia="en-GB"/>
          <w14:ligatures w14:val="none"/>
        </w:rPr>
      </w:pPr>
    </w:p>
    <w:p w14:paraId="62CEA6CB" w14:textId="77777777" w:rsidR="0008298A" w:rsidRPr="00505E5E" w:rsidRDefault="0008298A" w:rsidP="004E1D4C">
      <w:pPr>
        <w:spacing w:after="120" w:line="360" w:lineRule="auto"/>
        <w:rPr>
          <w:rFonts w:ascii="Arial" w:eastAsia="Times New Roman" w:hAnsi="Arial" w:cs="Arial"/>
          <w:b/>
          <w:bCs/>
          <w:kern w:val="0"/>
          <w:sz w:val="28"/>
          <w:szCs w:val="28"/>
          <w:lang w:eastAsia="en-GB"/>
          <w14:ligatures w14:val="none"/>
        </w:rPr>
      </w:pPr>
      <w:r w:rsidRPr="00505E5E">
        <w:rPr>
          <w:rFonts w:ascii="Arial" w:eastAsia="Times New Roman" w:hAnsi="Arial" w:cs="Arial"/>
          <w:b/>
          <w:bCs/>
          <w:kern w:val="0"/>
          <w:sz w:val="28"/>
          <w:szCs w:val="28"/>
          <w:lang w:eastAsia="en-GB"/>
          <w14:ligatures w14:val="none"/>
        </w:rPr>
        <w:t xml:space="preserve">4. </w:t>
      </w:r>
      <w:proofErr w:type="spellStart"/>
      <w:r w:rsidRPr="00505E5E">
        <w:rPr>
          <w:rFonts w:ascii="Arial" w:eastAsia="Times New Roman" w:hAnsi="Arial" w:cs="Arial"/>
          <w:b/>
          <w:bCs/>
          <w:kern w:val="0"/>
          <w:sz w:val="28"/>
          <w:szCs w:val="28"/>
          <w:lang w:eastAsia="en-GB"/>
          <w14:ligatures w14:val="none"/>
        </w:rPr>
        <w:t>Lakomý</w:t>
      </w:r>
      <w:proofErr w:type="spellEnd"/>
      <w:r w:rsidRPr="00505E5E">
        <w:rPr>
          <w:rFonts w:ascii="Arial" w:eastAsia="Times New Roman" w:hAnsi="Arial" w:cs="Arial"/>
          <w:b/>
          <w:bCs/>
          <w:kern w:val="0"/>
          <w:sz w:val="28"/>
          <w:szCs w:val="28"/>
          <w:lang w:eastAsia="en-GB"/>
          <w14:ligatures w14:val="none"/>
        </w:rPr>
        <w:t xml:space="preserve">, M. (2023)  </w:t>
      </w:r>
    </w:p>
    <w:p w14:paraId="2CE1B17C" w14:textId="77777777" w:rsidR="0008298A" w:rsidRPr="00505E5E" w:rsidRDefault="0008298A" w:rsidP="004E1D4C">
      <w:pPr>
        <w:spacing w:after="120" w:line="360" w:lineRule="auto"/>
        <w:rPr>
          <w:rFonts w:ascii="Arial" w:eastAsia="Times New Roman" w:hAnsi="Arial" w:cs="Arial"/>
          <w:b/>
          <w:bCs/>
          <w:kern w:val="0"/>
          <w:lang w:eastAsia="en-GB"/>
          <w14:ligatures w14:val="none"/>
        </w:rPr>
      </w:pPr>
      <w:r w:rsidRPr="00505E5E">
        <w:rPr>
          <w:rFonts w:ascii="Arial" w:eastAsia="Times New Roman" w:hAnsi="Arial" w:cs="Arial"/>
          <w:b/>
          <w:bCs/>
          <w:kern w:val="0"/>
          <w:lang w:eastAsia="en-GB"/>
          <w14:ligatures w14:val="none"/>
        </w:rPr>
        <w:t xml:space="preserve">Summary  </w:t>
      </w:r>
    </w:p>
    <w:p w14:paraId="6962AD33" w14:textId="77777777" w:rsidR="0008298A" w:rsidRDefault="0008298A" w:rsidP="004E1D4C">
      <w:pPr>
        <w:spacing w:after="120" w:line="360" w:lineRule="auto"/>
        <w:rPr>
          <w:rFonts w:ascii="Arial" w:eastAsia="Times New Roman" w:hAnsi="Arial" w:cs="Arial"/>
          <w:kern w:val="0"/>
          <w:sz w:val="22"/>
          <w:szCs w:val="22"/>
          <w:lang w:eastAsia="en-GB"/>
          <w14:ligatures w14:val="none"/>
        </w:rPr>
      </w:pPr>
      <w:r w:rsidRPr="004E1D4C">
        <w:rPr>
          <w:rFonts w:ascii="Arial" w:eastAsia="Times New Roman" w:hAnsi="Arial" w:cs="Arial"/>
          <w:kern w:val="0"/>
          <w:sz w:val="22"/>
          <w:szCs w:val="22"/>
          <w:lang w:eastAsia="en-GB"/>
          <w14:ligatures w14:val="none"/>
        </w:rPr>
        <w:t>This article examines how roles prescribed by active ageing — physical activity, employment, caregiving, volunteering and social participation — relate to quality of life across European regions. Using large</w:t>
      </w:r>
      <w:r w:rsidRPr="004E1D4C">
        <w:rPr>
          <w:rFonts w:ascii="Cambria Math" w:eastAsia="Times New Roman" w:hAnsi="Cambria Math" w:cs="Cambria Math"/>
          <w:kern w:val="0"/>
          <w:sz w:val="22"/>
          <w:szCs w:val="22"/>
          <w:lang w:eastAsia="en-GB"/>
          <w14:ligatures w14:val="none"/>
        </w:rPr>
        <w:t>‑</w:t>
      </w:r>
      <w:r w:rsidRPr="004E1D4C">
        <w:rPr>
          <w:rFonts w:ascii="Arial" w:eastAsia="Times New Roman" w:hAnsi="Arial" w:cs="Arial"/>
          <w:kern w:val="0"/>
          <w:sz w:val="22"/>
          <w:szCs w:val="22"/>
          <w:lang w:eastAsia="en-GB"/>
          <w14:ligatures w14:val="none"/>
        </w:rPr>
        <w:t xml:space="preserve">scale </w:t>
      </w:r>
      <w:r w:rsidRPr="004E1D4C">
        <w:rPr>
          <w:rFonts w:ascii="Arial" w:eastAsia="Times New Roman" w:hAnsi="Arial" w:cs="Arial"/>
          <w:kern w:val="0"/>
          <w:sz w:val="22"/>
          <w:szCs w:val="22"/>
          <w:lang w:eastAsia="en-GB"/>
          <w14:ligatures w14:val="none"/>
        </w:rPr>
        <w:lastRenderedPageBreak/>
        <w:t>panel data, the author shows that engagement in some active roles (notably volunteering, club participation and physical activity) is associated with higher subjective quality of life, but effects vary substantially by regional socioeconomic context and available resources.</w:t>
      </w:r>
    </w:p>
    <w:p w14:paraId="6329F985" w14:textId="2255F0E4" w:rsidR="00505E5E" w:rsidRPr="004E1D4C" w:rsidRDefault="00505E5E" w:rsidP="004E1D4C">
      <w:pPr>
        <w:spacing w:after="120" w:line="360" w:lineRule="auto"/>
        <w:rPr>
          <w:rFonts w:ascii="Arial" w:eastAsia="Times New Roman" w:hAnsi="Arial" w:cs="Arial"/>
          <w:kern w:val="0"/>
          <w:sz w:val="22"/>
          <w:szCs w:val="22"/>
          <w:lang w:eastAsia="en-GB"/>
          <w14:ligatures w14:val="none"/>
        </w:rPr>
      </w:pPr>
      <w:r w:rsidRPr="00505E5E">
        <w:rPr>
          <w:rFonts w:ascii="Arial" w:eastAsia="Times New Roman" w:hAnsi="Arial" w:cs="Arial"/>
          <w:kern w:val="0"/>
          <w:sz w:val="22"/>
          <w:szCs w:val="22"/>
          <w:lang w:eastAsia="en-GB"/>
          <w14:ligatures w14:val="none"/>
        </w:rPr>
        <w:t>The study analyses large European survey/panel data from the Survey of Health, Ageing and Retirement in Europe (SHARE) and comparable national surveys, reporting a balanced sample across multiple countries and applying fixed</w:t>
      </w:r>
      <w:r w:rsidRPr="00505E5E">
        <w:rPr>
          <w:rFonts w:ascii="Cambria Math" w:eastAsia="Times New Roman" w:hAnsi="Cambria Math" w:cs="Cambria Math"/>
          <w:kern w:val="0"/>
          <w:sz w:val="22"/>
          <w:szCs w:val="22"/>
          <w:lang w:eastAsia="en-GB"/>
          <w14:ligatures w14:val="none"/>
        </w:rPr>
        <w:t>‑</w:t>
      </w:r>
      <w:r w:rsidRPr="00505E5E">
        <w:rPr>
          <w:rFonts w:ascii="Arial" w:eastAsia="Times New Roman" w:hAnsi="Arial" w:cs="Arial"/>
          <w:kern w:val="0"/>
          <w:sz w:val="22"/>
          <w:szCs w:val="22"/>
          <w:lang w:eastAsia="en-GB"/>
          <w14:ligatures w14:val="none"/>
        </w:rPr>
        <w:t>effects and random</w:t>
      </w:r>
      <w:r w:rsidRPr="00505E5E">
        <w:rPr>
          <w:rFonts w:ascii="Cambria Math" w:eastAsia="Times New Roman" w:hAnsi="Cambria Math" w:cs="Cambria Math"/>
          <w:kern w:val="0"/>
          <w:sz w:val="22"/>
          <w:szCs w:val="22"/>
          <w:lang w:eastAsia="en-GB"/>
          <w14:ligatures w14:val="none"/>
        </w:rPr>
        <w:t>‑</w:t>
      </w:r>
      <w:r w:rsidRPr="00505E5E">
        <w:rPr>
          <w:rFonts w:ascii="Arial" w:eastAsia="Times New Roman" w:hAnsi="Arial" w:cs="Arial"/>
          <w:kern w:val="0"/>
          <w:sz w:val="22"/>
          <w:szCs w:val="22"/>
          <w:lang w:eastAsia="en-GB"/>
          <w14:ligatures w14:val="none"/>
        </w:rPr>
        <w:t>effects models to assess role effects over time and across regions. Exact sample sizes and country lists are reported in the article’s methods section.</w:t>
      </w:r>
    </w:p>
    <w:p w14:paraId="26728DD5" w14:textId="77777777" w:rsidR="0008298A" w:rsidRPr="00505E5E" w:rsidRDefault="0008298A" w:rsidP="004E1D4C">
      <w:pPr>
        <w:spacing w:after="120" w:line="360" w:lineRule="auto"/>
        <w:rPr>
          <w:rFonts w:ascii="Arial" w:eastAsia="Times New Roman" w:hAnsi="Arial" w:cs="Arial"/>
          <w:b/>
          <w:bCs/>
          <w:kern w:val="0"/>
          <w:lang w:eastAsia="en-GB"/>
          <w14:ligatures w14:val="none"/>
        </w:rPr>
      </w:pPr>
      <w:r w:rsidRPr="00505E5E">
        <w:rPr>
          <w:rFonts w:ascii="Arial" w:eastAsia="Times New Roman" w:hAnsi="Arial" w:cs="Arial"/>
          <w:b/>
          <w:bCs/>
          <w:kern w:val="0"/>
          <w:lang w:eastAsia="en-GB"/>
          <w14:ligatures w14:val="none"/>
        </w:rPr>
        <w:t>Critical evaluation of the theory</w:t>
      </w:r>
    </w:p>
    <w:p w14:paraId="064323B4" w14:textId="1CB6A8B3" w:rsidR="0008298A" w:rsidRPr="004E1D4C" w:rsidRDefault="0008298A" w:rsidP="004E1D4C">
      <w:pPr>
        <w:spacing w:after="120" w:line="360" w:lineRule="auto"/>
        <w:rPr>
          <w:rFonts w:ascii="Arial" w:eastAsia="Times New Roman" w:hAnsi="Arial" w:cs="Arial"/>
          <w:kern w:val="0"/>
          <w:sz w:val="22"/>
          <w:szCs w:val="22"/>
          <w:lang w:eastAsia="en-GB"/>
          <w14:ligatures w14:val="none"/>
        </w:rPr>
      </w:pPr>
      <w:r w:rsidRPr="004E1D4C">
        <w:rPr>
          <w:rFonts w:ascii="Arial" w:eastAsia="Times New Roman" w:hAnsi="Arial" w:cs="Arial"/>
          <w:kern w:val="0"/>
          <w:sz w:val="22"/>
          <w:szCs w:val="22"/>
          <w:lang w:eastAsia="en-GB"/>
          <w14:ligatures w14:val="none"/>
        </w:rPr>
        <w:t>By using panel methods, the study improves causal inference relative to cross</w:t>
      </w:r>
      <w:r w:rsidRPr="004E1D4C">
        <w:rPr>
          <w:rFonts w:ascii="Cambria Math" w:eastAsia="Times New Roman" w:hAnsi="Cambria Math" w:cs="Cambria Math"/>
          <w:kern w:val="0"/>
          <w:sz w:val="22"/>
          <w:szCs w:val="22"/>
          <w:lang w:eastAsia="en-GB"/>
          <w14:ligatures w14:val="none"/>
        </w:rPr>
        <w:t>‑</w:t>
      </w:r>
      <w:r w:rsidRPr="004E1D4C">
        <w:rPr>
          <w:rFonts w:ascii="Arial" w:eastAsia="Times New Roman" w:hAnsi="Arial" w:cs="Arial"/>
          <w:kern w:val="0"/>
          <w:sz w:val="22"/>
          <w:szCs w:val="22"/>
          <w:lang w:eastAsia="en-GB"/>
          <w14:ligatures w14:val="none"/>
        </w:rPr>
        <w:t>sectional work, yet panel attrition and measurement simplifications remain limitations. The findings emphasise that active ageing policies must be context</w:t>
      </w:r>
      <w:r w:rsidRPr="004E1D4C">
        <w:rPr>
          <w:rFonts w:ascii="Cambria Math" w:eastAsia="Times New Roman" w:hAnsi="Cambria Math" w:cs="Cambria Math"/>
          <w:kern w:val="0"/>
          <w:sz w:val="22"/>
          <w:szCs w:val="22"/>
          <w:lang w:eastAsia="en-GB"/>
          <w14:ligatures w14:val="none"/>
        </w:rPr>
        <w:t>‑</w:t>
      </w:r>
      <w:r w:rsidRPr="004E1D4C">
        <w:rPr>
          <w:rFonts w:ascii="Arial" w:eastAsia="Times New Roman" w:hAnsi="Arial" w:cs="Arial"/>
          <w:kern w:val="0"/>
          <w:sz w:val="22"/>
          <w:szCs w:val="22"/>
          <w:lang w:eastAsia="en-GB"/>
          <w14:ligatures w14:val="none"/>
        </w:rPr>
        <w:t>sensitive: practical responses include social prescribing and regionally adapted activity programmes that prioritise accessible volunteering and culturally meaningful participation rather than imposing uniform activity expectations.</w:t>
      </w:r>
    </w:p>
    <w:p w14:paraId="1804BC60" w14:textId="77777777" w:rsidR="004E1D4C" w:rsidRPr="004E1D4C" w:rsidRDefault="004E1D4C" w:rsidP="004E1D4C">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r w:rsidRPr="004E1D4C">
        <w:rPr>
          <w:rFonts w:ascii="Arial" w:eastAsia="Times New Roman" w:hAnsi="Arial" w:cs="Arial"/>
          <w:b/>
          <w:bCs/>
          <w:kern w:val="0"/>
          <w:sz w:val="28"/>
          <w:szCs w:val="28"/>
          <w:lang w:eastAsia="en-GB"/>
          <w14:ligatures w14:val="none"/>
        </w:rPr>
        <w:t>Reference List</w:t>
      </w:r>
    </w:p>
    <w:p w14:paraId="08BB5CF6" w14:textId="77777777" w:rsidR="004E1D4C" w:rsidRPr="004E1D4C" w:rsidRDefault="004E1D4C" w:rsidP="00505E5E">
      <w:pPr>
        <w:spacing w:before="100" w:beforeAutospacing="1" w:after="120" w:line="360" w:lineRule="auto"/>
        <w:rPr>
          <w:rFonts w:ascii="Arial" w:eastAsia="Times New Roman" w:hAnsi="Arial" w:cs="Arial"/>
          <w:kern w:val="0"/>
          <w:sz w:val="22"/>
          <w:szCs w:val="22"/>
          <w:lang w:eastAsia="en-GB"/>
          <w14:ligatures w14:val="none"/>
        </w:rPr>
      </w:pPr>
      <w:proofErr w:type="spellStart"/>
      <w:r w:rsidRPr="004E1D4C">
        <w:rPr>
          <w:rFonts w:ascii="Arial" w:eastAsia="Times New Roman" w:hAnsi="Arial" w:cs="Arial"/>
          <w:kern w:val="0"/>
          <w:sz w:val="22"/>
          <w:szCs w:val="22"/>
          <w:lang w:eastAsia="en-GB"/>
          <w14:ligatures w14:val="none"/>
        </w:rPr>
        <w:t>DeLiema</w:t>
      </w:r>
      <w:proofErr w:type="spellEnd"/>
      <w:r w:rsidRPr="004E1D4C">
        <w:rPr>
          <w:rFonts w:ascii="Arial" w:eastAsia="Times New Roman" w:hAnsi="Arial" w:cs="Arial"/>
          <w:kern w:val="0"/>
          <w:sz w:val="22"/>
          <w:szCs w:val="22"/>
          <w:lang w:eastAsia="en-GB"/>
          <w14:ligatures w14:val="none"/>
        </w:rPr>
        <w:t xml:space="preserve">, M. and Bengtson, V.L. (2017) ‘Activity theory, disengagement theory, and successful aging’, in </w:t>
      </w:r>
      <w:proofErr w:type="spellStart"/>
      <w:r w:rsidRPr="004E1D4C">
        <w:rPr>
          <w:rFonts w:ascii="Arial" w:eastAsia="Times New Roman" w:hAnsi="Arial" w:cs="Arial"/>
          <w:kern w:val="0"/>
          <w:sz w:val="22"/>
          <w:szCs w:val="22"/>
          <w:lang w:eastAsia="en-GB"/>
          <w14:ligatures w14:val="none"/>
        </w:rPr>
        <w:t>Pachana</w:t>
      </w:r>
      <w:proofErr w:type="spellEnd"/>
      <w:r w:rsidRPr="004E1D4C">
        <w:rPr>
          <w:rFonts w:ascii="Arial" w:eastAsia="Times New Roman" w:hAnsi="Arial" w:cs="Arial"/>
          <w:kern w:val="0"/>
          <w:sz w:val="22"/>
          <w:szCs w:val="22"/>
          <w:lang w:eastAsia="en-GB"/>
          <w14:ligatures w14:val="none"/>
        </w:rPr>
        <w:t xml:space="preserve">, N.A. (ed.) </w:t>
      </w:r>
      <w:proofErr w:type="spellStart"/>
      <w:r w:rsidRPr="004E1D4C">
        <w:rPr>
          <w:rFonts w:ascii="Arial" w:eastAsia="Times New Roman" w:hAnsi="Arial" w:cs="Arial"/>
          <w:i/>
          <w:iCs/>
          <w:kern w:val="0"/>
          <w:sz w:val="22"/>
          <w:szCs w:val="22"/>
          <w:lang w:eastAsia="en-GB"/>
          <w14:ligatures w14:val="none"/>
        </w:rPr>
        <w:t>Encyclopedia</w:t>
      </w:r>
      <w:proofErr w:type="spellEnd"/>
      <w:r w:rsidRPr="004E1D4C">
        <w:rPr>
          <w:rFonts w:ascii="Arial" w:eastAsia="Times New Roman" w:hAnsi="Arial" w:cs="Arial"/>
          <w:i/>
          <w:iCs/>
          <w:kern w:val="0"/>
          <w:sz w:val="22"/>
          <w:szCs w:val="22"/>
          <w:lang w:eastAsia="en-GB"/>
          <w14:ligatures w14:val="none"/>
        </w:rPr>
        <w:t xml:space="preserve"> of </w:t>
      </w:r>
      <w:proofErr w:type="spellStart"/>
      <w:r w:rsidRPr="004E1D4C">
        <w:rPr>
          <w:rFonts w:ascii="Arial" w:eastAsia="Times New Roman" w:hAnsi="Arial" w:cs="Arial"/>
          <w:i/>
          <w:iCs/>
          <w:kern w:val="0"/>
          <w:sz w:val="22"/>
          <w:szCs w:val="22"/>
          <w:lang w:eastAsia="en-GB"/>
          <w14:ligatures w14:val="none"/>
        </w:rPr>
        <w:t>geropsychology</w:t>
      </w:r>
      <w:proofErr w:type="spellEnd"/>
      <w:r w:rsidRPr="004E1D4C">
        <w:rPr>
          <w:rFonts w:ascii="Arial" w:eastAsia="Times New Roman" w:hAnsi="Arial" w:cs="Arial"/>
          <w:kern w:val="0"/>
          <w:sz w:val="22"/>
          <w:szCs w:val="22"/>
          <w:lang w:eastAsia="en-GB"/>
          <w14:ligatures w14:val="none"/>
        </w:rPr>
        <w:t xml:space="preserve">. Singapore: Springer. Available at: </w:t>
      </w:r>
      <w:hyperlink r:id="rId7" w:tgtFrame="_new" w:history="1">
        <w:r w:rsidRPr="004E1D4C">
          <w:rPr>
            <w:rFonts w:ascii="Arial" w:eastAsia="Times New Roman" w:hAnsi="Arial" w:cs="Arial"/>
            <w:color w:val="0000FF"/>
            <w:kern w:val="0"/>
            <w:sz w:val="22"/>
            <w:szCs w:val="22"/>
            <w:u w:val="single"/>
            <w:lang w:eastAsia="en-GB"/>
            <w14:ligatures w14:val="none"/>
          </w:rPr>
          <w:t>https://doi.org/10.1007/978-981-287-082-7_102</w:t>
        </w:r>
      </w:hyperlink>
    </w:p>
    <w:p w14:paraId="16E9F1AE" w14:textId="77777777" w:rsidR="004E1D4C" w:rsidRPr="004E1D4C" w:rsidRDefault="004E1D4C" w:rsidP="00505E5E">
      <w:pPr>
        <w:spacing w:before="100" w:beforeAutospacing="1" w:after="120" w:line="360" w:lineRule="auto"/>
        <w:rPr>
          <w:rFonts w:ascii="Arial" w:eastAsia="Times New Roman" w:hAnsi="Arial" w:cs="Arial"/>
          <w:kern w:val="0"/>
          <w:sz w:val="22"/>
          <w:szCs w:val="22"/>
          <w:lang w:eastAsia="en-GB"/>
          <w14:ligatures w14:val="none"/>
        </w:rPr>
      </w:pPr>
      <w:proofErr w:type="spellStart"/>
      <w:r w:rsidRPr="004E1D4C">
        <w:rPr>
          <w:rFonts w:ascii="Arial" w:eastAsia="Times New Roman" w:hAnsi="Arial" w:cs="Arial"/>
          <w:kern w:val="0"/>
          <w:sz w:val="22"/>
          <w:szCs w:val="22"/>
          <w:lang w:eastAsia="en-GB"/>
          <w14:ligatures w14:val="none"/>
        </w:rPr>
        <w:t>Lakomý</w:t>
      </w:r>
      <w:proofErr w:type="spellEnd"/>
      <w:r w:rsidRPr="004E1D4C">
        <w:rPr>
          <w:rFonts w:ascii="Arial" w:eastAsia="Times New Roman" w:hAnsi="Arial" w:cs="Arial"/>
          <w:kern w:val="0"/>
          <w:sz w:val="22"/>
          <w:szCs w:val="22"/>
          <w:lang w:eastAsia="en-GB"/>
          <w14:ligatures w14:val="none"/>
        </w:rPr>
        <w:t xml:space="preserve">, M. (2023) ‘The effect of roles prescribed by active ageing on quality of life across European regions’, </w:t>
      </w:r>
      <w:r w:rsidRPr="004E1D4C">
        <w:rPr>
          <w:rFonts w:ascii="Arial" w:eastAsia="Times New Roman" w:hAnsi="Arial" w:cs="Arial"/>
          <w:i/>
          <w:iCs/>
          <w:kern w:val="0"/>
          <w:sz w:val="22"/>
          <w:szCs w:val="22"/>
          <w:lang w:eastAsia="en-GB"/>
          <w14:ligatures w14:val="none"/>
        </w:rPr>
        <w:t>Ageing &amp; Society</w:t>
      </w:r>
      <w:r w:rsidRPr="004E1D4C">
        <w:rPr>
          <w:rFonts w:ascii="Arial" w:eastAsia="Times New Roman" w:hAnsi="Arial" w:cs="Arial"/>
          <w:kern w:val="0"/>
          <w:sz w:val="22"/>
          <w:szCs w:val="22"/>
          <w:lang w:eastAsia="en-GB"/>
          <w14:ligatures w14:val="none"/>
        </w:rPr>
        <w:t xml:space="preserve">, 43(3), pp. 664–688. Available at: </w:t>
      </w:r>
      <w:hyperlink r:id="rId8" w:tgtFrame="_new" w:history="1">
        <w:r w:rsidRPr="004E1D4C">
          <w:rPr>
            <w:rFonts w:ascii="Arial" w:eastAsia="Times New Roman" w:hAnsi="Arial" w:cs="Arial"/>
            <w:color w:val="0000FF"/>
            <w:kern w:val="0"/>
            <w:sz w:val="22"/>
            <w:szCs w:val="22"/>
            <w:u w:val="single"/>
            <w:lang w:eastAsia="en-GB"/>
            <w14:ligatures w14:val="none"/>
          </w:rPr>
          <w:t>https://doi.org/10.1017/S0144686X21000726</w:t>
        </w:r>
      </w:hyperlink>
    </w:p>
    <w:p w14:paraId="27E96F69" w14:textId="77777777" w:rsidR="004E1D4C" w:rsidRPr="004E1D4C" w:rsidRDefault="004E1D4C" w:rsidP="00505E5E">
      <w:pPr>
        <w:spacing w:before="100" w:beforeAutospacing="1" w:after="120" w:line="360" w:lineRule="auto"/>
        <w:rPr>
          <w:rFonts w:ascii="Arial" w:eastAsia="Times New Roman" w:hAnsi="Arial" w:cs="Arial"/>
          <w:kern w:val="0"/>
          <w:sz w:val="22"/>
          <w:szCs w:val="22"/>
          <w:lang w:eastAsia="en-GB"/>
          <w14:ligatures w14:val="none"/>
        </w:rPr>
      </w:pPr>
      <w:r w:rsidRPr="004E1D4C">
        <w:rPr>
          <w:rFonts w:ascii="Arial" w:eastAsia="Times New Roman" w:hAnsi="Arial" w:cs="Arial"/>
          <w:kern w:val="0"/>
          <w:sz w:val="22"/>
          <w:szCs w:val="22"/>
          <w:lang w:eastAsia="en-GB"/>
          <w14:ligatures w14:val="none"/>
        </w:rPr>
        <w:t xml:space="preserve">van der </w:t>
      </w:r>
      <w:proofErr w:type="spellStart"/>
      <w:r w:rsidRPr="004E1D4C">
        <w:rPr>
          <w:rFonts w:ascii="Arial" w:eastAsia="Times New Roman" w:hAnsi="Arial" w:cs="Arial"/>
          <w:kern w:val="0"/>
          <w:sz w:val="22"/>
          <w:szCs w:val="22"/>
          <w:lang w:eastAsia="en-GB"/>
          <w14:ligatures w14:val="none"/>
        </w:rPr>
        <w:t>Kaap-Deeder</w:t>
      </w:r>
      <w:proofErr w:type="spellEnd"/>
      <w:r w:rsidRPr="004E1D4C">
        <w:rPr>
          <w:rFonts w:ascii="Arial" w:eastAsia="Times New Roman" w:hAnsi="Arial" w:cs="Arial"/>
          <w:kern w:val="0"/>
          <w:sz w:val="22"/>
          <w:szCs w:val="22"/>
          <w:lang w:eastAsia="en-GB"/>
          <w14:ligatures w14:val="none"/>
        </w:rPr>
        <w:t xml:space="preserve">, J., </w:t>
      </w:r>
      <w:proofErr w:type="spellStart"/>
      <w:r w:rsidRPr="004E1D4C">
        <w:rPr>
          <w:rFonts w:ascii="Arial" w:eastAsia="Times New Roman" w:hAnsi="Arial" w:cs="Arial"/>
          <w:kern w:val="0"/>
          <w:sz w:val="22"/>
          <w:szCs w:val="22"/>
          <w:lang w:eastAsia="en-GB"/>
          <w14:ligatures w14:val="none"/>
        </w:rPr>
        <w:t>Vermote</w:t>
      </w:r>
      <w:proofErr w:type="spellEnd"/>
      <w:r w:rsidRPr="004E1D4C">
        <w:rPr>
          <w:rFonts w:ascii="Arial" w:eastAsia="Times New Roman" w:hAnsi="Arial" w:cs="Arial"/>
          <w:kern w:val="0"/>
          <w:sz w:val="22"/>
          <w:szCs w:val="22"/>
          <w:lang w:eastAsia="en-GB"/>
          <w14:ligatures w14:val="none"/>
        </w:rPr>
        <w:t xml:space="preserve">, B., </w:t>
      </w:r>
      <w:proofErr w:type="spellStart"/>
      <w:r w:rsidRPr="004E1D4C">
        <w:rPr>
          <w:rFonts w:ascii="Arial" w:eastAsia="Times New Roman" w:hAnsi="Arial" w:cs="Arial"/>
          <w:kern w:val="0"/>
          <w:sz w:val="22"/>
          <w:szCs w:val="22"/>
          <w:lang w:eastAsia="en-GB"/>
          <w14:ligatures w14:val="none"/>
        </w:rPr>
        <w:t>Waterschoot</w:t>
      </w:r>
      <w:proofErr w:type="spellEnd"/>
      <w:r w:rsidRPr="004E1D4C">
        <w:rPr>
          <w:rFonts w:ascii="Arial" w:eastAsia="Times New Roman" w:hAnsi="Arial" w:cs="Arial"/>
          <w:kern w:val="0"/>
          <w:sz w:val="22"/>
          <w:szCs w:val="22"/>
          <w:lang w:eastAsia="en-GB"/>
          <w14:ligatures w14:val="none"/>
        </w:rPr>
        <w:t xml:space="preserve">, J., Soenens, B., </w:t>
      </w:r>
      <w:proofErr w:type="spellStart"/>
      <w:r w:rsidRPr="004E1D4C">
        <w:rPr>
          <w:rFonts w:ascii="Arial" w:eastAsia="Times New Roman" w:hAnsi="Arial" w:cs="Arial"/>
          <w:kern w:val="0"/>
          <w:sz w:val="22"/>
          <w:szCs w:val="22"/>
          <w:lang w:eastAsia="en-GB"/>
          <w14:ligatures w14:val="none"/>
        </w:rPr>
        <w:t>Morbée</w:t>
      </w:r>
      <w:proofErr w:type="spellEnd"/>
      <w:r w:rsidRPr="004E1D4C">
        <w:rPr>
          <w:rFonts w:ascii="Arial" w:eastAsia="Times New Roman" w:hAnsi="Arial" w:cs="Arial"/>
          <w:kern w:val="0"/>
          <w:sz w:val="22"/>
          <w:szCs w:val="22"/>
          <w:lang w:eastAsia="en-GB"/>
          <w14:ligatures w14:val="none"/>
        </w:rPr>
        <w:t xml:space="preserve">, S. and Vansteenkiste, M. (2022) ‘The role of ego integrity and despair in older adults’ well-being during the COVID-19 crisis: the mediating role of need-based experiences’, </w:t>
      </w:r>
      <w:r w:rsidRPr="004E1D4C">
        <w:rPr>
          <w:rFonts w:ascii="Arial" w:eastAsia="Times New Roman" w:hAnsi="Arial" w:cs="Arial"/>
          <w:i/>
          <w:iCs/>
          <w:kern w:val="0"/>
          <w:sz w:val="22"/>
          <w:szCs w:val="22"/>
          <w:lang w:eastAsia="en-GB"/>
          <w14:ligatures w14:val="none"/>
        </w:rPr>
        <w:t>European Journal of Ageing</w:t>
      </w:r>
      <w:r w:rsidRPr="004E1D4C">
        <w:rPr>
          <w:rFonts w:ascii="Arial" w:eastAsia="Times New Roman" w:hAnsi="Arial" w:cs="Arial"/>
          <w:kern w:val="0"/>
          <w:sz w:val="22"/>
          <w:szCs w:val="22"/>
          <w:lang w:eastAsia="en-GB"/>
          <w14:ligatures w14:val="none"/>
        </w:rPr>
        <w:t xml:space="preserve">, 19(1), pp. 117–129. Available at: </w:t>
      </w:r>
      <w:hyperlink r:id="rId9" w:tgtFrame="_new" w:history="1">
        <w:r w:rsidRPr="004E1D4C">
          <w:rPr>
            <w:rFonts w:ascii="Arial" w:eastAsia="Times New Roman" w:hAnsi="Arial" w:cs="Arial"/>
            <w:color w:val="0000FF"/>
            <w:kern w:val="0"/>
            <w:sz w:val="22"/>
            <w:szCs w:val="22"/>
            <w:u w:val="single"/>
            <w:lang w:eastAsia="en-GB"/>
            <w14:ligatures w14:val="none"/>
          </w:rPr>
          <w:t>https://doi.org/10.1007/s10433-021-00610-0</w:t>
        </w:r>
      </w:hyperlink>
    </w:p>
    <w:p w14:paraId="4163E8C2" w14:textId="77777777" w:rsidR="004E1D4C" w:rsidRPr="004E1D4C" w:rsidRDefault="004E1D4C" w:rsidP="00505E5E">
      <w:pPr>
        <w:spacing w:before="100" w:beforeAutospacing="1" w:after="120" w:line="360" w:lineRule="auto"/>
        <w:rPr>
          <w:rFonts w:ascii="Arial" w:eastAsia="Times New Roman" w:hAnsi="Arial" w:cs="Arial"/>
          <w:kern w:val="0"/>
          <w:sz w:val="22"/>
          <w:szCs w:val="22"/>
          <w:lang w:eastAsia="en-GB"/>
          <w14:ligatures w14:val="none"/>
        </w:rPr>
      </w:pPr>
      <w:r w:rsidRPr="004E1D4C">
        <w:rPr>
          <w:rFonts w:ascii="Arial" w:eastAsia="Times New Roman" w:hAnsi="Arial" w:cs="Arial"/>
          <w:kern w:val="0"/>
          <w:sz w:val="22"/>
          <w:szCs w:val="22"/>
          <w:lang w:eastAsia="en-GB"/>
          <w14:ligatures w14:val="none"/>
        </w:rPr>
        <w:t xml:space="preserve">Westerhof, G.J. and </w:t>
      </w:r>
      <w:proofErr w:type="spellStart"/>
      <w:r w:rsidRPr="004E1D4C">
        <w:rPr>
          <w:rFonts w:ascii="Arial" w:eastAsia="Times New Roman" w:hAnsi="Arial" w:cs="Arial"/>
          <w:kern w:val="0"/>
          <w:sz w:val="22"/>
          <w:szCs w:val="22"/>
          <w:lang w:eastAsia="en-GB"/>
          <w14:ligatures w14:val="none"/>
        </w:rPr>
        <w:t>Bohlmeijer</w:t>
      </w:r>
      <w:proofErr w:type="spellEnd"/>
      <w:r w:rsidRPr="004E1D4C">
        <w:rPr>
          <w:rFonts w:ascii="Arial" w:eastAsia="Times New Roman" w:hAnsi="Arial" w:cs="Arial"/>
          <w:kern w:val="0"/>
          <w:sz w:val="22"/>
          <w:szCs w:val="22"/>
          <w:lang w:eastAsia="en-GB"/>
          <w14:ligatures w14:val="none"/>
        </w:rPr>
        <w:t xml:space="preserve">, E.T. (2017) ‘The relation of ego integrity and despair to personality traits and mental health’, </w:t>
      </w:r>
      <w:r w:rsidRPr="004E1D4C">
        <w:rPr>
          <w:rFonts w:ascii="Arial" w:eastAsia="Times New Roman" w:hAnsi="Arial" w:cs="Arial"/>
          <w:i/>
          <w:iCs/>
          <w:kern w:val="0"/>
          <w:sz w:val="22"/>
          <w:szCs w:val="22"/>
          <w:lang w:eastAsia="en-GB"/>
          <w14:ligatures w14:val="none"/>
        </w:rPr>
        <w:t>The Journals of Gerontology: Series B</w:t>
      </w:r>
      <w:r w:rsidRPr="004E1D4C">
        <w:rPr>
          <w:rFonts w:ascii="Arial" w:eastAsia="Times New Roman" w:hAnsi="Arial" w:cs="Arial"/>
          <w:kern w:val="0"/>
          <w:sz w:val="22"/>
          <w:szCs w:val="22"/>
          <w:lang w:eastAsia="en-GB"/>
          <w14:ligatures w14:val="none"/>
        </w:rPr>
        <w:t xml:space="preserve">, 72(3), pp. 400–407. Available at: </w:t>
      </w:r>
      <w:hyperlink r:id="rId10" w:tgtFrame="_new" w:history="1">
        <w:r w:rsidRPr="004E1D4C">
          <w:rPr>
            <w:rFonts w:ascii="Arial" w:eastAsia="Times New Roman" w:hAnsi="Arial" w:cs="Arial"/>
            <w:color w:val="0000FF"/>
            <w:kern w:val="0"/>
            <w:sz w:val="22"/>
            <w:szCs w:val="22"/>
            <w:u w:val="single"/>
            <w:lang w:eastAsia="en-GB"/>
            <w14:ligatures w14:val="none"/>
          </w:rPr>
          <w:t>https://doi.org/10.1093/geronb/gbv062</w:t>
        </w:r>
      </w:hyperlink>
    </w:p>
    <w:p w14:paraId="3F670B07" w14:textId="77777777" w:rsidR="00D82E0D" w:rsidRDefault="00D82E0D" w:rsidP="004E1D4C">
      <w:pPr>
        <w:spacing w:before="100" w:beforeAutospacing="1" w:after="100" w:afterAutospacing="1" w:line="240" w:lineRule="auto"/>
        <w:outlineLvl w:val="1"/>
      </w:pPr>
    </w:p>
    <w:p w14:paraId="2B0C9A7C" w14:textId="77777777" w:rsidR="00AD0608" w:rsidRPr="00AD0608" w:rsidRDefault="00AD0608" w:rsidP="00AD0608">
      <w:pPr>
        <w:spacing w:after="120" w:line="360" w:lineRule="auto"/>
        <w:outlineLvl w:val="1"/>
        <w:rPr>
          <w:rFonts w:ascii="Arial" w:hAnsi="Arial" w:cs="Arial"/>
          <w:b/>
          <w:bCs/>
          <w:sz w:val="32"/>
          <w:szCs w:val="32"/>
        </w:rPr>
      </w:pPr>
      <w:r w:rsidRPr="00AD0608">
        <w:rPr>
          <w:rFonts w:ascii="Arial" w:hAnsi="Arial" w:cs="Arial"/>
          <w:b/>
          <w:bCs/>
          <w:sz w:val="32"/>
          <w:szCs w:val="32"/>
        </w:rPr>
        <w:lastRenderedPageBreak/>
        <w:t>Part B: Short Report</w:t>
      </w:r>
    </w:p>
    <w:p w14:paraId="1D8F6409" w14:textId="77777777" w:rsidR="00AD0608" w:rsidRPr="00AD0608" w:rsidRDefault="00AD0608" w:rsidP="00AD0608">
      <w:pPr>
        <w:spacing w:after="120" w:line="360" w:lineRule="auto"/>
        <w:jc w:val="center"/>
        <w:outlineLvl w:val="1"/>
        <w:rPr>
          <w:rFonts w:ascii="Arial" w:hAnsi="Arial" w:cs="Arial"/>
          <w:b/>
          <w:bCs/>
          <w:sz w:val="28"/>
          <w:szCs w:val="28"/>
          <w:u w:val="single"/>
        </w:rPr>
      </w:pPr>
      <w:r w:rsidRPr="00AD0608">
        <w:rPr>
          <w:rFonts w:ascii="Arial" w:hAnsi="Arial" w:cs="Arial"/>
          <w:b/>
          <w:bCs/>
          <w:sz w:val="28"/>
          <w:szCs w:val="28"/>
          <w:u w:val="single"/>
        </w:rPr>
        <w:t>Applying Activity Theory to Improve Psychological Wellbeing in Residential Care</w:t>
      </w:r>
    </w:p>
    <w:p w14:paraId="2D62AF16" w14:textId="77777777" w:rsidR="00AD0608" w:rsidRDefault="00AD0608" w:rsidP="00AD0608">
      <w:pPr>
        <w:spacing w:after="120" w:line="360" w:lineRule="auto"/>
        <w:outlineLvl w:val="1"/>
        <w:rPr>
          <w:rFonts w:ascii="Arial" w:hAnsi="Arial" w:cs="Arial"/>
          <w:sz w:val="22"/>
          <w:szCs w:val="22"/>
        </w:rPr>
      </w:pPr>
    </w:p>
    <w:p w14:paraId="35D99583" w14:textId="26FA052C" w:rsidR="00AD0608" w:rsidRPr="00AD0608" w:rsidRDefault="00AD0608" w:rsidP="00AD0608">
      <w:pPr>
        <w:spacing w:after="120" w:line="360" w:lineRule="auto"/>
        <w:outlineLvl w:val="1"/>
        <w:rPr>
          <w:rFonts w:ascii="Arial" w:hAnsi="Arial" w:cs="Arial"/>
          <w:sz w:val="22"/>
          <w:szCs w:val="22"/>
        </w:rPr>
      </w:pPr>
      <w:r w:rsidRPr="00AD0608">
        <w:rPr>
          <w:rFonts w:ascii="Arial" w:hAnsi="Arial" w:cs="Arial"/>
          <w:b/>
          <w:bCs/>
        </w:rPr>
        <w:t>Introduction</w:t>
      </w:r>
    </w:p>
    <w:p w14:paraId="7749A08C" w14:textId="77777777" w:rsidR="00AD0608" w:rsidRPr="00AD0608" w:rsidRDefault="00AD0608" w:rsidP="00AD0608">
      <w:pPr>
        <w:spacing w:after="120" w:line="360" w:lineRule="auto"/>
        <w:outlineLvl w:val="1"/>
        <w:rPr>
          <w:rFonts w:ascii="Arial" w:hAnsi="Arial" w:cs="Arial"/>
          <w:sz w:val="22"/>
          <w:szCs w:val="22"/>
        </w:rPr>
      </w:pPr>
      <w:r w:rsidRPr="00AD0608">
        <w:rPr>
          <w:rFonts w:ascii="Arial" w:hAnsi="Arial" w:cs="Arial"/>
          <w:sz w:val="22"/>
          <w:szCs w:val="22"/>
        </w:rPr>
        <w:t>Supporting psychological wellbeing in older adults living in residential care is a key responsibility for health and social care professionals. Many residents experience loss of independence, reduced social roles and limited opportunities for meaningful engagement, which can negatively affect their mental health. Activity Theory provides a useful framework for addressing these challenges. The theory suggests that older adults maintain better wellbeing when they remain socially engaged and involved in meaningful activities (</w:t>
      </w:r>
      <w:proofErr w:type="spellStart"/>
      <w:r w:rsidRPr="00AD0608">
        <w:rPr>
          <w:rFonts w:ascii="Arial" w:hAnsi="Arial" w:cs="Arial"/>
          <w:sz w:val="22"/>
          <w:szCs w:val="22"/>
        </w:rPr>
        <w:t>DeLiema</w:t>
      </w:r>
      <w:proofErr w:type="spellEnd"/>
      <w:r w:rsidRPr="00AD0608">
        <w:rPr>
          <w:rFonts w:ascii="Arial" w:hAnsi="Arial" w:cs="Arial"/>
          <w:sz w:val="22"/>
          <w:szCs w:val="22"/>
        </w:rPr>
        <w:t xml:space="preserve"> and Bengtson, 2017). This report explains how Activity Theory can be applied in residential care, illustrates its use through a case scenario, and discusses a key challenge in its implementation.</w:t>
      </w:r>
    </w:p>
    <w:p w14:paraId="5EA11285" w14:textId="77777777" w:rsidR="00AD0608" w:rsidRPr="00AD0608" w:rsidRDefault="00AD0608" w:rsidP="00AD0608">
      <w:pPr>
        <w:spacing w:after="120" w:line="360" w:lineRule="auto"/>
        <w:outlineLvl w:val="1"/>
        <w:rPr>
          <w:rFonts w:ascii="Arial" w:hAnsi="Arial" w:cs="Arial"/>
          <w:sz w:val="22"/>
          <w:szCs w:val="22"/>
        </w:rPr>
      </w:pPr>
    </w:p>
    <w:p w14:paraId="78E554C5" w14:textId="60A526E0" w:rsidR="00AD0608" w:rsidRPr="00AD0608" w:rsidRDefault="00AD0608" w:rsidP="00AD0608">
      <w:pPr>
        <w:spacing w:after="120" w:line="360" w:lineRule="auto"/>
        <w:outlineLvl w:val="1"/>
        <w:rPr>
          <w:rFonts w:ascii="Arial" w:hAnsi="Arial" w:cs="Arial"/>
          <w:b/>
          <w:bCs/>
        </w:rPr>
      </w:pPr>
      <w:r w:rsidRPr="00AD0608">
        <w:rPr>
          <w:rFonts w:ascii="Arial" w:hAnsi="Arial" w:cs="Arial"/>
          <w:b/>
          <w:bCs/>
        </w:rPr>
        <w:t>Application of Activity Theory in Residential Care</w:t>
      </w:r>
    </w:p>
    <w:p w14:paraId="2D6B3EF9" w14:textId="7E1C4136" w:rsidR="00AD0608" w:rsidRPr="00AD0608" w:rsidRDefault="00AD0608" w:rsidP="00AD0608">
      <w:pPr>
        <w:spacing w:after="120" w:line="360" w:lineRule="auto"/>
        <w:outlineLvl w:val="1"/>
        <w:rPr>
          <w:rFonts w:ascii="Arial" w:hAnsi="Arial" w:cs="Arial"/>
          <w:sz w:val="22"/>
          <w:szCs w:val="22"/>
        </w:rPr>
      </w:pPr>
      <w:r w:rsidRPr="00AD0608">
        <w:rPr>
          <w:rFonts w:ascii="Arial" w:hAnsi="Arial" w:cs="Arial"/>
          <w:sz w:val="22"/>
          <w:szCs w:val="22"/>
        </w:rPr>
        <w:t>Activity Theory proposes that successful ageing is linked to maintaining roles, social connections and participation in meaningful activities (</w:t>
      </w:r>
      <w:proofErr w:type="spellStart"/>
      <w:r w:rsidRPr="00AD0608">
        <w:rPr>
          <w:rFonts w:ascii="Arial" w:hAnsi="Arial" w:cs="Arial"/>
          <w:sz w:val="22"/>
          <w:szCs w:val="22"/>
        </w:rPr>
        <w:t>DeLiema</w:t>
      </w:r>
      <w:proofErr w:type="spellEnd"/>
      <w:r w:rsidRPr="00AD0608">
        <w:rPr>
          <w:rFonts w:ascii="Arial" w:hAnsi="Arial" w:cs="Arial"/>
          <w:sz w:val="22"/>
          <w:szCs w:val="22"/>
        </w:rPr>
        <w:t xml:space="preserve"> and Bengtson, 2017). In residential care settings, this means moving beyond basic physical care and actively supporting residents’ psychological and social needs.</w:t>
      </w:r>
    </w:p>
    <w:p w14:paraId="064AC800" w14:textId="1CFEC010" w:rsidR="00AD0608" w:rsidRPr="00AD0608" w:rsidRDefault="00AD0608" w:rsidP="00AD0608">
      <w:pPr>
        <w:spacing w:after="120" w:line="360" w:lineRule="auto"/>
        <w:outlineLvl w:val="1"/>
        <w:rPr>
          <w:rFonts w:ascii="Arial" w:hAnsi="Arial" w:cs="Arial"/>
          <w:sz w:val="22"/>
          <w:szCs w:val="22"/>
        </w:rPr>
      </w:pPr>
      <w:r w:rsidRPr="00AD0608">
        <w:rPr>
          <w:rFonts w:ascii="Arial" w:hAnsi="Arial" w:cs="Arial"/>
          <w:sz w:val="22"/>
          <w:szCs w:val="22"/>
        </w:rPr>
        <w:t>In practice, this can involve creating structured opportunities for residents to engage in activities that reflect their interests, identities and previous roles. For example, residents who previously enjoyed social interaction may benefit from group-based activities such as discussion groups, games or shared meals. Others may prefer quieter, individual activities such as reading, gardening or creative hobbies. The key principle is that activities should be meaningful rather than simply time-filling.</w:t>
      </w:r>
    </w:p>
    <w:p w14:paraId="311478D4" w14:textId="741ADAA2" w:rsidR="00AD0608" w:rsidRPr="00AD0608" w:rsidRDefault="00AD0608" w:rsidP="00AD0608">
      <w:pPr>
        <w:spacing w:after="120" w:line="360" w:lineRule="auto"/>
        <w:outlineLvl w:val="1"/>
        <w:rPr>
          <w:rFonts w:ascii="Arial" w:hAnsi="Arial" w:cs="Arial"/>
          <w:sz w:val="22"/>
          <w:szCs w:val="22"/>
        </w:rPr>
      </w:pPr>
      <w:r w:rsidRPr="00AD0608">
        <w:rPr>
          <w:rFonts w:ascii="Arial" w:hAnsi="Arial" w:cs="Arial"/>
          <w:sz w:val="22"/>
          <w:szCs w:val="22"/>
        </w:rPr>
        <w:t>Maintaining a sense of identity is particularly important. Older adults may experience a loss of role after retirement or relocation into a care home. Activity Theory suggests that replacing lost roles with new ones can support continuity of self (</w:t>
      </w:r>
      <w:proofErr w:type="spellStart"/>
      <w:r w:rsidRPr="00AD0608">
        <w:rPr>
          <w:rFonts w:ascii="Arial" w:hAnsi="Arial" w:cs="Arial"/>
          <w:sz w:val="22"/>
          <w:szCs w:val="22"/>
        </w:rPr>
        <w:t>DeLiema</w:t>
      </w:r>
      <w:proofErr w:type="spellEnd"/>
      <w:r w:rsidRPr="00AD0608">
        <w:rPr>
          <w:rFonts w:ascii="Arial" w:hAnsi="Arial" w:cs="Arial"/>
          <w:sz w:val="22"/>
          <w:szCs w:val="22"/>
        </w:rPr>
        <w:t xml:space="preserve"> and Bengtson, 2017). For example, a resident who was previously a teacher could be encouraged to help organise group discussions or share knowledge with others. This helps reinforce a sense of purpose and value.</w:t>
      </w:r>
    </w:p>
    <w:p w14:paraId="796C2611" w14:textId="77777777" w:rsidR="00AD0608" w:rsidRPr="00AD0608" w:rsidRDefault="00AD0608" w:rsidP="00AD0608">
      <w:pPr>
        <w:spacing w:after="120" w:line="360" w:lineRule="auto"/>
        <w:outlineLvl w:val="1"/>
        <w:rPr>
          <w:rFonts w:ascii="Arial" w:hAnsi="Arial" w:cs="Arial"/>
          <w:sz w:val="22"/>
          <w:szCs w:val="22"/>
        </w:rPr>
      </w:pPr>
      <w:r w:rsidRPr="00AD0608">
        <w:rPr>
          <w:rFonts w:ascii="Arial" w:hAnsi="Arial" w:cs="Arial"/>
          <w:sz w:val="22"/>
          <w:szCs w:val="22"/>
        </w:rPr>
        <w:t xml:space="preserve">In addition, social participation plays a crucial role in reducing loneliness and promoting emotional wellbeing. Regular interaction with others, whether through structured activities or informal conversations, can support feelings of belonging and connection. Research suggests that engagement in meaningful roles and activities is </w:t>
      </w:r>
      <w:r w:rsidRPr="00AD0608">
        <w:rPr>
          <w:rFonts w:ascii="Arial" w:hAnsi="Arial" w:cs="Arial"/>
          <w:sz w:val="22"/>
          <w:szCs w:val="22"/>
        </w:rPr>
        <w:lastRenderedPageBreak/>
        <w:t>associated with improved quality of life in older adults (</w:t>
      </w:r>
      <w:proofErr w:type="spellStart"/>
      <w:r w:rsidRPr="00AD0608">
        <w:rPr>
          <w:rFonts w:ascii="Arial" w:hAnsi="Arial" w:cs="Arial"/>
          <w:sz w:val="22"/>
          <w:szCs w:val="22"/>
        </w:rPr>
        <w:t>Lakomý</w:t>
      </w:r>
      <w:proofErr w:type="spellEnd"/>
      <w:r w:rsidRPr="00AD0608">
        <w:rPr>
          <w:rFonts w:ascii="Arial" w:hAnsi="Arial" w:cs="Arial"/>
          <w:sz w:val="22"/>
          <w:szCs w:val="22"/>
        </w:rPr>
        <w:t>, 2023). From a care perspective, this aligns with person-centred care, where interventions are tailored to individual preferences, abilities and life history.</w:t>
      </w:r>
    </w:p>
    <w:p w14:paraId="44FD5E33" w14:textId="77777777" w:rsidR="00AD0608" w:rsidRPr="00AD0608" w:rsidRDefault="00AD0608" w:rsidP="00AD0608">
      <w:pPr>
        <w:spacing w:after="120" w:line="360" w:lineRule="auto"/>
        <w:outlineLvl w:val="1"/>
        <w:rPr>
          <w:rFonts w:ascii="Arial" w:hAnsi="Arial" w:cs="Arial"/>
          <w:sz w:val="22"/>
          <w:szCs w:val="22"/>
        </w:rPr>
      </w:pPr>
    </w:p>
    <w:p w14:paraId="57E5F833" w14:textId="73E42FD1" w:rsidR="00AD0608" w:rsidRPr="00AD0608" w:rsidRDefault="00AD0608" w:rsidP="00AD0608">
      <w:pPr>
        <w:spacing w:after="120" w:line="360" w:lineRule="auto"/>
        <w:outlineLvl w:val="1"/>
        <w:rPr>
          <w:rFonts w:ascii="Arial" w:hAnsi="Arial" w:cs="Arial"/>
          <w:sz w:val="22"/>
          <w:szCs w:val="22"/>
        </w:rPr>
      </w:pPr>
      <w:r w:rsidRPr="00AD0608">
        <w:rPr>
          <w:rFonts w:ascii="Arial" w:hAnsi="Arial" w:cs="Arial"/>
          <w:b/>
          <w:bCs/>
        </w:rPr>
        <w:t>Case Scenario</w:t>
      </w:r>
    </w:p>
    <w:p w14:paraId="4FCBA71D" w14:textId="140B5180" w:rsidR="00AD0608" w:rsidRPr="00AD0608" w:rsidRDefault="00AD0608" w:rsidP="00AD0608">
      <w:pPr>
        <w:spacing w:after="120" w:line="360" w:lineRule="auto"/>
        <w:outlineLvl w:val="1"/>
        <w:rPr>
          <w:rFonts w:ascii="Arial" w:hAnsi="Arial" w:cs="Arial"/>
          <w:sz w:val="22"/>
          <w:szCs w:val="22"/>
        </w:rPr>
      </w:pPr>
      <w:r w:rsidRPr="00AD0608">
        <w:rPr>
          <w:rFonts w:ascii="Arial" w:hAnsi="Arial" w:cs="Arial"/>
          <w:sz w:val="22"/>
          <w:szCs w:val="22"/>
        </w:rPr>
        <w:t>Mrs Smith is an 82-year-old resident who recently moved into a care home following the loss of her spouse. Since admission, she has become withdrawn, spends most of her time alone in her room and shows signs of low mood. Staff have noted that she previously enjoyed gardening and was actively involved in her local community.</w:t>
      </w:r>
    </w:p>
    <w:p w14:paraId="18537969" w14:textId="1142569F" w:rsidR="00AD0608" w:rsidRPr="00AD0608" w:rsidRDefault="00AD0608" w:rsidP="00AD0608">
      <w:pPr>
        <w:spacing w:after="120" w:line="360" w:lineRule="auto"/>
        <w:outlineLvl w:val="1"/>
        <w:rPr>
          <w:rFonts w:ascii="Arial" w:hAnsi="Arial" w:cs="Arial"/>
          <w:sz w:val="22"/>
          <w:szCs w:val="22"/>
        </w:rPr>
      </w:pPr>
      <w:r w:rsidRPr="00AD0608">
        <w:rPr>
          <w:rFonts w:ascii="Arial" w:hAnsi="Arial" w:cs="Arial"/>
          <w:sz w:val="22"/>
          <w:szCs w:val="22"/>
        </w:rPr>
        <w:t>Using Activity Theory, staff identify that Mrs Smith’s wellbeing may be affected by a loss of meaningful roles and reduced social engagement. This reflects broader evidence that reduced engagement may negatively affect wellbeing in later life (</w:t>
      </w:r>
      <w:proofErr w:type="spellStart"/>
      <w:r w:rsidRPr="00AD0608">
        <w:rPr>
          <w:rFonts w:ascii="Arial" w:hAnsi="Arial" w:cs="Arial"/>
          <w:sz w:val="22"/>
          <w:szCs w:val="22"/>
        </w:rPr>
        <w:t>Lakomý</w:t>
      </w:r>
      <w:proofErr w:type="spellEnd"/>
      <w:r w:rsidRPr="00AD0608">
        <w:rPr>
          <w:rFonts w:ascii="Arial" w:hAnsi="Arial" w:cs="Arial"/>
          <w:sz w:val="22"/>
          <w:szCs w:val="22"/>
        </w:rPr>
        <w:t>, 2023). To address this, they introduce small, manageable activities based on her interests. She is invited to participate in a gardening group and is given responsibility for helping to care for indoor plants within the care home. In addition, she is gently encouraged to attend a weekly social group where residents share stories and experiences.</w:t>
      </w:r>
    </w:p>
    <w:p w14:paraId="556579C0" w14:textId="77777777" w:rsidR="00AD0608" w:rsidRPr="00AD0608" w:rsidRDefault="00AD0608" w:rsidP="00AD0608">
      <w:pPr>
        <w:spacing w:after="120" w:line="360" w:lineRule="auto"/>
        <w:outlineLvl w:val="1"/>
        <w:rPr>
          <w:rFonts w:ascii="Arial" w:hAnsi="Arial" w:cs="Arial"/>
          <w:sz w:val="22"/>
          <w:szCs w:val="22"/>
        </w:rPr>
      </w:pPr>
      <w:r w:rsidRPr="00AD0608">
        <w:rPr>
          <w:rFonts w:ascii="Arial" w:hAnsi="Arial" w:cs="Arial"/>
          <w:sz w:val="22"/>
          <w:szCs w:val="22"/>
        </w:rPr>
        <w:t>Over time, Mrs Smith begins to engage more with others and shows improvements in mood and participation. The use of familiar and meaningful activities helps restore a sense of identity and purpose, while social interaction reduces feelings of isolation. This example demonstrates how Activity Theory can be applied in a practical and person-centred way to improve psychological wellbeing.</w:t>
      </w:r>
    </w:p>
    <w:p w14:paraId="30FC94F7" w14:textId="77777777" w:rsidR="00AD0608" w:rsidRPr="00AD0608" w:rsidRDefault="00AD0608" w:rsidP="00AD0608">
      <w:pPr>
        <w:spacing w:after="120" w:line="360" w:lineRule="auto"/>
        <w:outlineLvl w:val="1"/>
        <w:rPr>
          <w:rFonts w:ascii="Arial" w:hAnsi="Arial" w:cs="Arial"/>
          <w:sz w:val="22"/>
          <w:szCs w:val="22"/>
        </w:rPr>
      </w:pPr>
    </w:p>
    <w:p w14:paraId="3CE1C3E3" w14:textId="20A43077" w:rsidR="00AD0608" w:rsidRPr="00AD0608" w:rsidRDefault="00AD0608" w:rsidP="00AD0608">
      <w:pPr>
        <w:spacing w:after="120" w:line="360" w:lineRule="auto"/>
        <w:outlineLvl w:val="1"/>
        <w:rPr>
          <w:rFonts w:ascii="Arial" w:hAnsi="Arial" w:cs="Arial"/>
          <w:sz w:val="22"/>
          <w:szCs w:val="22"/>
        </w:rPr>
      </w:pPr>
      <w:r w:rsidRPr="00AD0608">
        <w:rPr>
          <w:rFonts w:ascii="Arial" w:hAnsi="Arial" w:cs="Arial"/>
          <w:b/>
          <w:bCs/>
        </w:rPr>
        <w:t>Challenges and Strategies for Implementation</w:t>
      </w:r>
    </w:p>
    <w:p w14:paraId="65D693D1" w14:textId="55E41255" w:rsidR="00AD0608" w:rsidRPr="00AD0608" w:rsidRDefault="00AD0608" w:rsidP="00AD0608">
      <w:pPr>
        <w:spacing w:after="120" w:line="360" w:lineRule="auto"/>
        <w:outlineLvl w:val="1"/>
        <w:rPr>
          <w:rFonts w:ascii="Arial" w:hAnsi="Arial" w:cs="Arial"/>
          <w:sz w:val="22"/>
          <w:szCs w:val="22"/>
        </w:rPr>
      </w:pPr>
      <w:r w:rsidRPr="00AD0608">
        <w:rPr>
          <w:rFonts w:ascii="Arial" w:hAnsi="Arial" w:cs="Arial"/>
          <w:sz w:val="22"/>
          <w:szCs w:val="22"/>
        </w:rPr>
        <w:t>Although Activity Theory is highly relevant in residential care, its application can present challenges. One key challenge is that not all residents are able or willing to participate in activities. Factors such as physical frailty, cognitive impairment, sensory loss or low motivation may limit engagement. In addition, care homes often face staffing pressures and limited resources, which can reduce opportunities for personalised activity planning.</w:t>
      </w:r>
    </w:p>
    <w:p w14:paraId="1B12FBC4" w14:textId="29A01D33" w:rsidR="00AD0608" w:rsidRPr="00AD0608" w:rsidRDefault="00AD0608" w:rsidP="00AD0608">
      <w:pPr>
        <w:spacing w:after="120" w:line="360" w:lineRule="auto"/>
        <w:outlineLvl w:val="1"/>
        <w:rPr>
          <w:rFonts w:ascii="Arial" w:hAnsi="Arial" w:cs="Arial"/>
          <w:sz w:val="22"/>
          <w:szCs w:val="22"/>
        </w:rPr>
      </w:pPr>
      <w:r w:rsidRPr="00AD0608">
        <w:rPr>
          <w:rFonts w:ascii="Arial" w:hAnsi="Arial" w:cs="Arial"/>
          <w:sz w:val="22"/>
          <w:szCs w:val="22"/>
        </w:rPr>
        <w:t xml:space="preserve">A further limitation is that Activity Theory may assume that increased activity always leads to improved wellbeing. </w:t>
      </w:r>
      <w:proofErr w:type="gramStart"/>
      <w:r w:rsidRPr="00AD0608">
        <w:rPr>
          <w:rFonts w:ascii="Arial" w:hAnsi="Arial" w:cs="Arial"/>
          <w:sz w:val="22"/>
          <w:szCs w:val="22"/>
        </w:rPr>
        <w:t>In reality, some</w:t>
      </w:r>
      <w:proofErr w:type="gramEnd"/>
      <w:r w:rsidRPr="00AD0608">
        <w:rPr>
          <w:rFonts w:ascii="Arial" w:hAnsi="Arial" w:cs="Arial"/>
          <w:sz w:val="22"/>
          <w:szCs w:val="22"/>
        </w:rPr>
        <w:t xml:space="preserve"> older adults may prefer quieter lifestyles or may feel overwhelmed by group-based activities. Evidence also suggests that the benefits of activity may vary depending on individual and contextual factors (</w:t>
      </w:r>
      <w:proofErr w:type="spellStart"/>
      <w:r w:rsidRPr="00AD0608">
        <w:rPr>
          <w:rFonts w:ascii="Arial" w:hAnsi="Arial" w:cs="Arial"/>
          <w:sz w:val="22"/>
          <w:szCs w:val="22"/>
        </w:rPr>
        <w:t>Lakomý</w:t>
      </w:r>
      <w:proofErr w:type="spellEnd"/>
      <w:r w:rsidRPr="00AD0608">
        <w:rPr>
          <w:rFonts w:ascii="Arial" w:hAnsi="Arial" w:cs="Arial"/>
          <w:sz w:val="22"/>
          <w:szCs w:val="22"/>
        </w:rPr>
        <w:t>, 2023). Therefore, applying the theory without flexibility may lead to inappropriate or ineffective interventions.</w:t>
      </w:r>
    </w:p>
    <w:p w14:paraId="4598DC1F" w14:textId="7675BC85" w:rsidR="00AD0608" w:rsidRPr="00AD0608" w:rsidRDefault="00AD0608" w:rsidP="00AD0608">
      <w:pPr>
        <w:spacing w:after="120" w:line="360" w:lineRule="auto"/>
        <w:outlineLvl w:val="1"/>
        <w:rPr>
          <w:rFonts w:ascii="Arial" w:hAnsi="Arial" w:cs="Arial"/>
          <w:sz w:val="22"/>
          <w:szCs w:val="22"/>
        </w:rPr>
      </w:pPr>
      <w:r w:rsidRPr="00AD0608">
        <w:rPr>
          <w:rFonts w:ascii="Arial" w:hAnsi="Arial" w:cs="Arial"/>
          <w:sz w:val="22"/>
          <w:szCs w:val="22"/>
        </w:rPr>
        <w:lastRenderedPageBreak/>
        <w:t xml:space="preserve">To address these challenges, a person-centred and flexible approach is essential. Activities should be adapted to match each resident’s physical abilities, cognitive capacity and personal preferences. For example, residents with limited mobility can be supported to engage in seated activities, while those with dementia may benefit from sensory-based or familiar tasks. Staff should also use life-story work to better understand </w:t>
      </w:r>
      <w:r w:rsidRPr="00AD0608">
        <w:rPr>
          <w:rFonts w:ascii="Arial" w:hAnsi="Arial" w:cs="Arial"/>
          <w:sz w:val="22"/>
          <w:szCs w:val="22"/>
        </w:rPr>
        <w:t>residents</w:t>
      </w:r>
      <w:r w:rsidRPr="00AD0608">
        <w:rPr>
          <w:rFonts w:ascii="Arial" w:hAnsi="Arial" w:cs="Arial"/>
          <w:sz w:val="22"/>
          <w:szCs w:val="22"/>
        </w:rPr>
        <w:t xml:space="preserve"> past experiences and interests, ensuring that activities are meaningful rather than generic. This also supports psychological needs such as autonomy and relatedness, which are linked to wellbeing in later life (van der </w:t>
      </w:r>
      <w:proofErr w:type="spellStart"/>
      <w:r w:rsidRPr="00AD0608">
        <w:rPr>
          <w:rFonts w:ascii="Arial" w:hAnsi="Arial" w:cs="Arial"/>
          <w:sz w:val="22"/>
          <w:szCs w:val="22"/>
        </w:rPr>
        <w:t>Kaap-Deeder</w:t>
      </w:r>
      <w:proofErr w:type="spellEnd"/>
      <w:r w:rsidRPr="00AD0608">
        <w:rPr>
          <w:rFonts w:ascii="Arial" w:hAnsi="Arial" w:cs="Arial"/>
          <w:sz w:val="22"/>
          <w:szCs w:val="22"/>
        </w:rPr>
        <w:t xml:space="preserve"> et al., 2022).</w:t>
      </w:r>
    </w:p>
    <w:p w14:paraId="14415C91" w14:textId="77777777" w:rsidR="00AD0608" w:rsidRPr="00AD0608" w:rsidRDefault="00AD0608" w:rsidP="00AD0608">
      <w:pPr>
        <w:spacing w:after="120" w:line="360" w:lineRule="auto"/>
        <w:outlineLvl w:val="1"/>
        <w:rPr>
          <w:rFonts w:ascii="Arial" w:hAnsi="Arial" w:cs="Arial"/>
          <w:sz w:val="22"/>
          <w:szCs w:val="22"/>
        </w:rPr>
      </w:pPr>
      <w:r w:rsidRPr="00AD0608">
        <w:rPr>
          <w:rFonts w:ascii="Arial" w:hAnsi="Arial" w:cs="Arial"/>
          <w:sz w:val="22"/>
          <w:szCs w:val="22"/>
        </w:rPr>
        <w:t>Another effective strategy is the use of social prescribing within care settings, where residents are encouraged to engage in activities that promote connection and wellbeing. Even small interactions, such as one-to-one conversations or short daily routines, can have a positive impact. Importantly, staff training and organisational support are needed to ensure that psychological wellbeing is prioritised alongside physical care.</w:t>
      </w:r>
    </w:p>
    <w:p w14:paraId="2A88EF35" w14:textId="77777777" w:rsidR="00AD0608" w:rsidRPr="00AD0608" w:rsidRDefault="00AD0608" w:rsidP="00AD0608">
      <w:pPr>
        <w:spacing w:after="120" w:line="360" w:lineRule="auto"/>
        <w:outlineLvl w:val="1"/>
        <w:rPr>
          <w:rFonts w:ascii="Arial" w:hAnsi="Arial" w:cs="Arial"/>
          <w:sz w:val="22"/>
          <w:szCs w:val="22"/>
        </w:rPr>
      </w:pPr>
    </w:p>
    <w:p w14:paraId="55B9DBC5" w14:textId="7C1716DC" w:rsidR="00AD0608" w:rsidRPr="00AD0608" w:rsidRDefault="00AD0608" w:rsidP="00AD0608">
      <w:pPr>
        <w:spacing w:after="120" w:line="360" w:lineRule="auto"/>
        <w:outlineLvl w:val="1"/>
        <w:rPr>
          <w:rFonts w:ascii="Arial" w:hAnsi="Arial" w:cs="Arial"/>
          <w:sz w:val="22"/>
          <w:szCs w:val="22"/>
        </w:rPr>
      </w:pPr>
      <w:r w:rsidRPr="00AD0608">
        <w:rPr>
          <w:rFonts w:ascii="Arial" w:hAnsi="Arial" w:cs="Arial"/>
          <w:b/>
          <w:bCs/>
        </w:rPr>
        <w:t>Conclusion</w:t>
      </w:r>
    </w:p>
    <w:p w14:paraId="697D03D5" w14:textId="5630FF57" w:rsidR="00505E5E" w:rsidRDefault="00AD0608" w:rsidP="00AD0608">
      <w:pPr>
        <w:spacing w:after="120" w:line="360" w:lineRule="auto"/>
        <w:outlineLvl w:val="1"/>
        <w:rPr>
          <w:rFonts w:ascii="Arial" w:hAnsi="Arial" w:cs="Arial"/>
          <w:sz w:val="22"/>
          <w:szCs w:val="22"/>
        </w:rPr>
      </w:pPr>
      <w:r w:rsidRPr="00AD0608">
        <w:rPr>
          <w:rFonts w:ascii="Arial" w:hAnsi="Arial" w:cs="Arial"/>
          <w:sz w:val="22"/>
          <w:szCs w:val="22"/>
        </w:rPr>
        <w:t>Activity Theory provides a valuable framework for improving psychological wellbeing in older adults living in residential care. By promoting meaningful activity, social engagement and role continuity, the theory supports a more holistic approach to care (</w:t>
      </w:r>
      <w:proofErr w:type="spellStart"/>
      <w:r w:rsidRPr="00AD0608">
        <w:rPr>
          <w:rFonts w:ascii="Arial" w:hAnsi="Arial" w:cs="Arial"/>
          <w:sz w:val="22"/>
          <w:szCs w:val="22"/>
        </w:rPr>
        <w:t>DeLiema</w:t>
      </w:r>
      <w:proofErr w:type="spellEnd"/>
      <w:r w:rsidRPr="00AD0608">
        <w:rPr>
          <w:rFonts w:ascii="Arial" w:hAnsi="Arial" w:cs="Arial"/>
          <w:sz w:val="22"/>
          <w:szCs w:val="22"/>
        </w:rPr>
        <w:t xml:space="preserve"> and Bengtson, 2017). However, its application requires flexibility and sensitivity to individual needs. When combined with person-centred care and practical strategies, Activity Theory can contribute significantly to enhancing quality of life and emotional wellbeing among older adults.</w:t>
      </w:r>
    </w:p>
    <w:p w14:paraId="30188534" w14:textId="77777777" w:rsidR="00AD0608" w:rsidRPr="00AD0608" w:rsidRDefault="00AD0608" w:rsidP="00AD0608">
      <w:pPr>
        <w:spacing w:after="120" w:line="360" w:lineRule="auto"/>
        <w:outlineLvl w:val="1"/>
        <w:rPr>
          <w:rFonts w:ascii="Arial" w:hAnsi="Arial" w:cs="Arial"/>
          <w:sz w:val="22"/>
          <w:szCs w:val="22"/>
        </w:rPr>
      </w:pPr>
    </w:p>
    <w:p w14:paraId="5CBBEB62" w14:textId="77777777" w:rsidR="00AD0608" w:rsidRPr="00AD0608" w:rsidRDefault="00AD0608" w:rsidP="00AD0608">
      <w:pPr>
        <w:spacing w:after="120" w:line="360" w:lineRule="auto"/>
        <w:outlineLvl w:val="1"/>
        <w:rPr>
          <w:rFonts w:ascii="Arial" w:eastAsia="Times New Roman" w:hAnsi="Arial" w:cs="Arial"/>
          <w:b/>
          <w:bCs/>
          <w:kern w:val="0"/>
          <w:lang w:eastAsia="en-GB"/>
          <w14:ligatures w14:val="none"/>
        </w:rPr>
      </w:pPr>
      <w:r w:rsidRPr="00AD0608">
        <w:rPr>
          <w:rFonts w:ascii="Arial" w:eastAsia="Times New Roman" w:hAnsi="Arial" w:cs="Arial"/>
          <w:b/>
          <w:bCs/>
          <w:kern w:val="0"/>
          <w:lang w:eastAsia="en-GB"/>
          <w14:ligatures w14:val="none"/>
        </w:rPr>
        <w:t>Reference List</w:t>
      </w:r>
    </w:p>
    <w:p w14:paraId="3041E585" w14:textId="77777777" w:rsidR="00AD0608" w:rsidRPr="00AD0608" w:rsidRDefault="00AD0608" w:rsidP="00AD0608">
      <w:pPr>
        <w:spacing w:after="120" w:line="360" w:lineRule="auto"/>
        <w:rPr>
          <w:rFonts w:ascii="Arial" w:eastAsia="Times New Roman" w:hAnsi="Arial" w:cs="Arial"/>
          <w:kern w:val="0"/>
          <w:sz w:val="22"/>
          <w:szCs w:val="22"/>
          <w:lang w:eastAsia="en-GB"/>
          <w14:ligatures w14:val="none"/>
        </w:rPr>
      </w:pPr>
      <w:proofErr w:type="spellStart"/>
      <w:r w:rsidRPr="00AD0608">
        <w:rPr>
          <w:rFonts w:ascii="Arial" w:eastAsia="Times New Roman" w:hAnsi="Arial" w:cs="Arial"/>
          <w:kern w:val="0"/>
          <w:sz w:val="22"/>
          <w:szCs w:val="22"/>
          <w:lang w:eastAsia="en-GB"/>
          <w14:ligatures w14:val="none"/>
        </w:rPr>
        <w:t>DeLiema</w:t>
      </w:r>
      <w:proofErr w:type="spellEnd"/>
      <w:r w:rsidRPr="00AD0608">
        <w:rPr>
          <w:rFonts w:ascii="Arial" w:eastAsia="Times New Roman" w:hAnsi="Arial" w:cs="Arial"/>
          <w:kern w:val="0"/>
          <w:sz w:val="22"/>
          <w:szCs w:val="22"/>
          <w:lang w:eastAsia="en-GB"/>
          <w14:ligatures w14:val="none"/>
        </w:rPr>
        <w:t xml:space="preserve">, M. and Bengtson, V.L. (2017) ‘Activity theory, disengagement theory, and successful aging’, in </w:t>
      </w:r>
      <w:proofErr w:type="spellStart"/>
      <w:r w:rsidRPr="00AD0608">
        <w:rPr>
          <w:rFonts w:ascii="Arial" w:eastAsia="Times New Roman" w:hAnsi="Arial" w:cs="Arial"/>
          <w:kern w:val="0"/>
          <w:sz w:val="22"/>
          <w:szCs w:val="22"/>
          <w:lang w:eastAsia="en-GB"/>
          <w14:ligatures w14:val="none"/>
        </w:rPr>
        <w:t>Pachana</w:t>
      </w:r>
      <w:proofErr w:type="spellEnd"/>
      <w:r w:rsidRPr="00AD0608">
        <w:rPr>
          <w:rFonts w:ascii="Arial" w:eastAsia="Times New Roman" w:hAnsi="Arial" w:cs="Arial"/>
          <w:kern w:val="0"/>
          <w:sz w:val="22"/>
          <w:szCs w:val="22"/>
          <w:lang w:eastAsia="en-GB"/>
          <w14:ligatures w14:val="none"/>
        </w:rPr>
        <w:t xml:space="preserve">, N.A. (ed.) </w:t>
      </w:r>
      <w:proofErr w:type="spellStart"/>
      <w:r w:rsidRPr="00AD0608">
        <w:rPr>
          <w:rFonts w:ascii="Arial" w:eastAsia="Times New Roman" w:hAnsi="Arial" w:cs="Arial"/>
          <w:i/>
          <w:iCs/>
          <w:kern w:val="0"/>
          <w:sz w:val="22"/>
          <w:szCs w:val="22"/>
          <w:lang w:eastAsia="en-GB"/>
          <w14:ligatures w14:val="none"/>
        </w:rPr>
        <w:t>Encyclopedia</w:t>
      </w:r>
      <w:proofErr w:type="spellEnd"/>
      <w:r w:rsidRPr="00AD0608">
        <w:rPr>
          <w:rFonts w:ascii="Arial" w:eastAsia="Times New Roman" w:hAnsi="Arial" w:cs="Arial"/>
          <w:i/>
          <w:iCs/>
          <w:kern w:val="0"/>
          <w:sz w:val="22"/>
          <w:szCs w:val="22"/>
          <w:lang w:eastAsia="en-GB"/>
          <w14:ligatures w14:val="none"/>
        </w:rPr>
        <w:t xml:space="preserve"> of </w:t>
      </w:r>
      <w:proofErr w:type="spellStart"/>
      <w:r w:rsidRPr="00AD0608">
        <w:rPr>
          <w:rFonts w:ascii="Arial" w:eastAsia="Times New Roman" w:hAnsi="Arial" w:cs="Arial"/>
          <w:i/>
          <w:iCs/>
          <w:kern w:val="0"/>
          <w:sz w:val="22"/>
          <w:szCs w:val="22"/>
          <w:lang w:eastAsia="en-GB"/>
          <w14:ligatures w14:val="none"/>
        </w:rPr>
        <w:t>geropsychology</w:t>
      </w:r>
      <w:proofErr w:type="spellEnd"/>
      <w:r w:rsidRPr="00AD0608">
        <w:rPr>
          <w:rFonts w:ascii="Arial" w:eastAsia="Times New Roman" w:hAnsi="Arial" w:cs="Arial"/>
          <w:kern w:val="0"/>
          <w:sz w:val="22"/>
          <w:szCs w:val="22"/>
          <w:lang w:eastAsia="en-GB"/>
          <w14:ligatures w14:val="none"/>
        </w:rPr>
        <w:t xml:space="preserve">. Singapore: Springer. Available at: </w:t>
      </w:r>
      <w:hyperlink r:id="rId11" w:tgtFrame="_new" w:history="1">
        <w:r w:rsidRPr="00AD0608">
          <w:rPr>
            <w:rFonts w:ascii="Arial" w:eastAsia="Times New Roman" w:hAnsi="Arial" w:cs="Arial"/>
            <w:color w:val="0000FF"/>
            <w:kern w:val="0"/>
            <w:sz w:val="22"/>
            <w:szCs w:val="22"/>
            <w:u w:val="single"/>
            <w:lang w:eastAsia="en-GB"/>
            <w14:ligatures w14:val="none"/>
          </w:rPr>
          <w:t>https://doi.org/10.1007/978-981-287-082-7_102</w:t>
        </w:r>
      </w:hyperlink>
    </w:p>
    <w:p w14:paraId="6B0EEDC4" w14:textId="77777777" w:rsidR="00AD0608" w:rsidRPr="00AD0608" w:rsidRDefault="00AD0608" w:rsidP="00AD0608">
      <w:pPr>
        <w:spacing w:after="120" w:line="360" w:lineRule="auto"/>
        <w:rPr>
          <w:rFonts w:ascii="Arial" w:eastAsia="Times New Roman" w:hAnsi="Arial" w:cs="Arial"/>
          <w:kern w:val="0"/>
          <w:sz w:val="22"/>
          <w:szCs w:val="22"/>
          <w:lang w:eastAsia="en-GB"/>
          <w14:ligatures w14:val="none"/>
        </w:rPr>
      </w:pPr>
      <w:proofErr w:type="spellStart"/>
      <w:r w:rsidRPr="00AD0608">
        <w:rPr>
          <w:rFonts w:ascii="Arial" w:eastAsia="Times New Roman" w:hAnsi="Arial" w:cs="Arial"/>
          <w:kern w:val="0"/>
          <w:sz w:val="22"/>
          <w:szCs w:val="22"/>
          <w:lang w:eastAsia="en-GB"/>
          <w14:ligatures w14:val="none"/>
        </w:rPr>
        <w:t>Lakomý</w:t>
      </w:r>
      <w:proofErr w:type="spellEnd"/>
      <w:r w:rsidRPr="00AD0608">
        <w:rPr>
          <w:rFonts w:ascii="Arial" w:eastAsia="Times New Roman" w:hAnsi="Arial" w:cs="Arial"/>
          <w:kern w:val="0"/>
          <w:sz w:val="22"/>
          <w:szCs w:val="22"/>
          <w:lang w:eastAsia="en-GB"/>
          <w14:ligatures w14:val="none"/>
        </w:rPr>
        <w:t xml:space="preserve">, M. (2023) ‘The effect of roles prescribed by active ageing on quality of life across European regions’, </w:t>
      </w:r>
      <w:r w:rsidRPr="00AD0608">
        <w:rPr>
          <w:rFonts w:ascii="Arial" w:eastAsia="Times New Roman" w:hAnsi="Arial" w:cs="Arial"/>
          <w:i/>
          <w:iCs/>
          <w:kern w:val="0"/>
          <w:sz w:val="22"/>
          <w:szCs w:val="22"/>
          <w:lang w:eastAsia="en-GB"/>
          <w14:ligatures w14:val="none"/>
        </w:rPr>
        <w:t>Ageing &amp; Society</w:t>
      </w:r>
      <w:r w:rsidRPr="00AD0608">
        <w:rPr>
          <w:rFonts w:ascii="Arial" w:eastAsia="Times New Roman" w:hAnsi="Arial" w:cs="Arial"/>
          <w:kern w:val="0"/>
          <w:sz w:val="22"/>
          <w:szCs w:val="22"/>
          <w:lang w:eastAsia="en-GB"/>
          <w14:ligatures w14:val="none"/>
        </w:rPr>
        <w:t xml:space="preserve">, 43(3), pp. 664–688. Available at: </w:t>
      </w:r>
      <w:hyperlink r:id="rId12" w:tgtFrame="_new" w:history="1">
        <w:r w:rsidRPr="00AD0608">
          <w:rPr>
            <w:rFonts w:ascii="Arial" w:eastAsia="Times New Roman" w:hAnsi="Arial" w:cs="Arial"/>
            <w:color w:val="0000FF"/>
            <w:kern w:val="0"/>
            <w:sz w:val="22"/>
            <w:szCs w:val="22"/>
            <w:u w:val="single"/>
            <w:lang w:eastAsia="en-GB"/>
            <w14:ligatures w14:val="none"/>
          </w:rPr>
          <w:t>https://doi.org/10.1017/S0144686X21000726</w:t>
        </w:r>
      </w:hyperlink>
    </w:p>
    <w:p w14:paraId="169DA4B5" w14:textId="22D44756" w:rsidR="00AD0608" w:rsidRPr="00D7343A" w:rsidRDefault="00AD0608" w:rsidP="00AD0608">
      <w:pPr>
        <w:spacing w:after="120" w:line="360" w:lineRule="auto"/>
        <w:rPr>
          <w:rFonts w:ascii="Arial" w:hAnsi="Arial" w:cs="Arial"/>
          <w:sz w:val="22"/>
          <w:szCs w:val="22"/>
        </w:rPr>
      </w:pPr>
      <w:r>
        <w:rPr>
          <w:rFonts w:ascii="Arial" w:eastAsia="Times New Roman" w:hAnsi="Arial" w:cs="Arial"/>
          <w:kern w:val="0"/>
          <w:sz w:val="22"/>
          <w:szCs w:val="22"/>
          <w:lang w:eastAsia="en-GB"/>
          <w14:ligatures w14:val="none"/>
        </w:rPr>
        <w:t>V</w:t>
      </w:r>
      <w:r w:rsidRPr="00AD0608">
        <w:rPr>
          <w:rFonts w:ascii="Arial" w:eastAsia="Times New Roman" w:hAnsi="Arial" w:cs="Arial"/>
          <w:kern w:val="0"/>
          <w:sz w:val="22"/>
          <w:szCs w:val="22"/>
          <w:lang w:eastAsia="en-GB"/>
          <w14:ligatures w14:val="none"/>
        </w:rPr>
        <w:t xml:space="preserve">an der </w:t>
      </w:r>
      <w:proofErr w:type="spellStart"/>
      <w:r w:rsidRPr="00AD0608">
        <w:rPr>
          <w:rFonts w:ascii="Arial" w:eastAsia="Times New Roman" w:hAnsi="Arial" w:cs="Arial"/>
          <w:kern w:val="0"/>
          <w:sz w:val="22"/>
          <w:szCs w:val="22"/>
          <w:lang w:eastAsia="en-GB"/>
          <w14:ligatures w14:val="none"/>
        </w:rPr>
        <w:t>Kaap-Deeder</w:t>
      </w:r>
      <w:proofErr w:type="spellEnd"/>
      <w:r w:rsidRPr="00AD0608">
        <w:rPr>
          <w:rFonts w:ascii="Arial" w:eastAsia="Times New Roman" w:hAnsi="Arial" w:cs="Arial"/>
          <w:kern w:val="0"/>
          <w:sz w:val="22"/>
          <w:szCs w:val="22"/>
          <w:lang w:eastAsia="en-GB"/>
          <w14:ligatures w14:val="none"/>
        </w:rPr>
        <w:t xml:space="preserve">, J., </w:t>
      </w:r>
      <w:proofErr w:type="spellStart"/>
      <w:r w:rsidRPr="00AD0608">
        <w:rPr>
          <w:rFonts w:ascii="Arial" w:eastAsia="Times New Roman" w:hAnsi="Arial" w:cs="Arial"/>
          <w:kern w:val="0"/>
          <w:sz w:val="22"/>
          <w:szCs w:val="22"/>
          <w:lang w:eastAsia="en-GB"/>
          <w14:ligatures w14:val="none"/>
        </w:rPr>
        <w:t>Vermote</w:t>
      </w:r>
      <w:proofErr w:type="spellEnd"/>
      <w:r w:rsidRPr="00AD0608">
        <w:rPr>
          <w:rFonts w:ascii="Arial" w:eastAsia="Times New Roman" w:hAnsi="Arial" w:cs="Arial"/>
          <w:kern w:val="0"/>
          <w:sz w:val="22"/>
          <w:szCs w:val="22"/>
          <w:lang w:eastAsia="en-GB"/>
          <w14:ligatures w14:val="none"/>
        </w:rPr>
        <w:t xml:space="preserve">, B., </w:t>
      </w:r>
      <w:proofErr w:type="spellStart"/>
      <w:r w:rsidRPr="00AD0608">
        <w:rPr>
          <w:rFonts w:ascii="Arial" w:eastAsia="Times New Roman" w:hAnsi="Arial" w:cs="Arial"/>
          <w:kern w:val="0"/>
          <w:sz w:val="22"/>
          <w:szCs w:val="22"/>
          <w:lang w:eastAsia="en-GB"/>
          <w14:ligatures w14:val="none"/>
        </w:rPr>
        <w:t>Waterschoot</w:t>
      </w:r>
      <w:proofErr w:type="spellEnd"/>
      <w:r w:rsidRPr="00AD0608">
        <w:rPr>
          <w:rFonts w:ascii="Arial" w:eastAsia="Times New Roman" w:hAnsi="Arial" w:cs="Arial"/>
          <w:kern w:val="0"/>
          <w:sz w:val="22"/>
          <w:szCs w:val="22"/>
          <w:lang w:eastAsia="en-GB"/>
          <w14:ligatures w14:val="none"/>
        </w:rPr>
        <w:t xml:space="preserve">, J., Soenens, B., </w:t>
      </w:r>
      <w:proofErr w:type="spellStart"/>
      <w:r w:rsidRPr="00AD0608">
        <w:rPr>
          <w:rFonts w:ascii="Arial" w:eastAsia="Times New Roman" w:hAnsi="Arial" w:cs="Arial"/>
          <w:kern w:val="0"/>
          <w:sz w:val="22"/>
          <w:szCs w:val="22"/>
          <w:lang w:eastAsia="en-GB"/>
          <w14:ligatures w14:val="none"/>
        </w:rPr>
        <w:t>Morbée</w:t>
      </w:r>
      <w:proofErr w:type="spellEnd"/>
      <w:r w:rsidRPr="00AD0608">
        <w:rPr>
          <w:rFonts w:ascii="Arial" w:eastAsia="Times New Roman" w:hAnsi="Arial" w:cs="Arial"/>
          <w:kern w:val="0"/>
          <w:sz w:val="22"/>
          <w:szCs w:val="22"/>
          <w:lang w:eastAsia="en-GB"/>
          <w14:ligatures w14:val="none"/>
        </w:rPr>
        <w:t xml:space="preserve">, S. and Vansteenkiste, M. (2022) ‘The role of ego integrity and despair in older adults’ well-being during the COVID-19 crisis: the mediating role of need-based experiences’, </w:t>
      </w:r>
      <w:r w:rsidRPr="00AD0608">
        <w:rPr>
          <w:rFonts w:ascii="Arial" w:eastAsia="Times New Roman" w:hAnsi="Arial" w:cs="Arial"/>
          <w:i/>
          <w:iCs/>
          <w:kern w:val="0"/>
          <w:sz w:val="22"/>
          <w:szCs w:val="22"/>
          <w:lang w:eastAsia="en-GB"/>
          <w14:ligatures w14:val="none"/>
        </w:rPr>
        <w:t>European Journal of Ageing</w:t>
      </w:r>
      <w:r w:rsidRPr="00AD0608">
        <w:rPr>
          <w:rFonts w:ascii="Arial" w:eastAsia="Times New Roman" w:hAnsi="Arial" w:cs="Arial"/>
          <w:kern w:val="0"/>
          <w:sz w:val="22"/>
          <w:szCs w:val="22"/>
          <w:lang w:eastAsia="en-GB"/>
          <w14:ligatures w14:val="none"/>
        </w:rPr>
        <w:t xml:space="preserve">, 19(1), pp. 117–129. Available at: </w:t>
      </w:r>
      <w:hyperlink r:id="rId13" w:tgtFrame="_new" w:history="1">
        <w:r w:rsidRPr="00AD0608">
          <w:rPr>
            <w:rFonts w:ascii="Arial" w:eastAsia="Times New Roman" w:hAnsi="Arial" w:cs="Arial"/>
            <w:color w:val="0000FF"/>
            <w:kern w:val="0"/>
            <w:sz w:val="22"/>
            <w:szCs w:val="22"/>
            <w:u w:val="single"/>
            <w:lang w:eastAsia="en-GB"/>
            <w14:ligatures w14:val="none"/>
          </w:rPr>
          <w:t>https://doi.org/10.1007/s10433-021-00610-0</w:t>
        </w:r>
      </w:hyperlink>
    </w:p>
    <w:sectPr w:rsidR="00AD0608" w:rsidRPr="00D7343A" w:rsidSect="00A32BC2">
      <w:headerReference w:type="default" r:id="rId14"/>
      <w:footerReference w:type="default" r:id="rId15"/>
      <w:pgSz w:w="11906" w:h="16838"/>
      <w:pgMar w:top="284" w:right="567" w:bottom="567" w:left="567" w:header="397"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75B6EA" w14:textId="77777777" w:rsidR="001F22FF" w:rsidRDefault="001F22FF" w:rsidP="00E11207">
      <w:pPr>
        <w:spacing w:after="0" w:line="240" w:lineRule="auto"/>
      </w:pPr>
      <w:r>
        <w:separator/>
      </w:r>
    </w:p>
  </w:endnote>
  <w:endnote w:type="continuationSeparator" w:id="0">
    <w:p w14:paraId="4E070AE7" w14:textId="77777777" w:rsidR="001F22FF" w:rsidRDefault="001F22FF" w:rsidP="00E112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99D3B7" w14:textId="77777777" w:rsidR="00A32BC2" w:rsidRDefault="00A32BC2">
    <w:pPr>
      <w:tabs>
        <w:tab w:val="center" w:pos="4550"/>
        <w:tab w:val="left" w:pos="5818"/>
      </w:tabs>
      <w:ind w:right="260"/>
      <w:jc w:val="right"/>
      <w:rPr>
        <w:color w:val="071320" w:themeColor="text2" w:themeShade="80"/>
      </w:rPr>
    </w:pPr>
    <w:r>
      <w:rPr>
        <w:color w:val="2C7FCE" w:themeColor="text2" w:themeTint="99"/>
        <w:spacing w:val="60"/>
      </w:rPr>
      <w:t>Page</w:t>
    </w:r>
    <w:r>
      <w:rPr>
        <w:color w:val="2C7FCE" w:themeColor="text2" w:themeTint="99"/>
      </w:rPr>
      <w:t xml:space="preserve"> </w:t>
    </w:r>
    <w:r>
      <w:rPr>
        <w:color w:val="0A1D30" w:themeColor="text2" w:themeShade="BF"/>
      </w:rPr>
      <w:fldChar w:fldCharType="begin"/>
    </w:r>
    <w:r>
      <w:rPr>
        <w:color w:val="0A1D30" w:themeColor="text2" w:themeShade="BF"/>
      </w:rPr>
      <w:instrText xml:space="preserve"> PAGE   \* MERGEFORMAT </w:instrText>
    </w:r>
    <w:r>
      <w:rPr>
        <w:color w:val="0A1D30" w:themeColor="text2" w:themeShade="BF"/>
      </w:rPr>
      <w:fldChar w:fldCharType="separate"/>
    </w:r>
    <w:r>
      <w:rPr>
        <w:noProof/>
        <w:color w:val="0A1D30" w:themeColor="text2" w:themeShade="BF"/>
      </w:rPr>
      <w:t>1</w:t>
    </w:r>
    <w:r>
      <w:rPr>
        <w:color w:val="0A1D30" w:themeColor="text2" w:themeShade="BF"/>
      </w:rPr>
      <w:fldChar w:fldCharType="end"/>
    </w:r>
    <w:r>
      <w:rPr>
        <w:color w:val="0A1D30" w:themeColor="text2" w:themeShade="BF"/>
      </w:rPr>
      <w:t xml:space="preserve"> | </w:t>
    </w:r>
    <w:r>
      <w:rPr>
        <w:color w:val="0A1D30" w:themeColor="text2" w:themeShade="BF"/>
      </w:rPr>
      <w:fldChar w:fldCharType="begin"/>
    </w:r>
    <w:r>
      <w:rPr>
        <w:color w:val="0A1D30" w:themeColor="text2" w:themeShade="BF"/>
      </w:rPr>
      <w:instrText xml:space="preserve"> NUMPAGES  \* Arabic  \* MERGEFORMAT </w:instrText>
    </w:r>
    <w:r>
      <w:rPr>
        <w:color w:val="0A1D30" w:themeColor="text2" w:themeShade="BF"/>
      </w:rPr>
      <w:fldChar w:fldCharType="separate"/>
    </w:r>
    <w:r>
      <w:rPr>
        <w:noProof/>
        <w:color w:val="0A1D30" w:themeColor="text2" w:themeShade="BF"/>
      </w:rPr>
      <w:t>1</w:t>
    </w:r>
    <w:r>
      <w:rPr>
        <w:color w:val="0A1D30" w:themeColor="text2" w:themeShade="BF"/>
      </w:rPr>
      <w:fldChar w:fldCharType="end"/>
    </w:r>
  </w:p>
  <w:p w14:paraId="7448456D" w14:textId="77777777" w:rsidR="00A32BC2" w:rsidRDefault="00A32B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A706E8" w14:textId="77777777" w:rsidR="001F22FF" w:rsidRDefault="001F22FF" w:rsidP="00E11207">
      <w:pPr>
        <w:spacing w:after="0" w:line="240" w:lineRule="auto"/>
      </w:pPr>
      <w:r>
        <w:separator/>
      </w:r>
    </w:p>
  </w:footnote>
  <w:footnote w:type="continuationSeparator" w:id="0">
    <w:p w14:paraId="4F1C0D30" w14:textId="77777777" w:rsidR="001F22FF" w:rsidRDefault="001F22FF" w:rsidP="00E112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871AD6" w14:textId="639F7BFB" w:rsidR="00E11207" w:rsidRDefault="00E11207" w:rsidP="00E11207">
    <w:pPr>
      <w:pStyle w:val="Header"/>
      <w:spacing w:line="360" w:lineRule="auto"/>
      <w:rPr>
        <w:rFonts w:ascii="Arial" w:eastAsiaTheme="minorEastAsia" w:hAnsi="Arial" w:cs="Arial"/>
        <w:b/>
        <w:bCs/>
        <w:color w:val="000000" w:themeColor="text1"/>
        <w:kern w:val="24"/>
        <w:sz w:val="32"/>
        <w:szCs w:val="32"/>
      </w:rPr>
    </w:pPr>
    <w:r>
      <w:rPr>
        <w:noProof/>
      </w:rPr>
      <w:drawing>
        <wp:inline distT="0" distB="0" distL="0" distR="0" wp14:anchorId="15C31327" wp14:editId="50858290">
          <wp:extent cx="1873250" cy="749997"/>
          <wp:effectExtent l="0" t="0" r="0" b="0"/>
          <wp:docPr id="4" name="Picture 3">
            <a:extLst xmlns:a="http://schemas.openxmlformats.org/drawingml/2006/main">
              <a:ext uri="{FF2B5EF4-FFF2-40B4-BE49-F238E27FC236}">
                <a16:creationId xmlns:a16="http://schemas.microsoft.com/office/drawing/2014/main" id="{A08671F9-2A57-B7B3-3F86-4E5717778BA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A08671F9-2A57-B7B3-3F86-4E5717778BA4}"/>
                      </a:ext>
                    </a:extLst>
                  </pic:cNvPr>
                  <pic:cNvPicPr>
                    <a:picLocks noChangeAspect="1"/>
                  </pic:cNvPicPr>
                </pic:nvPicPr>
                <pic:blipFill>
                  <a:blip r:embed="rId1"/>
                  <a:srcRect/>
                  <a:stretch/>
                </pic:blipFill>
                <pic:spPr>
                  <a:xfrm>
                    <a:off x="0" y="0"/>
                    <a:ext cx="1891467" cy="757291"/>
                  </a:xfrm>
                  <a:prstGeom prst="rect">
                    <a:avLst/>
                  </a:prstGeom>
                </pic:spPr>
              </pic:pic>
            </a:graphicData>
          </a:graphic>
        </wp:inline>
      </w:drawing>
    </w:r>
    <w:r>
      <w:rPr>
        <w:rFonts w:ascii="Arial" w:eastAsiaTheme="minorEastAsia" w:hAnsi="Arial" w:cs="Arial"/>
        <w:b/>
        <w:bCs/>
        <w:color w:val="000000" w:themeColor="text1"/>
        <w:kern w:val="24"/>
        <w:sz w:val="32"/>
        <w:szCs w:val="32"/>
      </w:rPr>
      <w:tab/>
    </w:r>
    <w:r w:rsidR="00A32BC2">
      <w:rPr>
        <w:rFonts w:ascii="Arial" w:eastAsiaTheme="minorEastAsia" w:hAnsi="Arial" w:cs="Arial"/>
        <w:b/>
        <w:bCs/>
        <w:color w:val="000000" w:themeColor="text1"/>
        <w:kern w:val="24"/>
        <w:sz w:val="32"/>
        <w:szCs w:val="32"/>
      </w:rPr>
      <w:t xml:space="preserve">                                      </w:t>
    </w:r>
    <w:r w:rsidRPr="00E11207">
      <w:rPr>
        <w:rFonts w:ascii="Arial" w:eastAsiaTheme="minorEastAsia" w:hAnsi="Arial" w:cs="Arial"/>
        <w:b/>
        <w:bCs/>
        <w:color w:val="000000" w:themeColor="text1"/>
        <w:kern w:val="24"/>
        <w:sz w:val="32"/>
        <w:szCs w:val="32"/>
      </w:rPr>
      <w:t xml:space="preserve">LCHS4010 </w:t>
    </w:r>
  </w:p>
  <w:p w14:paraId="30FF1714" w14:textId="49016B29" w:rsidR="00E11207" w:rsidRDefault="00E11207" w:rsidP="00E11207">
    <w:pPr>
      <w:pStyle w:val="Header"/>
      <w:spacing w:line="360" w:lineRule="auto"/>
      <w:rPr>
        <w:rFonts w:ascii="Arial" w:eastAsiaTheme="minorEastAsia" w:hAnsi="Arial" w:cs="Arial"/>
        <w:b/>
        <w:bCs/>
        <w:color w:val="000000" w:themeColor="text1"/>
        <w:kern w:val="24"/>
        <w:sz w:val="48"/>
        <w:szCs w:val="48"/>
      </w:rPr>
    </w:pPr>
    <w:r>
      <w:rPr>
        <w:rFonts w:ascii="Arial" w:eastAsiaTheme="minorEastAsia" w:hAnsi="Arial" w:cs="Arial"/>
        <w:b/>
        <w:bCs/>
        <w:color w:val="000000" w:themeColor="text1"/>
        <w:kern w:val="24"/>
        <w:sz w:val="32"/>
        <w:szCs w:val="32"/>
      </w:rPr>
      <w:tab/>
    </w:r>
    <w:r>
      <w:rPr>
        <w:rFonts w:ascii="Arial" w:eastAsiaTheme="minorEastAsia" w:hAnsi="Arial" w:cs="Arial"/>
        <w:b/>
        <w:bCs/>
        <w:color w:val="000000" w:themeColor="text1"/>
        <w:kern w:val="24"/>
        <w:sz w:val="32"/>
        <w:szCs w:val="32"/>
      </w:rPr>
      <w:tab/>
    </w:r>
    <w:r w:rsidRPr="00E11207">
      <w:rPr>
        <w:rFonts w:ascii="Arial" w:eastAsiaTheme="minorEastAsia" w:hAnsi="Arial" w:cs="Arial"/>
        <w:b/>
        <w:bCs/>
        <w:color w:val="000000" w:themeColor="text1"/>
        <w:kern w:val="24"/>
        <w:sz w:val="32"/>
        <w:szCs w:val="32"/>
      </w:rPr>
      <w:t>Psychology in Health and Social Care</w:t>
    </w:r>
    <w:r>
      <w:rPr>
        <w:rFonts w:ascii="Arial" w:eastAsiaTheme="minorEastAsia" w:hAnsi="Arial" w:cs="Arial"/>
        <w:b/>
        <w:bCs/>
        <w:color w:val="000000" w:themeColor="text1"/>
        <w:kern w:val="24"/>
        <w:sz w:val="48"/>
        <w:szCs w:val="48"/>
      </w:rPr>
      <w:t xml:space="preserve"> </w:t>
    </w:r>
  </w:p>
  <w:p w14:paraId="172B83FD" w14:textId="77777777" w:rsidR="009C02C1" w:rsidRDefault="009C02C1" w:rsidP="00E11207">
    <w:pPr>
      <w:pStyle w:val="Header"/>
      <w:spacing w:line="360" w:lineRule="aut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F16ED1"/>
    <w:multiLevelType w:val="hybridMultilevel"/>
    <w:tmpl w:val="4C4085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DD26E1"/>
    <w:multiLevelType w:val="multilevel"/>
    <w:tmpl w:val="8F7C0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26281726">
    <w:abstractNumId w:val="1"/>
  </w:num>
  <w:num w:numId="2" w16cid:durableId="10784074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CC7"/>
    <w:rsid w:val="0008298A"/>
    <w:rsid w:val="00184E20"/>
    <w:rsid w:val="001F22FF"/>
    <w:rsid w:val="002B3660"/>
    <w:rsid w:val="00332CC7"/>
    <w:rsid w:val="003E01BB"/>
    <w:rsid w:val="00447E56"/>
    <w:rsid w:val="004E1D4C"/>
    <w:rsid w:val="004E6E9B"/>
    <w:rsid w:val="00505E5E"/>
    <w:rsid w:val="0051104B"/>
    <w:rsid w:val="007663C9"/>
    <w:rsid w:val="00862A2D"/>
    <w:rsid w:val="009C02C1"/>
    <w:rsid w:val="009F3363"/>
    <w:rsid w:val="009F3ADB"/>
    <w:rsid w:val="00A3226C"/>
    <w:rsid w:val="00A32BC2"/>
    <w:rsid w:val="00AD0608"/>
    <w:rsid w:val="00B9073F"/>
    <w:rsid w:val="00BC3940"/>
    <w:rsid w:val="00C87820"/>
    <w:rsid w:val="00D7343A"/>
    <w:rsid w:val="00D82E0D"/>
    <w:rsid w:val="00E11207"/>
    <w:rsid w:val="00E23961"/>
    <w:rsid w:val="00EA1790"/>
    <w:rsid w:val="00FF21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F1798D"/>
  <w15:chartTrackingRefBased/>
  <w15:docId w15:val="{EE0A576B-42C1-4E4A-B64C-B2713FB629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2C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2C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2C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2C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2C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2C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2C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2C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2C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2C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2C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2C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2C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2C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2C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2C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2C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2CC7"/>
    <w:rPr>
      <w:rFonts w:eastAsiaTheme="majorEastAsia" w:cstheme="majorBidi"/>
      <w:color w:val="272727" w:themeColor="text1" w:themeTint="D8"/>
    </w:rPr>
  </w:style>
  <w:style w:type="paragraph" w:styleId="Title">
    <w:name w:val="Title"/>
    <w:basedOn w:val="Normal"/>
    <w:next w:val="Normal"/>
    <w:link w:val="TitleChar"/>
    <w:uiPriority w:val="10"/>
    <w:qFormat/>
    <w:rsid w:val="00332C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2C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2C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2C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2CC7"/>
    <w:pPr>
      <w:spacing w:before="160"/>
      <w:jc w:val="center"/>
    </w:pPr>
    <w:rPr>
      <w:i/>
      <w:iCs/>
      <w:color w:val="404040" w:themeColor="text1" w:themeTint="BF"/>
    </w:rPr>
  </w:style>
  <w:style w:type="character" w:customStyle="1" w:styleId="QuoteChar">
    <w:name w:val="Quote Char"/>
    <w:basedOn w:val="DefaultParagraphFont"/>
    <w:link w:val="Quote"/>
    <w:uiPriority w:val="29"/>
    <w:rsid w:val="00332CC7"/>
    <w:rPr>
      <w:i/>
      <w:iCs/>
      <w:color w:val="404040" w:themeColor="text1" w:themeTint="BF"/>
    </w:rPr>
  </w:style>
  <w:style w:type="paragraph" w:styleId="ListParagraph">
    <w:name w:val="List Paragraph"/>
    <w:basedOn w:val="Normal"/>
    <w:uiPriority w:val="34"/>
    <w:qFormat/>
    <w:rsid w:val="00332CC7"/>
    <w:pPr>
      <w:ind w:left="720"/>
      <w:contextualSpacing/>
    </w:pPr>
  </w:style>
  <w:style w:type="character" w:styleId="IntenseEmphasis">
    <w:name w:val="Intense Emphasis"/>
    <w:basedOn w:val="DefaultParagraphFont"/>
    <w:uiPriority w:val="21"/>
    <w:qFormat/>
    <w:rsid w:val="00332CC7"/>
    <w:rPr>
      <w:i/>
      <w:iCs/>
      <w:color w:val="0F4761" w:themeColor="accent1" w:themeShade="BF"/>
    </w:rPr>
  </w:style>
  <w:style w:type="paragraph" w:styleId="IntenseQuote">
    <w:name w:val="Intense Quote"/>
    <w:basedOn w:val="Normal"/>
    <w:next w:val="Normal"/>
    <w:link w:val="IntenseQuoteChar"/>
    <w:uiPriority w:val="30"/>
    <w:qFormat/>
    <w:rsid w:val="00332C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2CC7"/>
    <w:rPr>
      <w:i/>
      <w:iCs/>
      <w:color w:val="0F4761" w:themeColor="accent1" w:themeShade="BF"/>
    </w:rPr>
  </w:style>
  <w:style w:type="character" w:styleId="IntenseReference">
    <w:name w:val="Intense Reference"/>
    <w:basedOn w:val="DefaultParagraphFont"/>
    <w:uiPriority w:val="32"/>
    <w:qFormat/>
    <w:rsid w:val="00332CC7"/>
    <w:rPr>
      <w:b/>
      <w:bCs/>
      <w:smallCaps/>
      <w:color w:val="0F4761" w:themeColor="accent1" w:themeShade="BF"/>
      <w:spacing w:val="5"/>
    </w:rPr>
  </w:style>
  <w:style w:type="paragraph" w:styleId="Header">
    <w:name w:val="header"/>
    <w:basedOn w:val="Normal"/>
    <w:link w:val="HeaderChar"/>
    <w:uiPriority w:val="99"/>
    <w:unhideWhenUsed/>
    <w:rsid w:val="00E112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1207"/>
  </w:style>
  <w:style w:type="paragraph" w:styleId="Footer">
    <w:name w:val="footer"/>
    <w:basedOn w:val="Normal"/>
    <w:link w:val="FooterChar"/>
    <w:uiPriority w:val="99"/>
    <w:unhideWhenUsed/>
    <w:rsid w:val="00E112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1207"/>
  </w:style>
  <w:style w:type="paragraph" w:styleId="NormalWeb">
    <w:name w:val="Normal (Web)"/>
    <w:basedOn w:val="Normal"/>
    <w:uiPriority w:val="99"/>
    <w:semiHidden/>
    <w:unhideWhenUsed/>
    <w:rsid w:val="00E11207"/>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7/S0144686X21000726" TargetMode="External"/><Relationship Id="rId13" Type="http://schemas.openxmlformats.org/officeDocument/2006/relationships/hyperlink" Target="https://doi.org/10.1007/s10433-021-00610-0" TargetMode="External"/><Relationship Id="rId3" Type="http://schemas.openxmlformats.org/officeDocument/2006/relationships/settings" Target="settings.xml"/><Relationship Id="rId7" Type="http://schemas.openxmlformats.org/officeDocument/2006/relationships/hyperlink" Target="https://doi.org/10.1007/978-981-287-082-7_102" TargetMode="External"/><Relationship Id="rId12" Type="http://schemas.openxmlformats.org/officeDocument/2006/relationships/hyperlink" Target="https://doi.org/10.1017/S0144686X21000726"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978-981-287-082-7_102"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oi.org/10.1093/geronb/gbv062" TargetMode="External"/><Relationship Id="rId4" Type="http://schemas.openxmlformats.org/officeDocument/2006/relationships/webSettings" Target="webSettings.xml"/><Relationship Id="rId9" Type="http://schemas.openxmlformats.org/officeDocument/2006/relationships/hyperlink" Target="https://doi.org/10.1007/s10433-021-00610-0"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2162</Words>
  <Characters>12325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Poznanska</dc:creator>
  <cp:keywords/>
  <dc:description/>
  <cp:lastModifiedBy>Anna Poznanska</cp:lastModifiedBy>
  <cp:revision>2</cp:revision>
  <dcterms:created xsi:type="dcterms:W3CDTF">2026-04-24T17:00:00Z</dcterms:created>
  <dcterms:modified xsi:type="dcterms:W3CDTF">2026-04-24T17:00:00Z</dcterms:modified>
</cp:coreProperties>
</file>