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A3A802D" w14:textId="2DC196F8" w:rsidR="33572C6E" w:rsidRDefault="7908378C" w:rsidP="33572C6E">
            <w:pPr>
              <w:ind w:right="237"/>
              <w:rPr>
                <w:b/>
                <w:bCs/>
                <w:color w:val="auto"/>
                <w:sz w:val="32"/>
                <w:szCs w:val="32"/>
              </w:rPr>
            </w:pPr>
            <w:r w:rsidRPr="33572C6E">
              <w:rPr>
                <w:b/>
                <w:bCs/>
                <w:color w:val="auto"/>
                <w:sz w:val="32"/>
                <w:szCs w:val="32"/>
              </w:rPr>
              <w:t>Learner name:</w:t>
            </w:r>
            <w:r w:rsidR="00FB339B">
              <w:rPr>
                <w:b/>
                <w:bCs/>
                <w:color w:val="auto"/>
                <w:sz w:val="32"/>
                <w:szCs w:val="32"/>
              </w:rPr>
              <w:t xml:space="preserve">  Tyrone Bennett</w:t>
            </w:r>
          </w:p>
          <w:p w14:paraId="5DC3CFD6" w14:textId="56483C9F" w:rsidR="7908378C" w:rsidRDefault="7908378C" w:rsidP="33572C6E">
            <w:pPr>
              <w:ind w:right="237"/>
              <w:rPr>
                <w:b/>
                <w:bCs/>
                <w:color w:val="auto"/>
                <w:sz w:val="32"/>
                <w:szCs w:val="32"/>
              </w:rPr>
            </w:pPr>
            <w:r w:rsidRPr="33572C6E">
              <w:rPr>
                <w:b/>
                <w:bCs/>
                <w:color w:val="auto"/>
                <w:sz w:val="32"/>
                <w:szCs w:val="32"/>
              </w:rPr>
              <w:t>Learner’s University Registration Number:</w:t>
            </w:r>
            <w:r w:rsidR="00FB339B">
              <w:rPr>
                <w:b/>
                <w:bCs/>
                <w:color w:val="auto"/>
                <w:sz w:val="32"/>
                <w:szCs w:val="32"/>
              </w:rPr>
              <w:t xml:space="preserve"> </w:t>
            </w:r>
            <w:r w:rsidR="006D3FF3">
              <w:rPr>
                <w:b/>
                <w:bCs/>
                <w:color w:val="auto"/>
                <w:sz w:val="32"/>
                <w:szCs w:val="32"/>
              </w:rPr>
              <w:t>2236362</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1A11CF">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1A11CF">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1A11CF">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1A11CF">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1A11CF">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1A11CF">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1A11CF">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1A11CF">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6D3FF3"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1A11CF">
      <w:pPr>
        <w:numPr>
          <w:ilvl w:val="0"/>
          <w:numId w:val="1"/>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1A11CF">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1A11CF">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1A11CF">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1A11CF">
      <w:pPr>
        <w:numPr>
          <w:ilvl w:val="0"/>
          <w:numId w:val="3"/>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1A11CF">
      <w:pPr>
        <w:numPr>
          <w:ilvl w:val="0"/>
          <w:numId w:val="2"/>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1A11CF">
      <w:pPr>
        <w:numPr>
          <w:ilvl w:val="0"/>
          <w:numId w:val="2"/>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001A11CF">
      <w:pPr>
        <w:numPr>
          <w:ilvl w:val="0"/>
          <w:numId w:val="2"/>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06491356" w14:textId="79669F32" w:rsidR="00A221AB" w:rsidRPr="00BA2D8E" w:rsidRDefault="009E46B9" w:rsidP="00211695">
      <w:pPr>
        <w:overflowPunct/>
        <w:autoSpaceDE/>
        <w:autoSpaceDN/>
        <w:adjustRightInd/>
        <w:textAlignment w:val="auto"/>
        <w:rPr>
          <w:color w:val="000000" w:themeColor="text1"/>
          <w:sz w:val="24"/>
          <w:szCs w:val="24"/>
        </w:rPr>
      </w:pPr>
      <w:r w:rsidRPr="00BA2D8E">
        <w:rPr>
          <w:color w:val="000000" w:themeColor="text1"/>
          <w:sz w:val="24"/>
          <w:szCs w:val="24"/>
        </w:rPr>
        <w:t xml:space="preserve">The investigation I am going be discussing during this essay is going to be a burglary on a young female, with the offender being her partner, meaning the offence was domestic related. </w:t>
      </w:r>
    </w:p>
    <w:p w14:paraId="57F018B5" w14:textId="77777777" w:rsidR="009E46B9" w:rsidRPr="00BA2D8E" w:rsidRDefault="009E46B9" w:rsidP="00211695">
      <w:pPr>
        <w:overflowPunct/>
        <w:autoSpaceDE/>
        <w:autoSpaceDN/>
        <w:adjustRightInd/>
        <w:textAlignment w:val="auto"/>
        <w:rPr>
          <w:color w:val="000000" w:themeColor="text1"/>
          <w:sz w:val="24"/>
          <w:szCs w:val="24"/>
        </w:rPr>
      </w:pPr>
    </w:p>
    <w:p w14:paraId="207D3BFE" w14:textId="7E2A2F22" w:rsidR="009E46B9" w:rsidRPr="00BA2D8E" w:rsidRDefault="009E46B9" w:rsidP="00211695">
      <w:pPr>
        <w:overflowPunct/>
        <w:autoSpaceDE/>
        <w:autoSpaceDN/>
        <w:adjustRightInd/>
        <w:textAlignment w:val="auto"/>
        <w:rPr>
          <w:color w:val="000000" w:themeColor="text1"/>
          <w:sz w:val="24"/>
          <w:szCs w:val="24"/>
        </w:rPr>
      </w:pPr>
      <w:r w:rsidRPr="00BA2D8E">
        <w:rPr>
          <w:color w:val="000000" w:themeColor="text1"/>
          <w:sz w:val="24"/>
          <w:szCs w:val="24"/>
        </w:rPr>
        <w:t xml:space="preserve">In early 2024, a young female (17 years old) was up late at night/early hours in the morning playing on her Xbox, talking with her friends. Due to the time of day, her mother was home asleep in her own bed on the top floor of the house, whilst the young female was on the bottom floor of her house in her own bedroom. </w:t>
      </w:r>
      <w:r w:rsidR="00DB1208" w:rsidRPr="00BA2D8E">
        <w:rPr>
          <w:color w:val="000000" w:themeColor="text1"/>
          <w:sz w:val="24"/>
          <w:szCs w:val="24"/>
        </w:rPr>
        <w:t xml:space="preserve">This young female could hear some loud movement outside of her room before suddenly, her bedroom door flung open and a male who at the time was her partner, was standing at the door and seen her playing on her Xbox. This male has immediately started shouting at her, accusing her of cheating with the people who she had been playing on the Xbox with, and blaming her playing on the Xbox for their relationship breaking down. This male has then walked up to her Xbox, unplugged it and put it in a carrier bag that he had picked up. He had then also taken her keyboard, gaming monitor, headset and mouse, put them in his bag and went to walk off. The young female had tried to stop him leaving with the items however, he had grabbed her, hit her to the face, pushed her gaming chair into her and left the building with the items. The young female had then run upstairs after the partner had left in a panicked and crying state and woke up her mother. Her mother went downstairs and saw that the window on the kitchen was wide open and to both of their recollecting had been closed. </w:t>
      </w:r>
    </w:p>
    <w:p w14:paraId="3FCDF900" w14:textId="77777777" w:rsidR="00C94633" w:rsidRPr="00BA2D8E" w:rsidRDefault="00C94633" w:rsidP="00211695">
      <w:pPr>
        <w:overflowPunct/>
        <w:autoSpaceDE/>
        <w:autoSpaceDN/>
        <w:adjustRightInd/>
        <w:textAlignment w:val="auto"/>
        <w:rPr>
          <w:color w:val="000000" w:themeColor="text1"/>
          <w:sz w:val="24"/>
          <w:szCs w:val="24"/>
        </w:rPr>
      </w:pPr>
    </w:p>
    <w:p w14:paraId="5D557E2A" w14:textId="1B6D9EB1" w:rsidR="00C94633" w:rsidRPr="00BA2D8E" w:rsidRDefault="00C94633" w:rsidP="00211695">
      <w:pPr>
        <w:overflowPunct/>
        <w:autoSpaceDE/>
        <w:autoSpaceDN/>
        <w:adjustRightInd/>
        <w:textAlignment w:val="auto"/>
        <w:rPr>
          <w:color w:val="000000" w:themeColor="text1"/>
          <w:sz w:val="24"/>
          <w:szCs w:val="24"/>
        </w:rPr>
      </w:pPr>
      <w:r w:rsidRPr="00BA2D8E">
        <w:rPr>
          <w:color w:val="000000" w:themeColor="text1"/>
          <w:sz w:val="24"/>
          <w:szCs w:val="24"/>
        </w:rPr>
        <w:lastRenderedPageBreak/>
        <w:t xml:space="preserve">Police attended the address shortly after and found the female in a distressed state. They had taken a statement from the victim and the victim’s mother and arranged for the Crime Scene Investigators to attend for swabs and forensics to be taken, as well as retrieved CCTV footage from the neighbours. The suspect was then arrested at his home address where </w:t>
      </w:r>
      <w:r w:rsidR="00804A67" w:rsidRPr="00BA2D8E">
        <w:rPr>
          <w:color w:val="000000" w:themeColor="text1"/>
          <w:sz w:val="24"/>
          <w:szCs w:val="24"/>
        </w:rPr>
        <w:t xml:space="preserve">a Section 32 of the Police and Criminal Evidence Act 1984 search ensued, and </w:t>
      </w:r>
      <w:r w:rsidRPr="00BA2D8E">
        <w:rPr>
          <w:color w:val="000000" w:themeColor="text1"/>
          <w:sz w:val="24"/>
          <w:szCs w:val="24"/>
        </w:rPr>
        <w:t xml:space="preserve">the carrier bag </w:t>
      </w:r>
      <w:r w:rsidR="00804A67" w:rsidRPr="00BA2D8E">
        <w:rPr>
          <w:color w:val="000000" w:themeColor="text1"/>
          <w:sz w:val="24"/>
          <w:szCs w:val="24"/>
        </w:rPr>
        <w:t xml:space="preserve">containing </w:t>
      </w:r>
      <w:r w:rsidRPr="00BA2D8E">
        <w:rPr>
          <w:color w:val="000000" w:themeColor="text1"/>
          <w:sz w:val="24"/>
          <w:szCs w:val="24"/>
        </w:rPr>
        <w:t xml:space="preserve">all items that were alleged to have been stolen from the victim were found. </w:t>
      </w:r>
    </w:p>
    <w:p w14:paraId="23AD8BB3" w14:textId="77777777" w:rsidR="00C94633" w:rsidRPr="00BA2D8E" w:rsidRDefault="00C94633" w:rsidP="00211695">
      <w:pPr>
        <w:overflowPunct/>
        <w:autoSpaceDE/>
        <w:autoSpaceDN/>
        <w:adjustRightInd/>
        <w:textAlignment w:val="auto"/>
        <w:rPr>
          <w:color w:val="000000" w:themeColor="text1"/>
          <w:sz w:val="24"/>
          <w:szCs w:val="24"/>
        </w:rPr>
      </w:pPr>
    </w:p>
    <w:p w14:paraId="49EB8523" w14:textId="23E823F4" w:rsidR="00C94633" w:rsidRPr="00BA2D8E" w:rsidRDefault="00C94633" w:rsidP="00211695">
      <w:pPr>
        <w:overflowPunct/>
        <w:autoSpaceDE/>
        <w:autoSpaceDN/>
        <w:adjustRightInd/>
        <w:textAlignment w:val="auto"/>
        <w:rPr>
          <w:color w:val="000000" w:themeColor="text1"/>
          <w:sz w:val="24"/>
          <w:szCs w:val="24"/>
        </w:rPr>
      </w:pPr>
      <w:r w:rsidRPr="00BA2D8E">
        <w:rPr>
          <w:color w:val="000000" w:themeColor="text1"/>
          <w:sz w:val="24"/>
          <w:szCs w:val="24"/>
        </w:rPr>
        <w:t xml:space="preserve">The investigation was then handed to me the next day as I was made the Officer in Case and would lead the investigation from then on. </w:t>
      </w:r>
      <w:r w:rsidR="005355A5" w:rsidRPr="00BA2D8E">
        <w:rPr>
          <w:color w:val="000000" w:themeColor="text1"/>
          <w:sz w:val="24"/>
          <w:szCs w:val="24"/>
        </w:rPr>
        <w:t xml:space="preserve">The suspect was interviewed and then left custody with police bail conditions. </w:t>
      </w:r>
    </w:p>
    <w:p w14:paraId="35B938E5" w14:textId="77777777" w:rsidR="004D57A0" w:rsidRPr="00BA2D8E" w:rsidRDefault="004D57A0" w:rsidP="00211695">
      <w:pPr>
        <w:overflowPunct/>
        <w:autoSpaceDE/>
        <w:autoSpaceDN/>
        <w:adjustRightInd/>
        <w:textAlignment w:val="auto"/>
        <w:rPr>
          <w:color w:val="000000" w:themeColor="text1"/>
          <w:sz w:val="24"/>
          <w:szCs w:val="24"/>
        </w:rPr>
      </w:pPr>
    </w:p>
    <w:p w14:paraId="346B38B6" w14:textId="4AFA0129" w:rsidR="004D57A0" w:rsidRPr="00BA2D8E" w:rsidRDefault="004D57A0" w:rsidP="004D57A0">
      <w:pPr>
        <w:rPr>
          <w:color w:val="000000" w:themeColor="text1"/>
        </w:rPr>
      </w:pPr>
      <w:r w:rsidRPr="00BA2D8E">
        <w:rPr>
          <w:color w:val="000000" w:themeColor="text1"/>
          <w:sz w:val="24"/>
          <w:szCs w:val="24"/>
        </w:rPr>
        <w:t xml:space="preserve">Due to the nature of the investigation, the victim was classed as vulnerable. According to the College of Policing, ‘A person is vulnerable if, as a result of their situation or circumstances, they are unable to take care of or protect themselves or others from harm or exploitation’. </w:t>
      </w:r>
      <w:r w:rsidR="00DD4F72" w:rsidRPr="00BA2D8E">
        <w:rPr>
          <w:color w:val="000000" w:themeColor="text1"/>
          <w:sz w:val="24"/>
          <w:szCs w:val="24"/>
        </w:rPr>
        <w:t xml:space="preserve">Furthermore, the victim is also 17 years of age. A child may also be classed as vulnerable </w:t>
      </w:r>
      <w:r w:rsidR="004B0DB4" w:rsidRPr="00BA2D8E">
        <w:rPr>
          <w:color w:val="000000" w:themeColor="text1"/>
          <w:sz w:val="24"/>
          <w:szCs w:val="24"/>
        </w:rPr>
        <w:t xml:space="preserve">to risks </w:t>
      </w:r>
      <w:r w:rsidR="00DD4F72" w:rsidRPr="00BA2D8E">
        <w:rPr>
          <w:color w:val="000000" w:themeColor="text1"/>
          <w:sz w:val="24"/>
          <w:szCs w:val="24"/>
        </w:rPr>
        <w:t xml:space="preserve">due to </w:t>
      </w:r>
      <w:r w:rsidR="004B0DB4" w:rsidRPr="00BA2D8E">
        <w:rPr>
          <w:color w:val="000000" w:themeColor="text1"/>
          <w:sz w:val="24"/>
          <w:szCs w:val="24"/>
        </w:rPr>
        <w:t xml:space="preserve">the impact of </w:t>
      </w:r>
      <w:r w:rsidR="00DD4F72" w:rsidRPr="00BA2D8E">
        <w:rPr>
          <w:color w:val="000000" w:themeColor="text1"/>
          <w:sz w:val="24"/>
          <w:szCs w:val="24"/>
        </w:rPr>
        <w:t xml:space="preserve">an action or inaction </w:t>
      </w:r>
      <w:r w:rsidR="004B0DB4" w:rsidRPr="00BA2D8E">
        <w:rPr>
          <w:color w:val="000000" w:themeColor="text1"/>
          <w:sz w:val="24"/>
          <w:szCs w:val="24"/>
        </w:rPr>
        <w:t xml:space="preserve">of another person, and any harm the child has experienced or may be at risk of experiencing (Public Health England). </w:t>
      </w:r>
    </w:p>
    <w:p w14:paraId="30D33605" w14:textId="106B7137" w:rsidR="004D57A0" w:rsidRPr="00BA2D8E" w:rsidRDefault="004D57A0" w:rsidP="00211695">
      <w:pPr>
        <w:overflowPunct/>
        <w:autoSpaceDE/>
        <w:autoSpaceDN/>
        <w:adjustRightInd/>
        <w:textAlignment w:val="auto"/>
        <w:rPr>
          <w:color w:val="000000" w:themeColor="text1"/>
          <w:sz w:val="24"/>
          <w:szCs w:val="24"/>
        </w:rPr>
      </w:pPr>
    </w:p>
    <w:p w14:paraId="7E852469" w14:textId="77777777" w:rsidR="005355A5" w:rsidRPr="00BA2D8E" w:rsidRDefault="005355A5" w:rsidP="00211695">
      <w:pPr>
        <w:overflowPunct/>
        <w:autoSpaceDE/>
        <w:autoSpaceDN/>
        <w:adjustRightInd/>
        <w:textAlignment w:val="auto"/>
        <w:rPr>
          <w:color w:val="000000" w:themeColor="text1"/>
          <w:sz w:val="24"/>
          <w:szCs w:val="24"/>
        </w:rPr>
      </w:pPr>
    </w:p>
    <w:p w14:paraId="5E62674F" w14:textId="2CCD1A6E" w:rsidR="004520BA" w:rsidRPr="00BA2D8E" w:rsidRDefault="00BE3655" w:rsidP="004520BA">
      <w:pPr>
        <w:overflowPunct/>
        <w:autoSpaceDE/>
        <w:autoSpaceDN/>
        <w:adjustRightInd/>
        <w:textAlignment w:val="auto"/>
        <w:rPr>
          <w:color w:val="000000" w:themeColor="text1"/>
          <w:sz w:val="24"/>
          <w:szCs w:val="24"/>
        </w:rPr>
      </w:pPr>
      <w:r w:rsidRPr="00BA2D8E">
        <w:rPr>
          <w:color w:val="000000" w:themeColor="text1"/>
          <w:sz w:val="24"/>
          <w:szCs w:val="24"/>
        </w:rPr>
        <w:t xml:space="preserve">The first approach used to support this vulnerable victim during the investigative process was simply to speak to the victim, introduce myself as the Officer in Case </w:t>
      </w:r>
      <w:r w:rsidR="00025C31" w:rsidRPr="00BA2D8E">
        <w:rPr>
          <w:color w:val="000000" w:themeColor="text1"/>
          <w:sz w:val="24"/>
          <w:szCs w:val="24"/>
        </w:rPr>
        <w:t xml:space="preserve">(OIC) </w:t>
      </w:r>
      <w:r w:rsidRPr="00BA2D8E">
        <w:rPr>
          <w:color w:val="000000" w:themeColor="text1"/>
          <w:sz w:val="24"/>
          <w:szCs w:val="24"/>
        </w:rPr>
        <w:t xml:space="preserve">and explain </w:t>
      </w:r>
      <w:r w:rsidR="000258C2" w:rsidRPr="00BA2D8E">
        <w:rPr>
          <w:color w:val="000000" w:themeColor="text1"/>
          <w:sz w:val="24"/>
          <w:szCs w:val="24"/>
        </w:rPr>
        <w:t>t</w:t>
      </w:r>
      <w:r w:rsidRPr="00BA2D8E">
        <w:rPr>
          <w:color w:val="000000" w:themeColor="text1"/>
          <w:sz w:val="24"/>
          <w:szCs w:val="24"/>
        </w:rPr>
        <w:t>o</w:t>
      </w:r>
      <w:r w:rsidR="00025C31" w:rsidRPr="00BA2D8E">
        <w:rPr>
          <w:color w:val="000000" w:themeColor="text1"/>
          <w:sz w:val="24"/>
          <w:szCs w:val="24"/>
        </w:rPr>
        <w:t xml:space="preserve"> the</w:t>
      </w:r>
      <w:r w:rsidRPr="00BA2D8E">
        <w:rPr>
          <w:color w:val="000000" w:themeColor="text1"/>
          <w:sz w:val="24"/>
          <w:szCs w:val="24"/>
        </w:rPr>
        <w:t xml:space="preserve"> victim the process of an investigation</w:t>
      </w:r>
      <w:r w:rsidR="003179AA" w:rsidRPr="00BA2D8E">
        <w:rPr>
          <w:color w:val="000000" w:themeColor="text1"/>
          <w:sz w:val="24"/>
          <w:szCs w:val="24"/>
        </w:rPr>
        <w:t>. If the process of an investigation</w:t>
      </w:r>
      <w:r w:rsidR="000258C2" w:rsidRPr="00BA2D8E">
        <w:rPr>
          <w:color w:val="000000" w:themeColor="text1"/>
          <w:sz w:val="24"/>
          <w:szCs w:val="24"/>
        </w:rPr>
        <w:t xml:space="preserve"> is not explained to the victim</w:t>
      </w:r>
      <w:r w:rsidR="003179AA" w:rsidRPr="00BA2D8E">
        <w:rPr>
          <w:color w:val="000000" w:themeColor="text1"/>
          <w:sz w:val="24"/>
          <w:szCs w:val="24"/>
        </w:rPr>
        <w:t>,</w:t>
      </w:r>
      <w:r w:rsidR="000258C2" w:rsidRPr="00BA2D8E">
        <w:rPr>
          <w:color w:val="000000" w:themeColor="text1"/>
          <w:sz w:val="24"/>
          <w:szCs w:val="24"/>
        </w:rPr>
        <w:t xml:space="preserve"> it further adds to victim distress (Newburn and Merry, 1990).</w:t>
      </w:r>
      <w:r w:rsidRPr="00BA2D8E">
        <w:rPr>
          <w:color w:val="000000" w:themeColor="text1"/>
          <w:sz w:val="24"/>
          <w:szCs w:val="24"/>
        </w:rPr>
        <w:t xml:space="preserve"> </w:t>
      </w:r>
      <w:r w:rsidR="00025C31" w:rsidRPr="00BA2D8E">
        <w:rPr>
          <w:color w:val="000000" w:themeColor="text1"/>
          <w:sz w:val="24"/>
          <w:szCs w:val="24"/>
        </w:rPr>
        <w:t xml:space="preserve">A study conducted by Button et al (2006) found that one of the most common needs of the victim was a single point of contact (SPOC), and by introducing myself as the OIC and providing my contact details, I am meeting that need of the victim by being their SPOC. </w:t>
      </w:r>
      <w:r w:rsidR="006D54C1" w:rsidRPr="00BA2D8E">
        <w:rPr>
          <w:color w:val="000000" w:themeColor="text1"/>
          <w:sz w:val="24"/>
          <w:szCs w:val="24"/>
        </w:rPr>
        <w:t>Meeting these particular needs is a fundamental part of supporting a vulnerable person throughout the investigative process. As the victim is provided with a SPOC, they know who they are able to contact throughout the investigative process, as well as develop a rapport with that SPOC, enabling them to make contact regarding any questions they have.</w:t>
      </w:r>
      <w:r w:rsidR="004520BA" w:rsidRPr="00BA2D8E">
        <w:rPr>
          <w:color w:val="000000" w:themeColor="text1"/>
          <w:sz w:val="24"/>
          <w:szCs w:val="24"/>
        </w:rPr>
        <w:t xml:space="preserve"> Furthermore, a study by Maguire and Kynch (2000) states that receiving regular updates on the progress of the case throughout the investigation is a particular need of the victim. Throughout the investigative process, the victim was regularly updated as per the frequency of updates requested by the victim during our first conversation. </w:t>
      </w:r>
      <w:r w:rsidR="00A47F83" w:rsidRPr="00BA2D8E">
        <w:rPr>
          <w:color w:val="000000" w:themeColor="text1"/>
          <w:sz w:val="24"/>
          <w:szCs w:val="24"/>
        </w:rPr>
        <w:t xml:space="preserve">Updating a victim should be priority for officers and can support the victim through the investigative process. </w:t>
      </w:r>
    </w:p>
    <w:p w14:paraId="00221805" w14:textId="7BF03128" w:rsidR="004520BA" w:rsidRPr="00BA2D8E" w:rsidRDefault="004520BA" w:rsidP="004520BA">
      <w:pPr>
        <w:overflowPunct/>
        <w:autoSpaceDE/>
        <w:autoSpaceDN/>
        <w:adjustRightInd/>
        <w:textAlignment w:val="auto"/>
        <w:rPr>
          <w:color w:val="000000" w:themeColor="text1"/>
          <w:sz w:val="24"/>
          <w:szCs w:val="24"/>
        </w:rPr>
      </w:pPr>
    </w:p>
    <w:p w14:paraId="38428D68" w14:textId="370034E2" w:rsidR="006D54C1" w:rsidRPr="00BA2D8E" w:rsidRDefault="006D54C1" w:rsidP="00211695">
      <w:pPr>
        <w:overflowPunct/>
        <w:autoSpaceDE/>
        <w:autoSpaceDN/>
        <w:adjustRightInd/>
        <w:textAlignment w:val="auto"/>
        <w:rPr>
          <w:color w:val="000000" w:themeColor="text1"/>
          <w:sz w:val="24"/>
          <w:szCs w:val="24"/>
        </w:rPr>
      </w:pPr>
    </w:p>
    <w:p w14:paraId="07D62909" w14:textId="77777777" w:rsidR="006D54C1" w:rsidRPr="00BA2D8E" w:rsidRDefault="006D54C1" w:rsidP="00211695">
      <w:pPr>
        <w:overflowPunct/>
        <w:autoSpaceDE/>
        <w:autoSpaceDN/>
        <w:adjustRightInd/>
        <w:textAlignment w:val="auto"/>
        <w:rPr>
          <w:color w:val="000000" w:themeColor="text1"/>
          <w:sz w:val="24"/>
          <w:szCs w:val="24"/>
        </w:rPr>
      </w:pPr>
    </w:p>
    <w:p w14:paraId="2E63AC66" w14:textId="77777777" w:rsidR="006D54C1" w:rsidRPr="00BA2D8E" w:rsidRDefault="006D54C1" w:rsidP="00211695">
      <w:pPr>
        <w:overflowPunct/>
        <w:autoSpaceDE/>
        <w:autoSpaceDN/>
        <w:adjustRightInd/>
        <w:textAlignment w:val="auto"/>
        <w:rPr>
          <w:color w:val="000000" w:themeColor="text1"/>
          <w:sz w:val="24"/>
          <w:szCs w:val="24"/>
        </w:rPr>
      </w:pPr>
    </w:p>
    <w:p w14:paraId="5945B655" w14:textId="5C2E9A53" w:rsidR="001A11CF" w:rsidRPr="00BA2D8E" w:rsidRDefault="00025C31" w:rsidP="00211695">
      <w:pPr>
        <w:overflowPunct/>
        <w:autoSpaceDE/>
        <w:autoSpaceDN/>
        <w:adjustRightInd/>
        <w:textAlignment w:val="auto"/>
        <w:rPr>
          <w:color w:val="000000" w:themeColor="text1"/>
          <w:sz w:val="24"/>
          <w:szCs w:val="24"/>
        </w:rPr>
      </w:pPr>
      <w:r w:rsidRPr="00BA2D8E">
        <w:rPr>
          <w:color w:val="000000" w:themeColor="text1"/>
          <w:sz w:val="24"/>
          <w:szCs w:val="24"/>
        </w:rPr>
        <w:t xml:space="preserve">Another </w:t>
      </w:r>
      <w:r w:rsidR="00395892" w:rsidRPr="00BA2D8E">
        <w:rPr>
          <w:color w:val="000000" w:themeColor="text1"/>
          <w:sz w:val="24"/>
          <w:szCs w:val="24"/>
        </w:rPr>
        <w:t xml:space="preserve">important </w:t>
      </w:r>
      <w:r w:rsidRPr="00BA2D8E">
        <w:rPr>
          <w:color w:val="000000" w:themeColor="text1"/>
          <w:sz w:val="24"/>
          <w:szCs w:val="24"/>
        </w:rPr>
        <w:t xml:space="preserve">need for the victim is to have emotional support (Ten Boom and Kuijpers, 2012). </w:t>
      </w:r>
      <w:r w:rsidR="006C6FDB" w:rsidRPr="00BA2D8E">
        <w:rPr>
          <w:color w:val="000000" w:themeColor="text1"/>
          <w:sz w:val="24"/>
          <w:szCs w:val="24"/>
        </w:rPr>
        <w:t>Stueping (1984) states that the need for emotional support for a victim is needed immediately after the offence</w:t>
      </w:r>
      <w:r w:rsidR="004520BA" w:rsidRPr="00BA2D8E">
        <w:rPr>
          <w:color w:val="000000" w:themeColor="text1"/>
          <w:sz w:val="24"/>
          <w:szCs w:val="24"/>
        </w:rPr>
        <w:t>, and Dinisman et al (2017) states that victims also need support on evenings and weekends, as well as long term support</w:t>
      </w:r>
      <w:r w:rsidR="006C6FDB" w:rsidRPr="00BA2D8E">
        <w:rPr>
          <w:color w:val="000000" w:themeColor="text1"/>
          <w:sz w:val="24"/>
          <w:szCs w:val="24"/>
        </w:rPr>
        <w:t xml:space="preserve">. Furthermore, a study by Hansen et al (2010) found that being a victim of crime negatively effects: intimate relationships, </w:t>
      </w:r>
      <w:r w:rsidR="005C36EE" w:rsidRPr="00BA2D8E">
        <w:rPr>
          <w:color w:val="000000" w:themeColor="text1"/>
          <w:sz w:val="24"/>
          <w:szCs w:val="24"/>
        </w:rPr>
        <w:t xml:space="preserve">the ability to parent, </w:t>
      </w:r>
      <w:r w:rsidR="006C6FDB" w:rsidRPr="00BA2D8E">
        <w:rPr>
          <w:color w:val="000000" w:themeColor="text1"/>
          <w:sz w:val="24"/>
          <w:szCs w:val="24"/>
        </w:rPr>
        <w:t xml:space="preserve">employment, social functioning, social relationships, life satisfaction and wellbeing, and their physical </w:t>
      </w:r>
      <w:r w:rsidR="006C6FDB" w:rsidRPr="00BA2D8E">
        <w:rPr>
          <w:color w:val="000000" w:themeColor="text1"/>
          <w:sz w:val="24"/>
          <w:szCs w:val="24"/>
        </w:rPr>
        <w:lastRenderedPageBreak/>
        <w:t xml:space="preserve">and psychological wellbeing. Whilst police officers are not trained to provide victims with that level of support, there are </w:t>
      </w:r>
      <w:r w:rsidR="004520BA" w:rsidRPr="00BA2D8E">
        <w:rPr>
          <w:color w:val="000000" w:themeColor="text1"/>
          <w:sz w:val="24"/>
          <w:szCs w:val="24"/>
        </w:rPr>
        <w:t xml:space="preserve">referrals in which officers can complete. The victim needs assessment was completed and as the victim is vulnerable, she is entitled to enhanced victim rights as highlighted in the Victims Code of Practice. The victim was referred to the South Wales Victim Focus, Victim Support, </w:t>
      </w:r>
      <w:r w:rsidR="00A47F83" w:rsidRPr="00BA2D8E">
        <w:rPr>
          <w:color w:val="000000" w:themeColor="text1"/>
          <w:sz w:val="24"/>
          <w:szCs w:val="24"/>
        </w:rPr>
        <w:t xml:space="preserve">and </w:t>
      </w:r>
      <w:r w:rsidR="004520BA" w:rsidRPr="00BA2D8E">
        <w:rPr>
          <w:color w:val="000000" w:themeColor="text1"/>
          <w:sz w:val="24"/>
          <w:szCs w:val="24"/>
        </w:rPr>
        <w:t>Women’s Aid</w:t>
      </w:r>
      <w:r w:rsidR="00A47F83" w:rsidRPr="00BA2D8E">
        <w:rPr>
          <w:color w:val="000000" w:themeColor="text1"/>
          <w:sz w:val="24"/>
          <w:szCs w:val="24"/>
        </w:rPr>
        <w:t>,</w:t>
      </w:r>
      <w:r w:rsidR="004520BA" w:rsidRPr="00BA2D8E">
        <w:rPr>
          <w:color w:val="000000" w:themeColor="text1"/>
          <w:sz w:val="24"/>
          <w:szCs w:val="24"/>
        </w:rPr>
        <w:t xml:space="preserve"> as well as Public Protection Notices being shared with appropriate third parties. </w:t>
      </w:r>
      <w:r w:rsidR="00E26575" w:rsidRPr="00BA2D8E">
        <w:rPr>
          <w:color w:val="000000" w:themeColor="text1"/>
          <w:sz w:val="24"/>
          <w:szCs w:val="24"/>
        </w:rPr>
        <w:t>With these third parties, vulnerable individuals may have multiple and complex needs requiring a multi-agency approach (Home Office).</w:t>
      </w:r>
      <w:r w:rsidR="00D60B13" w:rsidRPr="00BA2D8E">
        <w:rPr>
          <w:color w:val="000000" w:themeColor="text1"/>
          <w:sz w:val="24"/>
          <w:szCs w:val="24"/>
        </w:rPr>
        <w:t xml:space="preserve"> The Home Office also states,</w:t>
      </w:r>
      <w:r w:rsidR="00E26575" w:rsidRPr="00BA2D8E">
        <w:rPr>
          <w:color w:val="000000" w:themeColor="text1"/>
          <w:sz w:val="24"/>
          <w:szCs w:val="24"/>
        </w:rPr>
        <w:t xml:space="preserve"> </w:t>
      </w:r>
      <w:r w:rsidR="00D60B13" w:rsidRPr="00BA2D8E">
        <w:rPr>
          <w:color w:val="000000" w:themeColor="text1"/>
          <w:sz w:val="24"/>
          <w:szCs w:val="24"/>
        </w:rPr>
        <w:t>‘One of the most common multi agency models adopted by local partners is the Multi Agency Safeguarding Hub (MASH), with a focus on safeguarding children and vulnerable adults’. In the UK, there has been a growing number of safeguarding referrals to social services (Beadle-Brown et al., 2010), and 5% of all referrals made in 2010-2011 were submitted by police officers (National Health Service</w:t>
      </w:r>
      <w:r w:rsidR="001A11CF" w:rsidRPr="00BA2D8E">
        <w:rPr>
          <w:color w:val="000000" w:themeColor="text1"/>
          <w:sz w:val="24"/>
          <w:szCs w:val="24"/>
        </w:rPr>
        <w:t>,</w:t>
      </w:r>
      <w:r w:rsidR="00D60B13" w:rsidRPr="00BA2D8E">
        <w:rPr>
          <w:color w:val="000000" w:themeColor="text1"/>
          <w:sz w:val="24"/>
          <w:szCs w:val="24"/>
        </w:rPr>
        <w:t xml:space="preserve"> 2012). </w:t>
      </w:r>
      <w:r w:rsidR="00E26575" w:rsidRPr="00BA2D8E">
        <w:rPr>
          <w:color w:val="000000" w:themeColor="text1"/>
          <w:sz w:val="24"/>
          <w:szCs w:val="24"/>
        </w:rPr>
        <w:t xml:space="preserve">There are many, many available support groups </w:t>
      </w:r>
      <w:r w:rsidR="001A11CF" w:rsidRPr="00BA2D8E">
        <w:rPr>
          <w:color w:val="000000" w:themeColor="text1"/>
          <w:sz w:val="24"/>
          <w:szCs w:val="24"/>
        </w:rPr>
        <w:t xml:space="preserve">and agencies </w:t>
      </w:r>
      <w:r w:rsidR="00E26575" w:rsidRPr="00BA2D8E">
        <w:rPr>
          <w:color w:val="000000" w:themeColor="text1"/>
          <w:sz w:val="24"/>
          <w:szCs w:val="24"/>
        </w:rPr>
        <w:t>that can provide support to vulnerable victims of crime better than police can and they are often utilized by officers. Each victim has their own individual needs and some of these needs are met by different support agencies, and these can reduce the negative impact of crime on vulnerable victims</w:t>
      </w:r>
      <w:r w:rsidR="00A47F83" w:rsidRPr="00BA2D8E">
        <w:rPr>
          <w:color w:val="000000" w:themeColor="text1"/>
          <w:sz w:val="24"/>
          <w:szCs w:val="24"/>
        </w:rPr>
        <w:t>, as well as support them through the investigative process</w:t>
      </w:r>
      <w:r w:rsidR="00E26575" w:rsidRPr="00BA2D8E">
        <w:rPr>
          <w:color w:val="000000" w:themeColor="text1"/>
          <w:sz w:val="24"/>
          <w:szCs w:val="24"/>
        </w:rPr>
        <w:t>. However, as each victim has their own individual needs, and as crime effects every person differently, it is difficult to accommodate every person’s needs. Victim support, particularly for vulnerable victims could be greatly improve</w:t>
      </w:r>
      <w:r w:rsidR="00A47F83" w:rsidRPr="00BA2D8E">
        <w:rPr>
          <w:color w:val="000000" w:themeColor="text1"/>
          <w:sz w:val="24"/>
          <w:szCs w:val="24"/>
        </w:rPr>
        <w:t>d by providing support for different area as to how they are affected.</w:t>
      </w:r>
      <w:r w:rsidR="001A11CF" w:rsidRPr="00BA2D8E">
        <w:rPr>
          <w:color w:val="000000" w:themeColor="text1"/>
          <w:sz w:val="24"/>
          <w:szCs w:val="24"/>
        </w:rPr>
        <w:t xml:space="preserve"> Dinisman et al (2017) also states that victims of crime expressed the need to their experience with people who have also been the victims of similar crime. There are little to no groups that offer this support to vulnerable victims, and as that is highlighted as an expressed need by victims, agencies are failing to support the victim in this area. </w:t>
      </w:r>
      <w:r w:rsidR="00A47F83" w:rsidRPr="00BA2D8E">
        <w:rPr>
          <w:color w:val="000000" w:themeColor="text1"/>
          <w:sz w:val="24"/>
          <w:szCs w:val="24"/>
        </w:rPr>
        <w:t xml:space="preserve">Due to the complexity of offering tailored support, it is difficult to fully meet the needs of vulnerable victims, although more research and support should be provided. Tackling the incidents at source by preventing crimes may be an approach that could be used. </w:t>
      </w:r>
      <w:r w:rsidR="007C6AEE" w:rsidRPr="00BA2D8E">
        <w:rPr>
          <w:color w:val="000000" w:themeColor="text1"/>
          <w:sz w:val="24"/>
          <w:szCs w:val="24"/>
        </w:rPr>
        <w:t>During this investigation, I asked local police officers and PCSO’s to conduct high visibility patrols in the area. This may be useful for prevention of further crimes being committed against the victim. That approach and further approaches such as</w:t>
      </w:r>
      <w:r w:rsidR="00A47F83" w:rsidRPr="00BA2D8E">
        <w:rPr>
          <w:color w:val="000000" w:themeColor="text1"/>
          <w:sz w:val="24"/>
          <w:szCs w:val="24"/>
        </w:rPr>
        <w:t xml:space="preserve"> providing information, and further supportive approaches by other agencies for vulnerable people may help reduce the number of vulnerable victims of crime. </w:t>
      </w:r>
    </w:p>
    <w:p w14:paraId="42583192" w14:textId="77777777" w:rsidR="006D54C1" w:rsidRPr="00BA2D8E" w:rsidRDefault="006D54C1" w:rsidP="00211695">
      <w:pPr>
        <w:overflowPunct/>
        <w:autoSpaceDE/>
        <w:autoSpaceDN/>
        <w:adjustRightInd/>
        <w:textAlignment w:val="auto"/>
        <w:rPr>
          <w:color w:val="000000" w:themeColor="text1"/>
          <w:sz w:val="24"/>
          <w:szCs w:val="24"/>
        </w:rPr>
      </w:pPr>
    </w:p>
    <w:p w14:paraId="63577770" w14:textId="77777777" w:rsidR="006D54C1" w:rsidRPr="00BA2D8E" w:rsidRDefault="006D54C1" w:rsidP="00211695">
      <w:pPr>
        <w:overflowPunct/>
        <w:autoSpaceDE/>
        <w:autoSpaceDN/>
        <w:adjustRightInd/>
        <w:textAlignment w:val="auto"/>
        <w:rPr>
          <w:color w:val="000000" w:themeColor="text1"/>
          <w:sz w:val="24"/>
          <w:szCs w:val="24"/>
        </w:rPr>
      </w:pPr>
    </w:p>
    <w:p w14:paraId="1AC85BCD" w14:textId="77777777" w:rsidR="0064537E" w:rsidRPr="00BA2D8E" w:rsidRDefault="0064537E" w:rsidP="00211695">
      <w:pPr>
        <w:overflowPunct/>
        <w:autoSpaceDE/>
        <w:autoSpaceDN/>
        <w:adjustRightInd/>
        <w:textAlignment w:val="auto"/>
        <w:rPr>
          <w:color w:val="000000" w:themeColor="text1"/>
          <w:sz w:val="24"/>
          <w:szCs w:val="24"/>
        </w:rPr>
      </w:pPr>
    </w:p>
    <w:p w14:paraId="0D7B8832" w14:textId="2E4E44FA" w:rsidR="00A23332" w:rsidRPr="00BA2D8E" w:rsidRDefault="0064537E" w:rsidP="00A23332">
      <w:pPr>
        <w:rPr>
          <w:color w:val="000000" w:themeColor="text1"/>
          <w:sz w:val="24"/>
          <w:szCs w:val="24"/>
        </w:rPr>
      </w:pPr>
      <w:r w:rsidRPr="00BA2D8E">
        <w:rPr>
          <w:color w:val="000000" w:themeColor="text1"/>
          <w:sz w:val="24"/>
          <w:szCs w:val="24"/>
        </w:rPr>
        <w:t xml:space="preserve">According to Dinsiman et al (2017), 80.7% of all victims of crime surveyed said that their sense of safety and security was negatively affected after being a victim of crime. </w:t>
      </w:r>
      <w:r w:rsidR="00B26254" w:rsidRPr="00BA2D8E">
        <w:rPr>
          <w:color w:val="000000" w:themeColor="text1"/>
          <w:sz w:val="24"/>
          <w:szCs w:val="24"/>
        </w:rPr>
        <w:t xml:space="preserve">Police officers have powers under sections 30A, 34, 37 and 38 of the Police and Criminal Evidence Act 1984 (PACE), to impose bail conditions on suspects/defendants post arrest. </w:t>
      </w:r>
      <w:r w:rsidR="00A23332" w:rsidRPr="00BA2D8E">
        <w:rPr>
          <w:color w:val="000000" w:themeColor="text1"/>
          <w:sz w:val="24"/>
          <w:szCs w:val="24"/>
        </w:rPr>
        <w:t>With vulnerable victims, the National Police Chief’s Council (NPCC) state that, ‘If a suspect has been arrested in connection with an offence involving vulnerable people or domestic abuse then serious consideration must be given to the use of bail with conditions in order to safeguard victims’. According to Anthea Hucklesby (2024), if any alleged offences raised safeguarding concerns and/or had a victim, conditional bail would be used, and that conditions of bail are used to safeguard the victims.</w:t>
      </w:r>
      <w:r w:rsidR="00B26254" w:rsidRPr="00BA2D8E">
        <w:rPr>
          <w:color w:val="000000" w:themeColor="text1"/>
        </w:rPr>
        <w:t xml:space="preserve"> </w:t>
      </w:r>
      <w:r w:rsidR="00B26254" w:rsidRPr="00BA2D8E">
        <w:rPr>
          <w:color w:val="000000" w:themeColor="text1"/>
          <w:sz w:val="24"/>
          <w:szCs w:val="24"/>
        </w:rPr>
        <w:t xml:space="preserve">Most suspects had one or two types of conditions imposed: most frequently, not to approach victims/witnesses and to keep away from victims’ addresses (Anthea Hucklesby 2024). </w:t>
      </w:r>
      <w:r w:rsidR="00A23332" w:rsidRPr="00BA2D8E">
        <w:rPr>
          <w:color w:val="000000" w:themeColor="text1"/>
          <w:sz w:val="24"/>
          <w:szCs w:val="24"/>
        </w:rPr>
        <w:t xml:space="preserve">In order to safeguard </w:t>
      </w:r>
      <w:r w:rsidR="00A23332" w:rsidRPr="00BA2D8E">
        <w:rPr>
          <w:color w:val="000000" w:themeColor="text1"/>
          <w:sz w:val="24"/>
          <w:szCs w:val="24"/>
        </w:rPr>
        <w:lastRenderedPageBreak/>
        <w:t xml:space="preserve">vulnerable victims, officers can utilize their powers of police bail post a suspect’s release from custody by imposing bail conditions such as: Not to contact a victim directly or indirectly, not to attend the victims address, not to attend an area (often stated by a map), or not to enter any building that they may reasonably believe the victim to be in. </w:t>
      </w:r>
      <w:r w:rsidR="00820A99" w:rsidRPr="00BA2D8E">
        <w:rPr>
          <w:color w:val="000000" w:themeColor="text1"/>
          <w:sz w:val="24"/>
          <w:szCs w:val="24"/>
        </w:rPr>
        <w:t>These conditions are used to safeguard the victim by imposing conditions on the suspect that prohibits contact with the victim</w:t>
      </w:r>
      <w:r w:rsidR="00B26254" w:rsidRPr="00BA2D8E">
        <w:rPr>
          <w:color w:val="000000" w:themeColor="text1"/>
          <w:sz w:val="24"/>
          <w:szCs w:val="24"/>
        </w:rPr>
        <w:t xml:space="preserve"> and likelihood they will come into contact with the victim</w:t>
      </w:r>
      <w:r w:rsidR="00820A99" w:rsidRPr="00BA2D8E">
        <w:rPr>
          <w:color w:val="000000" w:themeColor="text1"/>
          <w:sz w:val="24"/>
          <w:szCs w:val="24"/>
        </w:rPr>
        <w:t xml:space="preserve">, and if those conditions are breached, the suspect will then be liable for arrest under PACE 1984. </w:t>
      </w:r>
      <w:r w:rsidR="00B26254" w:rsidRPr="00BA2D8E">
        <w:rPr>
          <w:color w:val="000000" w:themeColor="text1"/>
          <w:sz w:val="24"/>
          <w:szCs w:val="24"/>
        </w:rPr>
        <w:t>By imposing necessary and proportionate bail conditions,</w:t>
      </w:r>
      <w:r w:rsidR="000F693A" w:rsidRPr="00BA2D8E">
        <w:rPr>
          <w:color w:val="000000" w:themeColor="text1"/>
          <w:sz w:val="24"/>
          <w:szCs w:val="24"/>
        </w:rPr>
        <w:t xml:space="preserve"> officers are safeguarding victims. E</w:t>
      </w:r>
      <w:r w:rsidR="00B26254" w:rsidRPr="00BA2D8E">
        <w:rPr>
          <w:color w:val="000000" w:themeColor="text1"/>
          <w:sz w:val="24"/>
          <w:szCs w:val="24"/>
        </w:rPr>
        <w:t xml:space="preserve">ffective safeguarding </w:t>
      </w:r>
      <w:r w:rsidR="000F693A" w:rsidRPr="00BA2D8E">
        <w:rPr>
          <w:color w:val="000000" w:themeColor="text1"/>
          <w:sz w:val="24"/>
          <w:szCs w:val="24"/>
        </w:rPr>
        <w:t>enables people, particularly vulnerable people, to live</w:t>
      </w:r>
      <w:r w:rsidR="000F693A" w:rsidRPr="00BA2D8E">
        <w:rPr>
          <w:color w:val="000000" w:themeColor="text1"/>
          <w:sz w:val="32"/>
          <w:szCs w:val="32"/>
        </w:rPr>
        <w:t xml:space="preserve"> </w:t>
      </w:r>
      <w:r w:rsidR="000F693A" w:rsidRPr="00BA2D8E">
        <w:rPr>
          <w:color w:val="000000" w:themeColor="text1"/>
          <w:sz w:val="24"/>
          <w:szCs w:val="24"/>
        </w:rPr>
        <w:t xml:space="preserve">free from fear of abuse, harm or neglect (Chambers et al, 2021). </w:t>
      </w:r>
      <w:r w:rsidR="00AF1368" w:rsidRPr="00BA2D8E">
        <w:rPr>
          <w:color w:val="000000" w:themeColor="text1"/>
          <w:sz w:val="24"/>
          <w:szCs w:val="24"/>
        </w:rPr>
        <w:t xml:space="preserve">The victims are always made aware of the bail conditions imposed on the suspect, and they also have a say in what conditions they would like imposed. </w:t>
      </w:r>
      <w:r w:rsidR="00027089" w:rsidRPr="00BA2D8E">
        <w:rPr>
          <w:color w:val="000000" w:themeColor="text1"/>
          <w:sz w:val="24"/>
          <w:szCs w:val="24"/>
        </w:rPr>
        <w:t xml:space="preserve">During the investigation I am writing about, the two bail conditions on the suspect were to not contact the victim directly or indirectly, and not to attend her </w:t>
      </w:r>
      <w:r w:rsidR="00552250" w:rsidRPr="00BA2D8E">
        <w:rPr>
          <w:color w:val="000000" w:themeColor="text1"/>
          <w:sz w:val="24"/>
          <w:szCs w:val="24"/>
        </w:rPr>
        <w:t>street</w:t>
      </w:r>
      <w:r w:rsidR="00027089" w:rsidRPr="00BA2D8E">
        <w:rPr>
          <w:color w:val="000000" w:themeColor="text1"/>
          <w:sz w:val="24"/>
          <w:szCs w:val="24"/>
        </w:rPr>
        <w:t xml:space="preserve">. </w:t>
      </w:r>
      <w:r w:rsidR="00AF1368" w:rsidRPr="00BA2D8E">
        <w:rPr>
          <w:color w:val="000000" w:themeColor="text1"/>
          <w:sz w:val="24"/>
          <w:szCs w:val="24"/>
        </w:rPr>
        <w:t xml:space="preserve">This approach supports vulnerable victims during the investigative process by effectively safeguarding them and giving them an ease of mind, with hope to reducing the stress and fear of coming into contact with the suspect. Whilst bail conditions are a great approach, they do have their downsides. Afterall, not everyone who has bail conditions imposed on them adhere to those conditions. </w:t>
      </w:r>
      <w:r w:rsidR="00254EBF" w:rsidRPr="00BA2D8E">
        <w:rPr>
          <w:color w:val="000000" w:themeColor="text1"/>
          <w:sz w:val="24"/>
          <w:szCs w:val="24"/>
        </w:rPr>
        <w:t xml:space="preserve">Convictions for breaches of bail have increased overall, contrary to the aim of the reforms to reduce breach. This perhaps suggests that bail is not being taken seriously by accused (Scottish Government, 2012). If breaches of bail are reported then the suspect is liable for arrest under PACE 1984, however, in the study conducted by Anthea Hucklesby 2024, police officers stated that people who breach bail conditions should have greater consequences. This suggests that consequences for breaches of bail are not appropriate and effective at deterring breaches of bail. Bail conditions are used to safeguard victims however, if a person breaches bail and doesn’t receive appropriate consequences, there is no deterrent for them to not breach imposed conditions, which negatively effects the safeguarding for the vulnerable victims. There needs to be further considerations taken by the court into the impact of the crime on the victim, and the impact of the breach, and more severe consequences should be used accordingly to better safeguard the victim. </w:t>
      </w:r>
    </w:p>
    <w:p w14:paraId="44D5DCC0" w14:textId="572495E4" w:rsidR="0064537E" w:rsidRPr="00BA2D8E" w:rsidRDefault="0064537E" w:rsidP="00211695">
      <w:pPr>
        <w:overflowPunct/>
        <w:autoSpaceDE/>
        <w:autoSpaceDN/>
        <w:adjustRightInd/>
        <w:textAlignment w:val="auto"/>
        <w:rPr>
          <w:color w:val="000000" w:themeColor="text1"/>
          <w:sz w:val="24"/>
          <w:szCs w:val="24"/>
        </w:rPr>
      </w:pPr>
    </w:p>
    <w:p w14:paraId="5FA7933B" w14:textId="77777777" w:rsidR="00395892" w:rsidRPr="00BA2D8E" w:rsidRDefault="00395892" w:rsidP="00211695">
      <w:pPr>
        <w:overflowPunct/>
        <w:autoSpaceDE/>
        <w:autoSpaceDN/>
        <w:adjustRightInd/>
        <w:textAlignment w:val="auto"/>
        <w:rPr>
          <w:color w:val="000000" w:themeColor="text1"/>
          <w:sz w:val="24"/>
          <w:szCs w:val="24"/>
        </w:rPr>
      </w:pPr>
    </w:p>
    <w:p w14:paraId="2BD90A43" w14:textId="4742477A" w:rsidR="00395892" w:rsidRPr="00BA2D8E" w:rsidRDefault="00F96AFE" w:rsidP="00211695">
      <w:pPr>
        <w:overflowPunct/>
        <w:autoSpaceDE/>
        <w:autoSpaceDN/>
        <w:adjustRightInd/>
        <w:textAlignment w:val="auto"/>
        <w:rPr>
          <w:color w:val="000000" w:themeColor="text1"/>
          <w:sz w:val="24"/>
          <w:szCs w:val="24"/>
        </w:rPr>
      </w:pPr>
      <w:r w:rsidRPr="00BA2D8E">
        <w:rPr>
          <w:color w:val="000000" w:themeColor="text1"/>
          <w:sz w:val="24"/>
          <w:szCs w:val="24"/>
        </w:rPr>
        <w:t xml:space="preserve">During this investigation, many approaches were used </w:t>
      </w:r>
      <w:r w:rsidR="00BA2D8E" w:rsidRPr="00BA2D8E">
        <w:rPr>
          <w:color w:val="000000" w:themeColor="text1"/>
          <w:sz w:val="24"/>
          <w:szCs w:val="24"/>
        </w:rPr>
        <w:t>to</w:t>
      </w:r>
      <w:r w:rsidRPr="00BA2D8E">
        <w:rPr>
          <w:color w:val="000000" w:themeColor="text1"/>
          <w:sz w:val="24"/>
          <w:szCs w:val="24"/>
        </w:rPr>
        <w:t xml:space="preserve"> prevent repeat victimisation and reoffending. Firstly, repeat victimization occurs when an individual or place is repeatedly targeted for crime or disorder (Tseloni et al, 2005). The first approach used was </w:t>
      </w:r>
      <w:r w:rsidR="00E61AAF" w:rsidRPr="00BA2D8E">
        <w:rPr>
          <w:color w:val="000000" w:themeColor="text1"/>
          <w:sz w:val="24"/>
          <w:szCs w:val="24"/>
        </w:rPr>
        <w:t>the problem-solving approach, where</w:t>
      </w:r>
      <w:r w:rsidRPr="00BA2D8E">
        <w:rPr>
          <w:color w:val="000000" w:themeColor="text1"/>
          <w:sz w:val="24"/>
          <w:szCs w:val="24"/>
        </w:rPr>
        <w:t xml:space="preserve"> advice</w:t>
      </w:r>
      <w:r w:rsidR="00E61AAF" w:rsidRPr="00BA2D8E">
        <w:rPr>
          <w:color w:val="000000" w:themeColor="text1"/>
          <w:sz w:val="24"/>
          <w:szCs w:val="24"/>
        </w:rPr>
        <w:t xml:space="preserve"> was given</w:t>
      </w:r>
      <w:r w:rsidRPr="00BA2D8E">
        <w:rPr>
          <w:color w:val="000000" w:themeColor="text1"/>
          <w:sz w:val="24"/>
          <w:szCs w:val="24"/>
        </w:rPr>
        <w:t xml:space="preserve"> to the victim. As the suspect had climbed in through an unlocked window on the ground floor, advice was given to the victim simply to ensure that all doors and windows were closed and locked, particularly during the night. </w:t>
      </w:r>
      <w:r w:rsidR="00E61AAF" w:rsidRPr="00BA2D8E">
        <w:rPr>
          <w:color w:val="000000" w:themeColor="text1"/>
          <w:sz w:val="24"/>
          <w:szCs w:val="24"/>
        </w:rPr>
        <w:t>Studies</w:t>
      </w:r>
      <w:r w:rsidRPr="00BA2D8E">
        <w:rPr>
          <w:color w:val="000000" w:themeColor="text1"/>
          <w:sz w:val="24"/>
          <w:szCs w:val="24"/>
        </w:rPr>
        <w:t xml:space="preserve"> by Taylor et al (2011), </w:t>
      </w:r>
      <w:r w:rsidR="00E61AAF" w:rsidRPr="00BA2D8E">
        <w:rPr>
          <w:color w:val="000000" w:themeColor="text1"/>
          <w:sz w:val="24"/>
          <w:szCs w:val="24"/>
        </w:rPr>
        <w:t xml:space="preserve">and Hinkle et al (2020), </w:t>
      </w:r>
      <w:r w:rsidRPr="00BA2D8E">
        <w:rPr>
          <w:color w:val="000000" w:themeColor="text1"/>
          <w:sz w:val="24"/>
          <w:szCs w:val="24"/>
        </w:rPr>
        <w:t xml:space="preserve">found that problem </w:t>
      </w:r>
      <w:r w:rsidR="00E61AAF" w:rsidRPr="00BA2D8E">
        <w:rPr>
          <w:color w:val="000000" w:themeColor="text1"/>
          <w:sz w:val="24"/>
          <w:szCs w:val="24"/>
        </w:rPr>
        <w:t>solving was an effective way of reducing a wide range of crimes, including burglary and violent crimes. Another approach that was utilized to reduce repeat victimisation was to ask local officers and PCSO’s to conduct high-visibility patrols around the victim’s area. A systematic review by Braga et al (2019), concluded that hi-visibility patrols were effective in reducing property crimes</w:t>
      </w:r>
      <w:r w:rsidR="00552250" w:rsidRPr="00BA2D8E">
        <w:rPr>
          <w:color w:val="000000" w:themeColor="text1"/>
          <w:sz w:val="24"/>
          <w:szCs w:val="24"/>
        </w:rPr>
        <w:t>. Also used were bail conditions, namely, not to contact the victim and not to attend the victim’s street. Bail conditions can also be used to prevent reoffending. A study by the Scottish Government (2015) states that out of their study, three quarters of persons of bail did not offend whilst on bail.</w:t>
      </w:r>
      <w:r w:rsidR="00BA2D8E" w:rsidRPr="00BA2D8E">
        <w:rPr>
          <w:color w:val="000000" w:themeColor="text1"/>
          <w:sz w:val="24"/>
          <w:szCs w:val="24"/>
        </w:rPr>
        <w:t xml:space="preserve"> Therefore, bail conditions are effective at </w:t>
      </w:r>
      <w:r w:rsidR="00BA2D8E" w:rsidRPr="00BA2D8E">
        <w:rPr>
          <w:color w:val="000000" w:themeColor="text1"/>
          <w:sz w:val="24"/>
          <w:szCs w:val="24"/>
        </w:rPr>
        <w:lastRenderedPageBreak/>
        <w:t xml:space="preserve">preventing reoffending, particularly towards the victim after the conditions were tailored towards the victim and the crimes committed. </w:t>
      </w:r>
    </w:p>
    <w:p w14:paraId="7F040F55" w14:textId="77777777" w:rsidR="00F96AFE" w:rsidRDefault="00F96AFE" w:rsidP="00211695">
      <w:pPr>
        <w:overflowPunct/>
        <w:autoSpaceDE/>
        <w:autoSpaceDN/>
        <w:adjustRightInd/>
        <w:textAlignment w:val="auto"/>
        <w:rPr>
          <w:sz w:val="24"/>
          <w:szCs w:val="24"/>
        </w:rPr>
      </w:pPr>
    </w:p>
    <w:p w14:paraId="31751376" w14:textId="77777777" w:rsidR="00F96AFE" w:rsidRDefault="00F96AFE" w:rsidP="00211695">
      <w:pPr>
        <w:overflowPunct/>
        <w:autoSpaceDE/>
        <w:autoSpaceDN/>
        <w:adjustRightInd/>
        <w:textAlignment w:val="auto"/>
        <w:rPr>
          <w:sz w:val="24"/>
          <w:szCs w:val="24"/>
        </w:rPr>
      </w:pPr>
    </w:p>
    <w:p w14:paraId="6C3D3D20" w14:textId="77777777" w:rsidR="00F96AFE" w:rsidRPr="00025C31" w:rsidRDefault="00F96AFE" w:rsidP="00211695">
      <w:pPr>
        <w:overflowPunct/>
        <w:autoSpaceDE/>
        <w:autoSpaceDN/>
        <w:adjustRightInd/>
        <w:textAlignment w:val="auto"/>
        <w:rPr>
          <w:sz w:val="24"/>
          <w:szCs w:val="24"/>
        </w:rPr>
      </w:pPr>
    </w:p>
    <w:p w14:paraId="4B2DE269" w14:textId="77777777" w:rsidR="009E46B9" w:rsidRDefault="009E46B9" w:rsidP="00211695">
      <w:pPr>
        <w:overflowPunct/>
        <w:autoSpaceDE/>
        <w:autoSpaceDN/>
        <w:adjustRightInd/>
        <w:textAlignment w:val="auto"/>
        <w:rPr>
          <w:b/>
          <w:bCs/>
          <w:sz w:val="24"/>
          <w:szCs w:val="24"/>
        </w:rPr>
      </w:pPr>
    </w:p>
    <w:p w14:paraId="0B9D986F" w14:textId="77777777" w:rsidR="00A23332" w:rsidRDefault="00A23332" w:rsidP="00211695">
      <w:pPr>
        <w:overflowPunct/>
        <w:autoSpaceDE/>
        <w:autoSpaceDN/>
        <w:adjustRightInd/>
        <w:textAlignment w:val="auto"/>
        <w:rPr>
          <w:b/>
          <w:bCs/>
          <w:sz w:val="24"/>
          <w:szCs w:val="24"/>
        </w:rPr>
      </w:pPr>
    </w:p>
    <w:p w14:paraId="2DD6351F" w14:textId="77777777" w:rsidR="00A23332" w:rsidRDefault="00A23332" w:rsidP="00211695">
      <w:pPr>
        <w:overflowPunct/>
        <w:autoSpaceDE/>
        <w:autoSpaceDN/>
        <w:adjustRightInd/>
        <w:textAlignment w:val="auto"/>
        <w:rPr>
          <w:b/>
          <w:bCs/>
          <w:sz w:val="24"/>
          <w:szCs w:val="24"/>
        </w:rPr>
      </w:pPr>
    </w:p>
    <w:p w14:paraId="6C9A561A" w14:textId="4735B0BB" w:rsidR="009E46B9" w:rsidRDefault="00BA2D8E" w:rsidP="00211695">
      <w:pPr>
        <w:overflowPunct/>
        <w:autoSpaceDE/>
        <w:autoSpaceDN/>
        <w:adjustRightInd/>
        <w:textAlignment w:val="auto"/>
        <w:rPr>
          <w:b/>
          <w:bCs/>
          <w:sz w:val="24"/>
          <w:szCs w:val="24"/>
        </w:rPr>
      </w:pPr>
      <w:r>
        <w:rPr>
          <w:b/>
          <w:bCs/>
          <w:sz w:val="24"/>
          <w:szCs w:val="24"/>
        </w:rPr>
        <w:t>Word Count: 2119</w:t>
      </w:r>
    </w:p>
    <w:p w14:paraId="65125DA9" w14:textId="77777777" w:rsidR="00BA2D8E" w:rsidRDefault="00BA2D8E" w:rsidP="00211695">
      <w:pPr>
        <w:overflowPunct/>
        <w:autoSpaceDE/>
        <w:autoSpaceDN/>
        <w:adjustRightInd/>
        <w:textAlignment w:val="auto"/>
        <w:rPr>
          <w:b/>
          <w:bCs/>
          <w:sz w:val="24"/>
          <w:szCs w:val="24"/>
        </w:rPr>
      </w:pPr>
    </w:p>
    <w:p w14:paraId="4089FF65" w14:textId="6DFFFAF5" w:rsidR="0065053F" w:rsidRDefault="0065053F" w:rsidP="00211695">
      <w:pPr>
        <w:overflowPunct/>
        <w:autoSpaceDE/>
        <w:autoSpaceDN/>
        <w:adjustRightInd/>
        <w:textAlignment w:val="auto"/>
        <w:rPr>
          <w:b/>
          <w:bCs/>
          <w:sz w:val="24"/>
          <w:szCs w:val="24"/>
        </w:rPr>
      </w:pPr>
    </w:p>
    <w:p w14:paraId="3CC1A93D" w14:textId="637D3D8C" w:rsidR="0065053F" w:rsidRDefault="0065053F" w:rsidP="00211695">
      <w:pPr>
        <w:overflowPunct/>
        <w:autoSpaceDE/>
        <w:autoSpaceDN/>
        <w:adjustRightInd/>
        <w:textAlignment w:val="auto"/>
        <w:rPr>
          <w:b/>
          <w:bCs/>
          <w:sz w:val="24"/>
          <w:szCs w:val="24"/>
        </w:rPr>
      </w:pPr>
      <w:r>
        <w:rPr>
          <w:b/>
          <w:bCs/>
          <w:sz w:val="24"/>
          <w:szCs w:val="24"/>
        </w:rPr>
        <w:t xml:space="preserve">Task 1 References: </w:t>
      </w:r>
    </w:p>
    <w:p w14:paraId="177791F4" w14:textId="77777777" w:rsidR="0065053F" w:rsidRPr="0065053F" w:rsidRDefault="0065053F" w:rsidP="00211695">
      <w:pPr>
        <w:overflowPunct/>
        <w:autoSpaceDE/>
        <w:autoSpaceDN/>
        <w:adjustRightInd/>
        <w:textAlignment w:val="auto"/>
        <w:rPr>
          <w:b/>
          <w:bCs/>
          <w:sz w:val="32"/>
          <w:szCs w:val="32"/>
        </w:rPr>
      </w:pPr>
    </w:p>
    <w:p w14:paraId="6D935A4E" w14:textId="77777777" w:rsidR="0065053F" w:rsidRPr="0065053F" w:rsidRDefault="0065053F" w:rsidP="0065053F">
      <w:pPr>
        <w:rPr>
          <w:sz w:val="24"/>
          <w:szCs w:val="24"/>
        </w:rPr>
      </w:pPr>
      <w:r w:rsidRPr="0065053F">
        <w:rPr>
          <w:sz w:val="24"/>
          <w:szCs w:val="24"/>
        </w:rPr>
        <w:t xml:space="preserve">Beadle-Brown, J., Mansell, J., Cambridge, P., Milne, A., &amp; Whelton, B. (2010). Adult protection of people with intellectual disabilities: Incidence, nature and responses. Journal of Applied Kjellberg and Berg 15 Research in Intellectual Disabilities, 23(6), 573–584. </w:t>
      </w:r>
      <w:hyperlink r:id="rId15" w:history="1">
        <w:r w:rsidRPr="0065053F">
          <w:rPr>
            <w:rStyle w:val="Hyperlink"/>
            <w:sz w:val="24"/>
            <w:szCs w:val="24"/>
          </w:rPr>
          <w:t>https://doi.org/10.1111/j.1468-3148.2010.00561.x</w:t>
        </w:r>
      </w:hyperlink>
    </w:p>
    <w:p w14:paraId="48FC5E44" w14:textId="77777777" w:rsidR="0065053F" w:rsidRPr="0065053F" w:rsidRDefault="0065053F" w:rsidP="0065053F">
      <w:pPr>
        <w:rPr>
          <w:sz w:val="24"/>
          <w:szCs w:val="24"/>
        </w:rPr>
      </w:pPr>
    </w:p>
    <w:p w14:paraId="22249994" w14:textId="77777777" w:rsidR="0065053F" w:rsidRDefault="0065053F" w:rsidP="0065053F">
      <w:pPr>
        <w:rPr>
          <w:sz w:val="24"/>
          <w:szCs w:val="24"/>
        </w:rPr>
      </w:pPr>
    </w:p>
    <w:p w14:paraId="14B94154" w14:textId="278B32B2" w:rsidR="0065053F" w:rsidRPr="0065053F" w:rsidRDefault="0065053F" w:rsidP="0065053F">
      <w:pPr>
        <w:rPr>
          <w:sz w:val="24"/>
          <w:szCs w:val="24"/>
        </w:rPr>
      </w:pPr>
      <w:r w:rsidRPr="0065053F">
        <w:rPr>
          <w:sz w:val="24"/>
          <w:szCs w:val="24"/>
        </w:rPr>
        <w:t>Button, Mark &amp; Lewis, Chris &amp; Tapley, Jacki. (2009). A better deal for fraud victims : research into victims’ needs and experiences.</w:t>
      </w:r>
    </w:p>
    <w:p w14:paraId="220BF933" w14:textId="77777777" w:rsidR="0065053F" w:rsidRPr="0065053F" w:rsidRDefault="0065053F" w:rsidP="0065053F">
      <w:pPr>
        <w:rPr>
          <w:sz w:val="24"/>
          <w:szCs w:val="24"/>
        </w:rPr>
      </w:pPr>
    </w:p>
    <w:p w14:paraId="6EAABFC1" w14:textId="77777777" w:rsidR="0065053F" w:rsidRDefault="0065053F" w:rsidP="0065053F">
      <w:pPr>
        <w:rPr>
          <w:sz w:val="24"/>
          <w:szCs w:val="24"/>
        </w:rPr>
      </w:pPr>
    </w:p>
    <w:p w14:paraId="4063F085" w14:textId="7740091E" w:rsidR="0065053F" w:rsidRPr="0065053F" w:rsidRDefault="0065053F" w:rsidP="0065053F">
      <w:pPr>
        <w:rPr>
          <w:sz w:val="24"/>
          <w:szCs w:val="24"/>
        </w:rPr>
      </w:pPr>
      <w:r w:rsidRPr="0065053F">
        <w:rPr>
          <w:sz w:val="24"/>
          <w:szCs w:val="24"/>
        </w:rPr>
        <w:t>Chambers, D., Cantrell, A. &amp; Booth, A. Recognition of risk and prevention in safeguarding of children and young people: a mapping review and component analysis of service development interventions aimed at health and social care professionals. </w:t>
      </w:r>
      <w:r w:rsidRPr="0065053F">
        <w:rPr>
          <w:i/>
          <w:iCs/>
          <w:sz w:val="24"/>
          <w:szCs w:val="24"/>
        </w:rPr>
        <w:t>BMC Health Serv Res</w:t>
      </w:r>
      <w:r w:rsidRPr="0065053F">
        <w:rPr>
          <w:sz w:val="24"/>
          <w:szCs w:val="24"/>
        </w:rPr>
        <w:t> </w:t>
      </w:r>
      <w:r w:rsidRPr="0065053F">
        <w:rPr>
          <w:b/>
          <w:bCs/>
          <w:sz w:val="24"/>
          <w:szCs w:val="24"/>
        </w:rPr>
        <w:t>21</w:t>
      </w:r>
      <w:r w:rsidRPr="0065053F">
        <w:rPr>
          <w:sz w:val="24"/>
          <w:szCs w:val="24"/>
        </w:rPr>
        <w:t xml:space="preserve">, 1241 (2021). </w:t>
      </w:r>
      <w:hyperlink r:id="rId16" w:history="1">
        <w:r w:rsidRPr="0065053F">
          <w:rPr>
            <w:rStyle w:val="Hyperlink"/>
            <w:sz w:val="24"/>
            <w:szCs w:val="24"/>
          </w:rPr>
          <w:t>https://doi.org/10.1186/s12913-021-07257-8</w:t>
        </w:r>
      </w:hyperlink>
    </w:p>
    <w:p w14:paraId="550EF3BC" w14:textId="77777777" w:rsidR="0065053F" w:rsidRDefault="0065053F" w:rsidP="0065053F">
      <w:pPr>
        <w:rPr>
          <w:sz w:val="24"/>
          <w:szCs w:val="24"/>
        </w:rPr>
      </w:pPr>
    </w:p>
    <w:p w14:paraId="54706784" w14:textId="77777777" w:rsidR="0065053F" w:rsidRPr="0065053F" w:rsidRDefault="0065053F" w:rsidP="0065053F">
      <w:pPr>
        <w:rPr>
          <w:sz w:val="24"/>
          <w:szCs w:val="24"/>
        </w:rPr>
      </w:pPr>
    </w:p>
    <w:p w14:paraId="39A94FD6" w14:textId="77777777" w:rsidR="0065053F" w:rsidRPr="0065053F" w:rsidRDefault="0065053F" w:rsidP="0065053F">
      <w:pPr>
        <w:rPr>
          <w:b/>
          <w:bCs/>
          <w:sz w:val="24"/>
          <w:szCs w:val="24"/>
        </w:rPr>
      </w:pPr>
      <w:r w:rsidRPr="0065053F">
        <w:rPr>
          <w:sz w:val="24"/>
          <w:szCs w:val="24"/>
        </w:rPr>
        <w:t xml:space="preserve">Code of Practice for Victims of Crime in England and Wales (Victims' Code). Updated 10 June 2024. UK Government. Available at: </w:t>
      </w:r>
      <w:hyperlink r:id="rId17" w:history="1">
        <w:r w:rsidRPr="0065053F">
          <w:rPr>
            <w:rStyle w:val="Hyperlink"/>
            <w:sz w:val="24"/>
            <w:szCs w:val="24"/>
          </w:rPr>
          <w:t>Code of Practice for Victims of Crime in England and Wales (Victims' Code) - GOV.UK (www.gov.uk)</w:t>
        </w:r>
      </w:hyperlink>
    </w:p>
    <w:p w14:paraId="2F6884BB" w14:textId="77777777" w:rsidR="0065053F" w:rsidRPr="0065053F" w:rsidRDefault="0065053F" w:rsidP="0065053F">
      <w:pPr>
        <w:rPr>
          <w:sz w:val="24"/>
          <w:szCs w:val="24"/>
        </w:rPr>
      </w:pPr>
    </w:p>
    <w:p w14:paraId="4F1A1A79" w14:textId="77777777" w:rsidR="0065053F" w:rsidRDefault="0065053F" w:rsidP="0065053F">
      <w:pPr>
        <w:rPr>
          <w:sz w:val="24"/>
          <w:szCs w:val="24"/>
        </w:rPr>
      </w:pPr>
    </w:p>
    <w:p w14:paraId="57B8D86B" w14:textId="281F2D50" w:rsidR="0065053F" w:rsidRPr="0065053F" w:rsidRDefault="0065053F" w:rsidP="0065053F">
      <w:pPr>
        <w:rPr>
          <w:sz w:val="24"/>
          <w:szCs w:val="24"/>
        </w:rPr>
      </w:pPr>
      <w:r w:rsidRPr="0065053F">
        <w:rPr>
          <w:sz w:val="24"/>
          <w:szCs w:val="24"/>
        </w:rPr>
        <w:t>Dinisman, Tamar &amp; Moroz, Ania. (2017). Understanding victims of crime: The impact of the crime and support needs. 10.13140/RG.2.2.17335.73124.</w:t>
      </w:r>
    </w:p>
    <w:p w14:paraId="69535C95" w14:textId="77777777" w:rsidR="0065053F" w:rsidRPr="0065053F" w:rsidRDefault="0065053F" w:rsidP="0065053F">
      <w:pPr>
        <w:rPr>
          <w:sz w:val="24"/>
          <w:szCs w:val="24"/>
        </w:rPr>
      </w:pPr>
    </w:p>
    <w:p w14:paraId="1CF2C292" w14:textId="77777777" w:rsidR="0065053F" w:rsidRDefault="0065053F" w:rsidP="0065053F">
      <w:pPr>
        <w:rPr>
          <w:sz w:val="24"/>
          <w:szCs w:val="24"/>
        </w:rPr>
      </w:pPr>
    </w:p>
    <w:p w14:paraId="3E13A68E" w14:textId="119BB170" w:rsidR="0065053F" w:rsidRPr="0065053F" w:rsidRDefault="0065053F" w:rsidP="0065053F">
      <w:pPr>
        <w:rPr>
          <w:sz w:val="24"/>
          <w:szCs w:val="24"/>
        </w:rPr>
      </w:pPr>
      <w:r w:rsidRPr="0065053F">
        <w:rPr>
          <w:sz w:val="24"/>
          <w:szCs w:val="24"/>
        </w:rPr>
        <w:t>Hanson RF, Sawyer GK, Begle AM, Hubel GS. The impact of crime victimization on quality of life. J Trauma Stress. 2010 Apr;23(2):189-97. doi: 10.1002/jts.20508. PMID: 20419728; PMCID: PMC2910433</w:t>
      </w:r>
    </w:p>
    <w:p w14:paraId="12E97B0B" w14:textId="77777777" w:rsidR="0065053F" w:rsidRPr="0065053F" w:rsidRDefault="0065053F" w:rsidP="0065053F">
      <w:pPr>
        <w:rPr>
          <w:sz w:val="24"/>
          <w:szCs w:val="24"/>
        </w:rPr>
      </w:pPr>
    </w:p>
    <w:p w14:paraId="6DDB5012" w14:textId="77777777" w:rsidR="0065053F" w:rsidRDefault="0065053F" w:rsidP="0065053F">
      <w:pPr>
        <w:rPr>
          <w:sz w:val="24"/>
          <w:szCs w:val="24"/>
        </w:rPr>
      </w:pPr>
    </w:p>
    <w:p w14:paraId="2222063A" w14:textId="18682189" w:rsidR="0065053F" w:rsidRPr="0065053F" w:rsidRDefault="0065053F" w:rsidP="0065053F">
      <w:pPr>
        <w:rPr>
          <w:sz w:val="24"/>
          <w:szCs w:val="24"/>
        </w:rPr>
      </w:pPr>
      <w:r w:rsidRPr="0065053F">
        <w:rPr>
          <w:sz w:val="24"/>
          <w:szCs w:val="24"/>
        </w:rPr>
        <w:t>Hinkle JC, Weisburd D, Telep CW, Petersen K. Problem-oriented policing for reducing crime and disorder: An updated systematic review and meta-analysis. Campbell Syst Rev. 2020 Jun 15;16(2):e1089. doi: 10.1002/cl2.1089. PMID: 37133256; PMCID: PMC8356283.</w:t>
      </w:r>
    </w:p>
    <w:p w14:paraId="0E559F83" w14:textId="77777777" w:rsidR="0065053F" w:rsidRPr="0065053F" w:rsidRDefault="0065053F" w:rsidP="0065053F">
      <w:pPr>
        <w:rPr>
          <w:sz w:val="24"/>
          <w:szCs w:val="24"/>
        </w:rPr>
      </w:pPr>
    </w:p>
    <w:p w14:paraId="51C54801" w14:textId="77777777" w:rsidR="0065053F" w:rsidRDefault="0065053F" w:rsidP="0065053F">
      <w:pPr>
        <w:rPr>
          <w:sz w:val="24"/>
          <w:szCs w:val="24"/>
        </w:rPr>
      </w:pPr>
    </w:p>
    <w:p w14:paraId="05D52029" w14:textId="45CC82DE" w:rsidR="0065053F" w:rsidRPr="0065053F" w:rsidRDefault="0065053F" w:rsidP="0065053F">
      <w:pPr>
        <w:rPr>
          <w:sz w:val="24"/>
          <w:szCs w:val="24"/>
        </w:rPr>
      </w:pPr>
      <w:r w:rsidRPr="0065053F">
        <w:rPr>
          <w:sz w:val="24"/>
          <w:szCs w:val="24"/>
        </w:rPr>
        <w:lastRenderedPageBreak/>
        <w:t xml:space="preserve">Home Office - Helping the police to support people with vulnerabilities. Published 23 October 2014. </w:t>
      </w:r>
    </w:p>
    <w:p w14:paraId="5C3F87E1" w14:textId="77777777" w:rsidR="0065053F" w:rsidRPr="0065053F" w:rsidRDefault="0065053F" w:rsidP="0065053F">
      <w:pPr>
        <w:rPr>
          <w:sz w:val="24"/>
          <w:szCs w:val="24"/>
        </w:rPr>
      </w:pPr>
      <w:r w:rsidRPr="0065053F">
        <w:rPr>
          <w:sz w:val="24"/>
          <w:szCs w:val="24"/>
        </w:rPr>
        <w:t xml:space="preserve">Available at: </w:t>
      </w:r>
      <w:hyperlink r:id="rId18" w:history="1">
        <w:r w:rsidRPr="0065053F">
          <w:rPr>
            <w:rStyle w:val="Hyperlink"/>
            <w:sz w:val="24"/>
            <w:szCs w:val="24"/>
          </w:rPr>
          <w:t>Helping the police to support people with vulnerabilities - GOV.UK (www.gov.uk)</w:t>
        </w:r>
      </w:hyperlink>
    </w:p>
    <w:p w14:paraId="0C4CAB6B" w14:textId="77777777" w:rsidR="0065053F" w:rsidRPr="0065053F" w:rsidRDefault="0065053F" w:rsidP="0065053F">
      <w:pPr>
        <w:rPr>
          <w:sz w:val="24"/>
          <w:szCs w:val="24"/>
        </w:rPr>
      </w:pPr>
    </w:p>
    <w:p w14:paraId="734F5714" w14:textId="77777777" w:rsidR="0065053F" w:rsidRDefault="0065053F" w:rsidP="0065053F">
      <w:pPr>
        <w:rPr>
          <w:sz w:val="24"/>
          <w:szCs w:val="24"/>
        </w:rPr>
      </w:pPr>
    </w:p>
    <w:p w14:paraId="7458D1D4" w14:textId="3F7E8209" w:rsidR="0065053F" w:rsidRPr="0065053F" w:rsidRDefault="0065053F" w:rsidP="0065053F">
      <w:pPr>
        <w:rPr>
          <w:sz w:val="24"/>
          <w:szCs w:val="24"/>
        </w:rPr>
      </w:pPr>
      <w:r w:rsidRPr="0065053F">
        <w:rPr>
          <w:sz w:val="24"/>
          <w:szCs w:val="24"/>
        </w:rPr>
        <w:t xml:space="preserve">Hucklesby, Anthea (2024). Pre-charge bail and Release Under Investigation: an examination of their use, effectiveness and impact on suspects’ and victims’ rights and confidence in the criminal justice system. Published September 2024. Available at: </w:t>
      </w:r>
      <w:hyperlink r:id="rId19" w:history="1">
        <w:r w:rsidRPr="0065053F">
          <w:rPr>
            <w:rStyle w:val="Hyperlink"/>
            <w:sz w:val="24"/>
            <w:szCs w:val="24"/>
          </w:rPr>
          <w:t>Pre-charge bail and Release Under Investigation Report (birmingham.ac.uk)</w:t>
        </w:r>
      </w:hyperlink>
    </w:p>
    <w:p w14:paraId="0E76A76E" w14:textId="77777777" w:rsidR="0065053F" w:rsidRPr="0065053F" w:rsidRDefault="0065053F" w:rsidP="0065053F">
      <w:pPr>
        <w:rPr>
          <w:sz w:val="24"/>
          <w:szCs w:val="24"/>
        </w:rPr>
      </w:pPr>
    </w:p>
    <w:p w14:paraId="6AE55EC8" w14:textId="77777777" w:rsidR="0065053F" w:rsidRDefault="0065053F" w:rsidP="0065053F">
      <w:pPr>
        <w:rPr>
          <w:sz w:val="24"/>
          <w:szCs w:val="24"/>
        </w:rPr>
      </w:pPr>
    </w:p>
    <w:p w14:paraId="7901F2B6" w14:textId="7C721437" w:rsidR="0065053F" w:rsidRPr="0065053F" w:rsidRDefault="0065053F" w:rsidP="0065053F">
      <w:pPr>
        <w:rPr>
          <w:sz w:val="24"/>
          <w:szCs w:val="24"/>
        </w:rPr>
      </w:pPr>
      <w:r w:rsidRPr="0065053F">
        <w:rPr>
          <w:sz w:val="24"/>
          <w:szCs w:val="24"/>
        </w:rPr>
        <w:t>Maguire, Mike &amp; Kynch, Jocelyn. (2000). VICTIM SUPPORT: FINDINGS FROM THE 1998 BRITISH CRIME SURVEY.</w:t>
      </w:r>
    </w:p>
    <w:p w14:paraId="5AC92275" w14:textId="77777777" w:rsidR="0065053F" w:rsidRPr="0065053F" w:rsidRDefault="0065053F" w:rsidP="0065053F">
      <w:pPr>
        <w:rPr>
          <w:sz w:val="24"/>
          <w:szCs w:val="24"/>
        </w:rPr>
      </w:pPr>
    </w:p>
    <w:p w14:paraId="3F324FDF" w14:textId="77777777" w:rsidR="0065053F" w:rsidRDefault="0065053F" w:rsidP="0065053F">
      <w:pPr>
        <w:rPr>
          <w:sz w:val="24"/>
          <w:szCs w:val="24"/>
        </w:rPr>
      </w:pPr>
    </w:p>
    <w:p w14:paraId="713BC389" w14:textId="236A46FE" w:rsidR="0065053F" w:rsidRPr="0065053F" w:rsidRDefault="0065053F" w:rsidP="0065053F">
      <w:pPr>
        <w:rPr>
          <w:sz w:val="24"/>
          <w:szCs w:val="24"/>
        </w:rPr>
      </w:pPr>
      <w:r w:rsidRPr="0065053F">
        <w:rPr>
          <w:sz w:val="24"/>
          <w:szCs w:val="24"/>
        </w:rPr>
        <w:t xml:space="preserve">National Health Service England. Publication, Part of Safeguarding Adults - </w:t>
      </w:r>
      <w:r w:rsidRPr="0065053F">
        <w:rPr>
          <w:b/>
          <w:bCs/>
          <w:sz w:val="24"/>
          <w:szCs w:val="24"/>
        </w:rPr>
        <w:t xml:space="preserve">Abuse of Vulnerable Adults in England - 2010-11, Final report, Experimental statistics. Published 2012. Available at: </w:t>
      </w:r>
      <w:hyperlink r:id="rId20" w:history="1">
        <w:r w:rsidRPr="0065053F">
          <w:rPr>
            <w:rStyle w:val="Hyperlink"/>
            <w:b/>
            <w:bCs/>
            <w:sz w:val="24"/>
            <w:szCs w:val="24"/>
          </w:rPr>
          <w:t>Abuse of Vulnerable Adults in England - 2010-11, Final report, Experimental statistics - NHS England Digital</w:t>
        </w:r>
      </w:hyperlink>
    </w:p>
    <w:p w14:paraId="1CC9413A" w14:textId="77777777" w:rsidR="0065053F" w:rsidRDefault="0065053F" w:rsidP="0065053F">
      <w:pPr>
        <w:rPr>
          <w:sz w:val="24"/>
          <w:szCs w:val="24"/>
        </w:rPr>
      </w:pPr>
    </w:p>
    <w:p w14:paraId="76973F74" w14:textId="77777777" w:rsidR="0065053F" w:rsidRPr="0065053F" w:rsidRDefault="0065053F" w:rsidP="0065053F">
      <w:pPr>
        <w:rPr>
          <w:sz w:val="24"/>
          <w:szCs w:val="24"/>
        </w:rPr>
      </w:pPr>
    </w:p>
    <w:p w14:paraId="6FD81B9E" w14:textId="77777777" w:rsidR="0065053F" w:rsidRPr="0065053F" w:rsidRDefault="0065053F" w:rsidP="0065053F">
      <w:pPr>
        <w:rPr>
          <w:sz w:val="24"/>
          <w:szCs w:val="24"/>
        </w:rPr>
      </w:pPr>
      <w:r w:rsidRPr="0065053F">
        <w:rPr>
          <w:sz w:val="24"/>
          <w:szCs w:val="24"/>
        </w:rPr>
        <w:t xml:space="preserve">National Police Chief’s Council (NPCC) 2019. Police chiefs guide officers to impose bail conditions protecting victims and vulnerable people. Available at: </w:t>
      </w:r>
      <w:hyperlink r:id="rId21" w:history="1">
        <w:r w:rsidRPr="0065053F">
          <w:rPr>
            <w:rStyle w:val="Hyperlink"/>
            <w:sz w:val="24"/>
            <w:szCs w:val="24"/>
          </w:rPr>
          <w:t>Police chiefs guide officers to impose bail conditions protecting victims and vulnerable people (npcc.police.uk)</w:t>
        </w:r>
      </w:hyperlink>
    </w:p>
    <w:p w14:paraId="50A87C86" w14:textId="77777777" w:rsidR="0065053F" w:rsidRDefault="0065053F" w:rsidP="0065053F">
      <w:pPr>
        <w:rPr>
          <w:sz w:val="24"/>
          <w:szCs w:val="24"/>
        </w:rPr>
      </w:pPr>
    </w:p>
    <w:p w14:paraId="333B05B7" w14:textId="77777777" w:rsidR="0065053F" w:rsidRPr="0065053F" w:rsidRDefault="0065053F" w:rsidP="0065053F">
      <w:pPr>
        <w:rPr>
          <w:sz w:val="24"/>
          <w:szCs w:val="24"/>
        </w:rPr>
      </w:pPr>
    </w:p>
    <w:p w14:paraId="6ABE11E5" w14:textId="77777777" w:rsidR="0065053F" w:rsidRDefault="0065053F" w:rsidP="0065053F">
      <w:pPr>
        <w:rPr>
          <w:sz w:val="24"/>
          <w:szCs w:val="24"/>
        </w:rPr>
      </w:pPr>
      <w:r w:rsidRPr="0065053F">
        <w:rPr>
          <w:sz w:val="24"/>
          <w:szCs w:val="24"/>
        </w:rPr>
        <w:t>Newburn, T. &amp; Merry, S. (1990). Keeping in Touch: Police-Victim Communication in Two Areas.</w:t>
      </w:r>
    </w:p>
    <w:p w14:paraId="44EA3277" w14:textId="77777777" w:rsidR="0065053F" w:rsidRPr="0065053F" w:rsidRDefault="0065053F" w:rsidP="0065053F">
      <w:pPr>
        <w:rPr>
          <w:sz w:val="24"/>
          <w:szCs w:val="24"/>
        </w:rPr>
      </w:pPr>
    </w:p>
    <w:p w14:paraId="18C169A4" w14:textId="77777777" w:rsidR="0065053F" w:rsidRPr="0065053F" w:rsidRDefault="0065053F" w:rsidP="0065053F">
      <w:pPr>
        <w:rPr>
          <w:sz w:val="24"/>
          <w:szCs w:val="24"/>
        </w:rPr>
      </w:pPr>
    </w:p>
    <w:p w14:paraId="4EFE7E30" w14:textId="77777777" w:rsidR="0065053F" w:rsidRDefault="0065053F" w:rsidP="0065053F">
      <w:pPr>
        <w:rPr>
          <w:sz w:val="24"/>
          <w:szCs w:val="24"/>
        </w:rPr>
      </w:pPr>
      <w:r w:rsidRPr="0065053F">
        <w:rPr>
          <w:i/>
          <w:iCs/>
          <w:sz w:val="24"/>
          <w:szCs w:val="24"/>
        </w:rPr>
        <w:t>No child left behind: Understanding and quantifying vulnerability</w:t>
      </w:r>
      <w:r w:rsidRPr="0065053F">
        <w:rPr>
          <w:sz w:val="24"/>
          <w:szCs w:val="24"/>
        </w:rPr>
        <w:t xml:space="preserve">. Public Health England (2020).  Available at: https://assets.publishing.service.gov.uk/government/uploads/system/uploads/attachment_data/file/913974/Understanding_and_quantifying_vulnerability_in_childhood.pdf (Accessed: 14 October 2024). </w:t>
      </w:r>
    </w:p>
    <w:p w14:paraId="545E98AC" w14:textId="77777777" w:rsidR="0065053F" w:rsidRPr="0065053F" w:rsidRDefault="0065053F" w:rsidP="0065053F">
      <w:pPr>
        <w:rPr>
          <w:sz w:val="24"/>
          <w:szCs w:val="24"/>
        </w:rPr>
      </w:pPr>
    </w:p>
    <w:p w14:paraId="143BC777" w14:textId="77777777" w:rsidR="0065053F" w:rsidRPr="0065053F" w:rsidRDefault="0065053F" w:rsidP="0065053F">
      <w:pPr>
        <w:rPr>
          <w:sz w:val="24"/>
          <w:szCs w:val="24"/>
        </w:rPr>
      </w:pPr>
    </w:p>
    <w:p w14:paraId="545FD368" w14:textId="77777777" w:rsidR="0065053F" w:rsidRDefault="0065053F" w:rsidP="0065053F">
      <w:pPr>
        <w:rPr>
          <w:rStyle w:val="Hyperlink"/>
          <w:sz w:val="24"/>
          <w:szCs w:val="24"/>
        </w:rPr>
      </w:pPr>
      <w:r w:rsidRPr="0065053F">
        <w:rPr>
          <w:sz w:val="24"/>
          <w:szCs w:val="24"/>
        </w:rPr>
        <w:t xml:space="preserve">Police and Criminal Evidence Act 1984 (PACE). Home Office. Available at: </w:t>
      </w:r>
      <w:hyperlink r:id="rId22" w:history="1">
        <w:r w:rsidRPr="0065053F">
          <w:rPr>
            <w:rStyle w:val="Hyperlink"/>
            <w:sz w:val="24"/>
            <w:szCs w:val="24"/>
          </w:rPr>
          <w:t>Police and Criminal Evidence Act 1984 (PACE) codes of practice - GOV.UK (www.gov.uk)</w:t>
        </w:r>
      </w:hyperlink>
    </w:p>
    <w:p w14:paraId="315E8E51" w14:textId="77777777" w:rsidR="0065053F" w:rsidRPr="0065053F" w:rsidRDefault="0065053F" w:rsidP="0065053F">
      <w:pPr>
        <w:rPr>
          <w:sz w:val="24"/>
          <w:szCs w:val="24"/>
        </w:rPr>
      </w:pPr>
    </w:p>
    <w:p w14:paraId="7B3E18F1" w14:textId="77777777" w:rsidR="0065053F" w:rsidRPr="0065053F" w:rsidRDefault="0065053F" w:rsidP="0065053F">
      <w:pPr>
        <w:rPr>
          <w:sz w:val="24"/>
          <w:szCs w:val="24"/>
        </w:rPr>
      </w:pPr>
    </w:p>
    <w:p w14:paraId="184FBF6D" w14:textId="77777777" w:rsidR="0065053F" w:rsidRPr="0065053F" w:rsidRDefault="0065053F" w:rsidP="0065053F">
      <w:pPr>
        <w:rPr>
          <w:sz w:val="24"/>
          <w:szCs w:val="24"/>
        </w:rPr>
      </w:pPr>
      <w:r w:rsidRPr="0065053F">
        <w:rPr>
          <w:i/>
          <w:iCs/>
          <w:sz w:val="24"/>
          <w:szCs w:val="24"/>
        </w:rPr>
        <w:t>Recognising and responding to vulnerability related risks</w:t>
      </w:r>
      <w:r w:rsidRPr="0065053F">
        <w:rPr>
          <w:sz w:val="24"/>
          <w:szCs w:val="24"/>
        </w:rPr>
        <w:t xml:space="preserve">. College of Policing. Published November 2021. Available at: </w:t>
      </w:r>
      <w:hyperlink r:id="rId23" w:history="1">
        <w:r w:rsidRPr="0065053F">
          <w:rPr>
            <w:rStyle w:val="Hyperlink"/>
            <w:sz w:val="24"/>
            <w:szCs w:val="24"/>
          </w:rPr>
          <w:t>https://assets.college.police.uk/s3fs-public/2021-11/Recognising-responding-vulnerability-related-risks-guidelines.pdf</w:t>
        </w:r>
      </w:hyperlink>
      <w:r w:rsidRPr="0065053F">
        <w:rPr>
          <w:sz w:val="24"/>
          <w:szCs w:val="24"/>
        </w:rPr>
        <w:t xml:space="preserve"> </w:t>
      </w:r>
    </w:p>
    <w:p w14:paraId="466F8566" w14:textId="77777777" w:rsidR="0065053F" w:rsidRDefault="0065053F" w:rsidP="0065053F">
      <w:pPr>
        <w:rPr>
          <w:sz w:val="24"/>
          <w:szCs w:val="24"/>
        </w:rPr>
      </w:pPr>
    </w:p>
    <w:p w14:paraId="29822F45" w14:textId="77777777" w:rsidR="0065053F" w:rsidRPr="0065053F" w:rsidRDefault="0065053F" w:rsidP="0065053F">
      <w:pPr>
        <w:rPr>
          <w:sz w:val="24"/>
          <w:szCs w:val="24"/>
        </w:rPr>
      </w:pPr>
    </w:p>
    <w:p w14:paraId="3F5D7ADD" w14:textId="77777777" w:rsidR="0065053F" w:rsidRPr="0065053F" w:rsidRDefault="0065053F" w:rsidP="0065053F">
      <w:pPr>
        <w:rPr>
          <w:rStyle w:val="Hyperlink"/>
          <w:b/>
          <w:bCs/>
          <w:sz w:val="24"/>
          <w:szCs w:val="24"/>
        </w:rPr>
      </w:pPr>
      <w:r w:rsidRPr="0065053F">
        <w:rPr>
          <w:sz w:val="24"/>
          <w:szCs w:val="24"/>
        </w:rPr>
        <w:t xml:space="preserve">Scottish Government. Publication: </w:t>
      </w:r>
      <w:r w:rsidRPr="0065053F">
        <w:rPr>
          <w:b/>
          <w:bCs/>
          <w:sz w:val="24"/>
          <w:szCs w:val="24"/>
        </w:rPr>
        <w:t xml:space="preserve">Evaluation of the Impact of Bail Reforms on Summary Justice Reform -Research Findings – Research Findings. Published </w:t>
      </w:r>
      <w:r w:rsidRPr="0065053F">
        <w:rPr>
          <w:b/>
          <w:bCs/>
          <w:sz w:val="24"/>
          <w:szCs w:val="24"/>
        </w:rPr>
        <w:lastRenderedPageBreak/>
        <w:t xml:space="preserve">8 March 2012. Available at: </w:t>
      </w:r>
      <w:hyperlink r:id="rId24" w:history="1">
        <w:r w:rsidRPr="0065053F">
          <w:rPr>
            <w:rStyle w:val="Hyperlink"/>
            <w:b/>
            <w:bCs/>
            <w:sz w:val="24"/>
            <w:szCs w:val="24"/>
          </w:rPr>
          <w:t>Evaluation of the Impact of Bail Reforms on Summary Justice Reform -Research Findings - gov.scot (www.gov.scot)</w:t>
        </w:r>
      </w:hyperlink>
    </w:p>
    <w:p w14:paraId="003F3DD7" w14:textId="77777777" w:rsidR="0065053F" w:rsidRDefault="0065053F" w:rsidP="0065053F">
      <w:pPr>
        <w:rPr>
          <w:rStyle w:val="Hyperlink"/>
          <w:b/>
          <w:bCs/>
          <w:sz w:val="24"/>
          <w:szCs w:val="24"/>
        </w:rPr>
      </w:pPr>
    </w:p>
    <w:p w14:paraId="258F7085" w14:textId="77777777" w:rsidR="0065053F" w:rsidRPr="0065053F" w:rsidRDefault="0065053F" w:rsidP="0065053F">
      <w:pPr>
        <w:rPr>
          <w:rStyle w:val="Hyperlink"/>
          <w:b/>
          <w:bCs/>
          <w:sz w:val="24"/>
          <w:szCs w:val="24"/>
        </w:rPr>
      </w:pPr>
    </w:p>
    <w:p w14:paraId="15341482" w14:textId="77777777" w:rsidR="0065053F" w:rsidRPr="0065053F" w:rsidRDefault="0065053F" w:rsidP="0065053F">
      <w:pPr>
        <w:rPr>
          <w:b/>
          <w:bCs/>
          <w:color w:val="0563C1" w:themeColor="hyperlink"/>
          <w:sz w:val="24"/>
          <w:szCs w:val="24"/>
          <w:u w:val="single"/>
        </w:rPr>
      </w:pPr>
      <w:r w:rsidRPr="0065053F">
        <w:rPr>
          <w:rStyle w:val="Hyperlink"/>
          <w:color w:val="000000" w:themeColor="text1"/>
          <w:sz w:val="24"/>
          <w:szCs w:val="24"/>
        </w:rPr>
        <w:t xml:space="preserve">Scottish Government. Publication: </w:t>
      </w:r>
      <w:r w:rsidRPr="0065053F">
        <w:rPr>
          <w:color w:val="000000" w:themeColor="text1"/>
          <w:sz w:val="24"/>
          <w:szCs w:val="24"/>
        </w:rPr>
        <w:t>What Works to Reduce Reoffending: A Summary of the Evidence. Research and Analysis. Published 8 May 2015. Available at:</w:t>
      </w:r>
      <w:r w:rsidRPr="0065053F">
        <w:rPr>
          <w:b/>
          <w:bCs/>
          <w:color w:val="000000" w:themeColor="text1"/>
          <w:sz w:val="24"/>
          <w:szCs w:val="24"/>
          <w:u w:val="single"/>
        </w:rPr>
        <w:t xml:space="preserve"> </w:t>
      </w:r>
      <w:hyperlink r:id="rId25" w:history="1">
        <w:r w:rsidRPr="0065053F">
          <w:rPr>
            <w:rStyle w:val="Hyperlink"/>
            <w:b/>
            <w:bCs/>
            <w:sz w:val="24"/>
            <w:szCs w:val="24"/>
          </w:rPr>
          <w:t>CHAPTER TWO: HOW DO INDIVIDUALS DESIST FROM OFFENDING? - What Works to Reduce Reoffending: A Summary of the Evidence - gov.scot (www.gov.scot)</w:t>
        </w:r>
      </w:hyperlink>
    </w:p>
    <w:p w14:paraId="0A0389EF" w14:textId="77777777" w:rsidR="0065053F" w:rsidRPr="0065053F" w:rsidRDefault="0065053F" w:rsidP="0065053F">
      <w:pPr>
        <w:rPr>
          <w:b/>
          <w:bCs/>
          <w:color w:val="0563C1" w:themeColor="hyperlink"/>
          <w:sz w:val="24"/>
          <w:szCs w:val="24"/>
          <w:u w:val="single"/>
        </w:rPr>
      </w:pPr>
    </w:p>
    <w:p w14:paraId="44CF5B57" w14:textId="77777777" w:rsidR="0065053F" w:rsidRPr="0065053F" w:rsidRDefault="0065053F" w:rsidP="0065053F">
      <w:pPr>
        <w:rPr>
          <w:rStyle w:val="Hyperlink"/>
          <w:b/>
          <w:bCs/>
          <w:sz w:val="24"/>
          <w:szCs w:val="24"/>
        </w:rPr>
      </w:pPr>
    </w:p>
    <w:p w14:paraId="61EFE982" w14:textId="77777777" w:rsidR="0065053F" w:rsidRPr="0065053F" w:rsidRDefault="0065053F" w:rsidP="0065053F">
      <w:pPr>
        <w:rPr>
          <w:rStyle w:val="Hyperlink"/>
          <w:b/>
          <w:bCs/>
          <w:sz w:val="24"/>
          <w:szCs w:val="24"/>
        </w:rPr>
      </w:pPr>
    </w:p>
    <w:p w14:paraId="4BDE0887" w14:textId="77777777" w:rsidR="0065053F" w:rsidRPr="0065053F" w:rsidRDefault="0065053F" w:rsidP="0065053F">
      <w:pPr>
        <w:rPr>
          <w:color w:val="000000" w:themeColor="text1"/>
          <w:sz w:val="24"/>
          <w:szCs w:val="24"/>
        </w:rPr>
      </w:pPr>
      <w:r w:rsidRPr="0065053F">
        <w:rPr>
          <w:rStyle w:val="Hyperlink"/>
          <w:color w:val="000000" w:themeColor="text1"/>
          <w:sz w:val="24"/>
          <w:szCs w:val="24"/>
        </w:rPr>
        <w:t xml:space="preserve">Stuebing, W. K. 1984. </w:t>
      </w:r>
      <w:r w:rsidRPr="0065053F">
        <w:rPr>
          <w:color w:val="000000" w:themeColor="text1"/>
          <w:sz w:val="24"/>
          <w:szCs w:val="24"/>
        </w:rPr>
        <w:t xml:space="preserve">Victims and Witnesses - Experiences, Needs, and Community-Criminal Justice Response. Available at: </w:t>
      </w:r>
      <w:hyperlink r:id="rId26" w:history="1">
        <w:r w:rsidRPr="0065053F">
          <w:rPr>
            <w:rStyle w:val="Hyperlink"/>
            <w:sz w:val="24"/>
            <w:szCs w:val="24"/>
          </w:rPr>
          <w:t>94628NCJRS.pdf (ojp.gov)</w:t>
        </w:r>
      </w:hyperlink>
    </w:p>
    <w:p w14:paraId="1FF9F6E4" w14:textId="77777777" w:rsidR="0065053F" w:rsidRDefault="0065053F" w:rsidP="0065053F">
      <w:pPr>
        <w:rPr>
          <w:color w:val="000000" w:themeColor="text1"/>
          <w:sz w:val="24"/>
          <w:szCs w:val="24"/>
        </w:rPr>
      </w:pPr>
    </w:p>
    <w:p w14:paraId="4445BE60" w14:textId="77777777" w:rsidR="0065053F" w:rsidRPr="0065053F" w:rsidRDefault="0065053F" w:rsidP="0065053F">
      <w:pPr>
        <w:rPr>
          <w:color w:val="000000" w:themeColor="text1"/>
          <w:sz w:val="24"/>
          <w:szCs w:val="24"/>
        </w:rPr>
      </w:pPr>
    </w:p>
    <w:p w14:paraId="5381461E" w14:textId="77777777" w:rsidR="0065053F" w:rsidRPr="0065053F" w:rsidRDefault="0065053F" w:rsidP="0065053F">
      <w:pPr>
        <w:rPr>
          <w:color w:val="000000" w:themeColor="text1"/>
          <w:sz w:val="24"/>
          <w:szCs w:val="24"/>
        </w:rPr>
      </w:pPr>
      <w:r w:rsidRPr="0065053F">
        <w:rPr>
          <w:color w:val="000000" w:themeColor="text1"/>
          <w:sz w:val="24"/>
          <w:szCs w:val="24"/>
        </w:rPr>
        <w:t>Taylor, Bruce &amp; Koper, Christopher &amp; Woods, Daniel. (2011). A randomized controlled trial of different policing strategies at hot spots of violent crime. Journal of Experimental Criminology. 7. 149-181. 10.1007/s11292-010-9120-6.</w:t>
      </w:r>
    </w:p>
    <w:p w14:paraId="216BDD11" w14:textId="77777777" w:rsidR="0065053F" w:rsidRDefault="0065053F" w:rsidP="0065053F">
      <w:pPr>
        <w:rPr>
          <w:sz w:val="24"/>
          <w:szCs w:val="24"/>
        </w:rPr>
      </w:pPr>
    </w:p>
    <w:p w14:paraId="56EC4FF2" w14:textId="77777777" w:rsidR="0065053F" w:rsidRPr="0065053F" w:rsidRDefault="0065053F" w:rsidP="0065053F">
      <w:pPr>
        <w:rPr>
          <w:sz w:val="24"/>
          <w:szCs w:val="24"/>
        </w:rPr>
      </w:pPr>
    </w:p>
    <w:p w14:paraId="420CABCB" w14:textId="77777777" w:rsidR="0065053F" w:rsidRPr="0065053F" w:rsidRDefault="0065053F" w:rsidP="0065053F">
      <w:pPr>
        <w:rPr>
          <w:sz w:val="24"/>
          <w:szCs w:val="24"/>
        </w:rPr>
      </w:pPr>
      <w:r w:rsidRPr="0065053F">
        <w:rPr>
          <w:sz w:val="24"/>
          <w:szCs w:val="24"/>
        </w:rPr>
        <w:t>Ten Boom, Annemarie &amp; Kuijpers, Karlijn. (2012). Victims’ needs as basic human needs1. International Review of Victimology. 18. 10.1177/0269758011432060.</w:t>
      </w:r>
    </w:p>
    <w:p w14:paraId="7B2763AF" w14:textId="77777777" w:rsidR="0065053F" w:rsidRDefault="0065053F" w:rsidP="0065053F">
      <w:pPr>
        <w:rPr>
          <w:sz w:val="24"/>
          <w:szCs w:val="24"/>
        </w:rPr>
      </w:pPr>
    </w:p>
    <w:p w14:paraId="7181DBDD" w14:textId="77777777" w:rsidR="0065053F" w:rsidRPr="0065053F" w:rsidRDefault="0065053F" w:rsidP="0065053F">
      <w:pPr>
        <w:rPr>
          <w:sz w:val="24"/>
          <w:szCs w:val="24"/>
        </w:rPr>
      </w:pPr>
    </w:p>
    <w:p w14:paraId="312821B8" w14:textId="77777777" w:rsidR="0065053F" w:rsidRPr="00557D17" w:rsidRDefault="0065053F" w:rsidP="0065053F">
      <w:r w:rsidRPr="0065053F">
        <w:rPr>
          <w:sz w:val="24"/>
          <w:szCs w:val="24"/>
        </w:rPr>
        <w:t>Tseloni, A., Knusstsson, J., and Laycock, G. (2005). Repeat Victimization: Introduction. Volume 12, pages 47-49 of International Review of Victimology. https://api.semanticscholar.org/CorpusID:144759858</w:t>
      </w:r>
    </w:p>
    <w:p w14:paraId="300DC5C7" w14:textId="77777777" w:rsidR="0065053F" w:rsidRDefault="0065053F" w:rsidP="00211695">
      <w:pPr>
        <w:overflowPunct/>
        <w:autoSpaceDE/>
        <w:autoSpaceDN/>
        <w:adjustRightInd/>
        <w:textAlignment w:val="auto"/>
        <w:rPr>
          <w:b/>
          <w:bCs/>
          <w:sz w:val="24"/>
          <w:szCs w:val="24"/>
        </w:rPr>
      </w:pPr>
    </w:p>
    <w:p w14:paraId="748A35DB" w14:textId="77777777" w:rsidR="00BA2D8E" w:rsidRDefault="00BA2D8E" w:rsidP="00211695">
      <w:pPr>
        <w:overflowPunct/>
        <w:autoSpaceDE/>
        <w:autoSpaceDN/>
        <w:adjustRightInd/>
        <w:textAlignment w:val="auto"/>
        <w:rPr>
          <w:b/>
          <w:bCs/>
          <w:sz w:val="24"/>
          <w:szCs w:val="24"/>
        </w:rPr>
      </w:pPr>
    </w:p>
    <w:p w14:paraId="4F3DD3BA" w14:textId="77777777" w:rsidR="009E46B9" w:rsidRDefault="009E46B9" w:rsidP="00211695">
      <w:pPr>
        <w:overflowPunct/>
        <w:autoSpaceDE/>
        <w:autoSpaceDN/>
        <w:adjustRightInd/>
        <w:textAlignment w:val="auto"/>
        <w:rPr>
          <w:b/>
          <w:bCs/>
          <w:sz w:val="24"/>
          <w:szCs w:val="24"/>
        </w:rPr>
      </w:pPr>
    </w:p>
    <w:p w14:paraId="514184B1" w14:textId="77777777" w:rsidR="009E46B9" w:rsidRDefault="009E46B9" w:rsidP="00211695">
      <w:pPr>
        <w:overflowPunct/>
        <w:autoSpaceDE/>
        <w:autoSpaceDN/>
        <w:adjustRightInd/>
        <w:textAlignment w:val="auto"/>
        <w:rPr>
          <w:b/>
          <w:bCs/>
          <w:sz w:val="24"/>
          <w:szCs w:val="24"/>
        </w:rPr>
      </w:pPr>
    </w:p>
    <w:p w14:paraId="7687C621" w14:textId="77777777" w:rsidR="009E46B9" w:rsidRDefault="009E46B9" w:rsidP="00211695">
      <w:pPr>
        <w:overflowPunct/>
        <w:autoSpaceDE/>
        <w:autoSpaceDN/>
        <w:adjustRightInd/>
        <w:textAlignment w:val="auto"/>
        <w:rPr>
          <w:b/>
          <w:bCs/>
          <w:sz w:val="24"/>
          <w:szCs w:val="24"/>
        </w:rPr>
      </w:pPr>
    </w:p>
    <w:p w14:paraId="1F176E89" w14:textId="77777777" w:rsidR="009E46B9" w:rsidRDefault="009E46B9" w:rsidP="00211695">
      <w:pPr>
        <w:overflowPunct/>
        <w:autoSpaceDE/>
        <w:autoSpaceDN/>
        <w:adjustRightInd/>
        <w:textAlignment w:val="auto"/>
        <w:rPr>
          <w:b/>
          <w:bCs/>
          <w:sz w:val="24"/>
          <w:szCs w:val="24"/>
        </w:rPr>
      </w:pPr>
    </w:p>
    <w:p w14:paraId="31A7B475" w14:textId="77777777" w:rsidR="009E46B9" w:rsidRDefault="009E46B9" w:rsidP="00211695">
      <w:pPr>
        <w:overflowPunct/>
        <w:autoSpaceDE/>
        <w:autoSpaceDN/>
        <w:adjustRightInd/>
        <w:textAlignment w:val="auto"/>
        <w:rPr>
          <w:b/>
          <w:bCs/>
          <w:sz w:val="24"/>
          <w:szCs w:val="24"/>
        </w:rPr>
      </w:pPr>
    </w:p>
    <w:p w14:paraId="1DAB4093" w14:textId="09B5C86C" w:rsidR="009E46B9" w:rsidRPr="006D54C1" w:rsidRDefault="009E46B9" w:rsidP="00211695">
      <w:pPr>
        <w:overflowPunct/>
        <w:autoSpaceDE/>
        <w:autoSpaceDN/>
        <w:adjustRightInd/>
        <w:textAlignment w:val="auto"/>
        <w:rPr>
          <w:b/>
          <w:bCs/>
          <w:color w:val="4472C4" w:themeColor="accent1"/>
          <w:sz w:val="24"/>
          <w:szCs w:val="24"/>
        </w:rPr>
      </w:pPr>
    </w:p>
    <w:p w14:paraId="1AFA5A6F" w14:textId="77777777" w:rsidR="009E46B9" w:rsidRDefault="009E46B9" w:rsidP="00211695">
      <w:pPr>
        <w:overflowPunct/>
        <w:autoSpaceDE/>
        <w:autoSpaceDN/>
        <w:adjustRightInd/>
        <w:textAlignment w:val="auto"/>
        <w:rPr>
          <w:b/>
          <w:bCs/>
          <w:sz w:val="24"/>
          <w:szCs w:val="24"/>
        </w:rPr>
      </w:pPr>
    </w:p>
    <w:p w14:paraId="1C21A735" w14:textId="77777777" w:rsidR="006D54C1" w:rsidRDefault="006D54C1" w:rsidP="00211695">
      <w:pPr>
        <w:overflowPunct/>
        <w:autoSpaceDE/>
        <w:autoSpaceDN/>
        <w:adjustRightInd/>
        <w:textAlignment w:val="auto"/>
        <w:rPr>
          <w:b/>
          <w:bCs/>
          <w:sz w:val="24"/>
          <w:szCs w:val="24"/>
        </w:rPr>
      </w:pPr>
    </w:p>
    <w:p w14:paraId="0A83A16D" w14:textId="77777777" w:rsidR="006D54C1" w:rsidRDefault="006D54C1" w:rsidP="00211695">
      <w:pPr>
        <w:overflowPunct/>
        <w:autoSpaceDE/>
        <w:autoSpaceDN/>
        <w:adjustRightInd/>
        <w:textAlignment w:val="auto"/>
        <w:rPr>
          <w:b/>
          <w:bCs/>
          <w:sz w:val="24"/>
          <w:szCs w:val="24"/>
        </w:rPr>
      </w:pPr>
    </w:p>
    <w:p w14:paraId="543C20A6" w14:textId="77777777" w:rsidR="006D54C1" w:rsidRDefault="006D54C1" w:rsidP="00211695">
      <w:pPr>
        <w:overflowPunct/>
        <w:autoSpaceDE/>
        <w:autoSpaceDN/>
        <w:adjustRightInd/>
        <w:textAlignment w:val="auto"/>
        <w:rPr>
          <w:b/>
          <w:bCs/>
          <w:sz w:val="24"/>
          <w:szCs w:val="24"/>
        </w:rPr>
      </w:pPr>
    </w:p>
    <w:p w14:paraId="78E4875A" w14:textId="77777777" w:rsidR="006D54C1" w:rsidRDefault="006D54C1" w:rsidP="00211695">
      <w:pPr>
        <w:overflowPunct/>
        <w:autoSpaceDE/>
        <w:autoSpaceDN/>
        <w:adjustRightInd/>
        <w:textAlignment w:val="auto"/>
        <w:rPr>
          <w:b/>
          <w:bCs/>
          <w:sz w:val="24"/>
          <w:szCs w:val="24"/>
        </w:rPr>
      </w:pPr>
    </w:p>
    <w:p w14:paraId="7BE0CDB2" w14:textId="77777777" w:rsidR="009E46B9" w:rsidRDefault="009E46B9" w:rsidP="00211695">
      <w:pPr>
        <w:overflowPunct/>
        <w:autoSpaceDE/>
        <w:autoSpaceDN/>
        <w:adjustRightInd/>
        <w:textAlignment w:val="auto"/>
        <w:rPr>
          <w:b/>
          <w:bCs/>
          <w:sz w:val="24"/>
          <w:szCs w:val="24"/>
        </w:rPr>
      </w:pPr>
    </w:p>
    <w:p w14:paraId="0B44189A" w14:textId="77777777" w:rsidR="009E46B9" w:rsidRDefault="009E46B9" w:rsidP="00211695">
      <w:pPr>
        <w:overflowPunct/>
        <w:autoSpaceDE/>
        <w:autoSpaceDN/>
        <w:adjustRightInd/>
        <w:textAlignment w:val="auto"/>
        <w:rPr>
          <w:b/>
          <w:bCs/>
          <w:sz w:val="24"/>
          <w:szCs w:val="24"/>
        </w:rPr>
      </w:pPr>
    </w:p>
    <w:p w14:paraId="4CD523E8" w14:textId="77777777" w:rsidR="009E46B9" w:rsidRDefault="009E46B9" w:rsidP="00211695">
      <w:pPr>
        <w:overflowPunct/>
        <w:autoSpaceDE/>
        <w:autoSpaceDN/>
        <w:adjustRightInd/>
        <w:textAlignment w:val="auto"/>
        <w:rPr>
          <w:b/>
          <w:bCs/>
          <w:sz w:val="24"/>
          <w:szCs w:val="24"/>
        </w:rPr>
      </w:pPr>
    </w:p>
    <w:p w14:paraId="39F004BF" w14:textId="47F2F4F1" w:rsidR="00211695" w:rsidRDefault="00211695" w:rsidP="00211695">
      <w:pPr>
        <w:overflowPunct/>
        <w:autoSpaceDE/>
        <w:autoSpaceDN/>
        <w:adjustRightInd/>
        <w:textAlignment w:val="auto"/>
        <w:rPr>
          <w:b/>
          <w:bCs/>
          <w:sz w:val="24"/>
          <w:szCs w:val="24"/>
        </w:rPr>
      </w:pPr>
    </w:p>
    <w:p w14:paraId="7809170F" w14:textId="0FC6A2E6" w:rsidR="00211695" w:rsidRDefault="00211695" w:rsidP="00211695">
      <w:pPr>
        <w:overflowPunct/>
        <w:autoSpaceDE/>
        <w:autoSpaceDN/>
        <w:adjustRightInd/>
        <w:textAlignment w:val="auto"/>
        <w:rPr>
          <w:b/>
          <w:bCs/>
          <w:sz w:val="24"/>
          <w:szCs w:val="24"/>
        </w:rPr>
      </w:pPr>
    </w:p>
    <w:p w14:paraId="5263FC30" w14:textId="60CEA4D6" w:rsidR="00211695" w:rsidRDefault="00211695" w:rsidP="00211695">
      <w:pPr>
        <w:overflowPunct/>
        <w:autoSpaceDE/>
        <w:autoSpaceDN/>
        <w:adjustRightInd/>
        <w:textAlignment w:val="auto"/>
        <w:rPr>
          <w:b/>
          <w:bCs/>
          <w:sz w:val="24"/>
          <w:szCs w:val="24"/>
        </w:rPr>
      </w:pPr>
    </w:p>
    <w:p w14:paraId="7296990E" w14:textId="167A9CD5" w:rsidR="00211695" w:rsidRDefault="00211695" w:rsidP="00211695">
      <w:pPr>
        <w:overflowPunct/>
        <w:autoSpaceDE/>
        <w:autoSpaceDN/>
        <w:adjustRightInd/>
        <w:textAlignment w:val="auto"/>
        <w:rPr>
          <w:b/>
          <w:bCs/>
          <w:sz w:val="24"/>
          <w:szCs w:val="24"/>
        </w:rPr>
      </w:pPr>
    </w:p>
    <w:p w14:paraId="78DF5CD6" w14:textId="2BF96632" w:rsidR="00211695" w:rsidRDefault="00211695" w:rsidP="00211695">
      <w:pPr>
        <w:overflowPunct/>
        <w:autoSpaceDE/>
        <w:autoSpaceDN/>
        <w:adjustRightInd/>
        <w:textAlignment w:val="auto"/>
        <w:rPr>
          <w:b/>
          <w:bCs/>
          <w:sz w:val="24"/>
          <w:szCs w:val="24"/>
        </w:rPr>
      </w:pPr>
    </w:p>
    <w:p w14:paraId="19D247BC" w14:textId="3316BA49" w:rsidR="00211695" w:rsidRDefault="00211695" w:rsidP="00211695">
      <w:pPr>
        <w:overflowPunct/>
        <w:autoSpaceDE/>
        <w:autoSpaceDN/>
        <w:adjustRightInd/>
        <w:textAlignment w:val="auto"/>
        <w:rPr>
          <w:b/>
          <w:bCs/>
          <w:sz w:val="24"/>
          <w:szCs w:val="24"/>
        </w:rPr>
      </w:pPr>
    </w:p>
    <w:p w14:paraId="09F544D6" w14:textId="215E6FB4" w:rsidR="00211695" w:rsidRDefault="00211695" w:rsidP="00211695">
      <w:pPr>
        <w:overflowPunct/>
        <w:autoSpaceDE/>
        <w:autoSpaceDN/>
        <w:adjustRightInd/>
        <w:textAlignment w:val="auto"/>
        <w:rPr>
          <w:b/>
          <w:bCs/>
          <w:sz w:val="24"/>
          <w:szCs w:val="24"/>
        </w:rPr>
      </w:pPr>
    </w:p>
    <w:p w14:paraId="3EF01B71" w14:textId="1C5989BB" w:rsidR="00211695" w:rsidRDefault="00211695" w:rsidP="00211695">
      <w:pPr>
        <w:overflowPunct/>
        <w:autoSpaceDE/>
        <w:autoSpaceDN/>
        <w:adjustRightInd/>
        <w:textAlignment w:val="auto"/>
        <w:rPr>
          <w:b/>
          <w:bCs/>
          <w:sz w:val="24"/>
          <w:szCs w:val="24"/>
        </w:rPr>
      </w:pPr>
    </w:p>
    <w:p w14:paraId="32058FF2" w14:textId="1A6FF58F" w:rsidR="00211695" w:rsidRDefault="00211695" w:rsidP="00211695">
      <w:pPr>
        <w:overflowPunct/>
        <w:autoSpaceDE/>
        <w:autoSpaceDN/>
        <w:adjustRightInd/>
        <w:textAlignment w:val="auto"/>
        <w:rPr>
          <w:b/>
          <w:bCs/>
          <w:sz w:val="24"/>
          <w:szCs w:val="24"/>
        </w:rPr>
      </w:pPr>
    </w:p>
    <w:p w14:paraId="542C1CBB" w14:textId="3B570B19" w:rsidR="00211695" w:rsidRDefault="00211695" w:rsidP="00211695">
      <w:pPr>
        <w:overflowPunct/>
        <w:autoSpaceDE/>
        <w:autoSpaceDN/>
        <w:adjustRightInd/>
        <w:textAlignment w:val="auto"/>
        <w:rPr>
          <w:b/>
          <w:bCs/>
          <w:sz w:val="24"/>
          <w:szCs w:val="24"/>
        </w:rPr>
      </w:pPr>
    </w:p>
    <w:p w14:paraId="15519DC5" w14:textId="771E4051" w:rsidR="00211695" w:rsidRDefault="00211695" w:rsidP="00211695">
      <w:pPr>
        <w:overflowPunct/>
        <w:autoSpaceDE/>
        <w:autoSpaceDN/>
        <w:adjustRightInd/>
        <w:textAlignment w:val="auto"/>
        <w:rPr>
          <w:b/>
          <w:bCs/>
          <w:sz w:val="24"/>
          <w:szCs w:val="24"/>
        </w:rPr>
      </w:pPr>
    </w:p>
    <w:p w14:paraId="5E9654A4" w14:textId="483A031A" w:rsidR="00211695" w:rsidRDefault="00211695" w:rsidP="00211695">
      <w:pPr>
        <w:overflowPunct/>
        <w:autoSpaceDE/>
        <w:autoSpaceDN/>
        <w:adjustRightInd/>
        <w:textAlignment w:val="auto"/>
        <w:rPr>
          <w:b/>
          <w:bCs/>
          <w:sz w:val="24"/>
          <w:szCs w:val="24"/>
        </w:rPr>
      </w:pPr>
    </w:p>
    <w:p w14:paraId="7495C905" w14:textId="314DB715" w:rsidR="00211695" w:rsidRDefault="00211695" w:rsidP="00211695">
      <w:pPr>
        <w:overflowPunct/>
        <w:autoSpaceDE/>
        <w:autoSpaceDN/>
        <w:adjustRightInd/>
        <w:textAlignment w:val="auto"/>
        <w:rPr>
          <w:b/>
          <w:bCs/>
          <w:sz w:val="24"/>
          <w:szCs w:val="24"/>
        </w:rPr>
      </w:pPr>
    </w:p>
    <w:p w14:paraId="0D757A9F" w14:textId="6EEDDF01" w:rsidR="00211695" w:rsidRDefault="00211695" w:rsidP="00211695">
      <w:pPr>
        <w:overflowPunct/>
        <w:autoSpaceDE/>
        <w:autoSpaceDN/>
        <w:adjustRightInd/>
        <w:textAlignment w:val="auto"/>
        <w:rPr>
          <w:b/>
          <w:bCs/>
          <w:sz w:val="24"/>
          <w:szCs w:val="24"/>
        </w:rPr>
      </w:pPr>
    </w:p>
    <w:p w14:paraId="369120E0" w14:textId="78A7006C" w:rsidR="00211695" w:rsidRDefault="00211695" w:rsidP="00211695">
      <w:pPr>
        <w:overflowPunct/>
        <w:autoSpaceDE/>
        <w:autoSpaceDN/>
        <w:adjustRightInd/>
        <w:textAlignment w:val="auto"/>
        <w:rPr>
          <w:b/>
          <w:bCs/>
          <w:sz w:val="24"/>
          <w:szCs w:val="24"/>
        </w:rPr>
      </w:pPr>
    </w:p>
    <w:p w14:paraId="39C82147" w14:textId="4DB165F4" w:rsidR="00211695" w:rsidRDefault="00211695" w:rsidP="00211695">
      <w:pPr>
        <w:overflowPunct/>
        <w:autoSpaceDE/>
        <w:autoSpaceDN/>
        <w:adjustRightInd/>
        <w:textAlignment w:val="auto"/>
        <w:rPr>
          <w:b/>
          <w:bCs/>
          <w:sz w:val="24"/>
          <w:szCs w:val="24"/>
        </w:rPr>
      </w:pPr>
    </w:p>
    <w:p w14:paraId="29A10E38" w14:textId="77777777" w:rsidR="00211695" w:rsidRPr="00211695" w:rsidRDefault="00211695" w:rsidP="00211695">
      <w:pPr>
        <w:overflowPunct/>
        <w:autoSpaceDE/>
        <w:autoSpaceDN/>
        <w:adjustRightInd/>
        <w:textAlignment w:val="auto"/>
        <w:rPr>
          <w:b/>
          <w:bCs/>
          <w:sz w:val="24"/>
          <w:szCs w:val="24"/>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386B9E52" w14:textId="71D07E3F" w:rsidR="02D63252" w:rsidRDefault="02D63252" w:rsidP="5CE196A1">
      <w:pPr>
        <w:ind w:right="237"/>
        <w:jc w:val="both"/>
        <w:rPr>
          <w:b/>
          <w:bCs/>
          <w:color w:val="000000" w:themeColor="text1"/>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w:t>
      </w:r>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1063130F" w14:textId="77777777" w:rsidR="0065053F" w:rsidRDefault="0065053F" w:rsidP="009370AE">
      <w:pPr>
        <w:ind w:right="237"/>
        <w:jc w:val="both"/>
        <w:rPr>
          <w:b/>
          <w:bCs/>
          <w:color w:val="000000" w:themeColor="text1"/>
          <w:sz w:val="28"/>
          <w:szCs w:val="28"/>
        </w:rPr>
      </w:pPr>
    </w:p>
    <w:p w14:paraId="7712005C" w14:textId="77777777" w:rsidR="0065053F" w:rsidRPr="00820B15" w:rsidRDefault="0065053F" w:rsidP="0065053F">
      <w:pPr>
        <w:rPr>
          <w:sz w:val="24"/>
          <w:szCs w:val="24"/>
        </w:rPr>
      </w:pPr>
      <w:r>
        <w:rPr>
          <w:sz w:val="24"/>
          <w:szCs w:val="24"/>
        </w:rPr>
        <w:t xml:space="preserve">The investigation I am going to be discussing during this essay is where a female had been raped by her male partner after going on a night out, with the offence being a serious offence and domestic related. </w:t>
      </w:r>
    </w:p>
    <w:p w14:paraId="08A4CDC0" w14:textId="77777777" w:rsidR="0065053F" w:rsidRDefault="0065053F" w:rsidP="0065053F"/>
    <w:p w14:paraId="3575E9D6" w14:textId="77777777" w:rsidR="0065053F" w:rsidRDefault="0065053F" w:rsidP="0065053F"/>
    <w:p w14:paraId="07987B3B" w14:textId="77777777" w:rsidR="0065053F" w:rsidRDefault="0065053F" w:rsidP="0065053F">
      <w:pPr>
        <w:rPr>
          <w:sz w:val="24"/>
          <w:szCs w:val="24"/>
        </w:rPr>
      </w:pPr>
      <w:r w:rsidRPr="0042711D">
        <w:rPr>
          <w:sz w:val="24"/>
          <w:szCs w:val="24"/>
        </w:rPr>
        <w:t>In the year ending March 2023, 5.5 million crimes were reported in England and Wales (Home Office Official Statistics)</w:t>
      </w:r>
      <w:r>
        <w:rPr>
          <w:sz w:val="24"/>
          <w:szCs w:val="24"/>
        </w:rPr>
        <w:t xml:space="preserve">. According to the Office for National Statistics </w:t>
      </w:r>
      <w:r>
        <w:rPr>
          <w:sz w:val="24"/>
          <w:szCs w:val="24"/>
        </w:rPr>
        <w:lastRenderedPageBreak/>
        <w:t xml:space="preserve">(ONS), in the year ending March 2022, there were over 1.1 million people in England and Wales who were victims of a sexual offence. For female victims, the perpetrator for rape was most likely to be an intimate partner, where 46% of perpetrators were their intimate partner (Elkin 2023 (ONS)). Every single one of these crimes leave a victim, however, crime effects all people in different ways (Walklate 2007). The impact of this crime can be influenced by many factors, including the victim’s characteristics, and the support available (Walklate, 2007), with the characteristics of the incident also influencing the number and nature of required needs of the victim (ten Boom and Kuijpers, 2012). Therefore, every victim of crime needs different support and the support they receive should be tailored to the victim’s individual needs, and the support provided should be to support both the short-term needs of the victim, and the longer term needs throughout the investigation, and after the investigation has concluded, regardless of the outcome. </w:t>
      </w:r>
    </w:p>
    <w:p w14:paraId="7FBC3AA8" w14:textId="77777777" w:rsidR="0065053F" w:rsidRDefault="0065053F" w:rsidP="0065053F">
      <w:pPr>
        <w:rPr>
          <w:sz w:val="24"/>
          <w:szCs w:val="24"/>
        </w:rPr>
      </w:pPr>
    </w:p>
    <w:p w14:paraId="73233005" w14:textId="77777777" w:rsidR="0065053F" w:rsidRDefault="0065053F" w:rsidP="0065053F">
      <w:pPr>
        <w:rPr>
          <w:sz w:val="24"/>
          <w:szCs w:val="24"/>
        </w:rPr>
      </w:pPr>
      <w:r>
        <w:rPr>
          <w:sz w:val="24"/>
          <w:szCs w:val="24"/>
        </w:rPr>
        <w:t xml:space="preserve">The incident occurred a number of months ago, where the victim had told officers that she had went out on a day out with friends consuming alcohol in a City Centre. Her boyfriend had been texting her all day checking where she was and checking in on her, until he picked her up at approximately 2100 hours and took her to her address, where he was also staying that night. Around 1 hour later, a report was made to police by the victim stating that she had been raped by her boyfriend in her own bed. As an officer on a team who investigates rape offences, colleagues and I made our way to the address where the suspect was arrested, and I met the victim. The victim appeared in complete fear of the suspect, really panicked and confused, as well as completely angry towards the suspect. According to Shapland and Hall (2007), being in fear and angry are both short term psychological impacts of crime on a victim. Miers (1992) also states that immediate impacts of crime on a victim can be fear, anger, shock, and guilt. For me to support the victim, I needed to calm her down and bring her out of her panicked, fearful and angry state. One way in which I did this was just to give her plenty of time to herself and when she was ready, start to talk to her about her fears and anger, as taking time away from the situation, and then talking about your fears is an effective way to calm a person down (Public Health Scotland). Ultimately, this allowed the victim to gather her thoughts before I was able to speak to her in detail about the offence. She was then able to provide a clear and detailed statement (PPD 3), which I do not believe she would have if she was still suffering psychologically as at first. According to the College of Policing, the way in which officers initially approach victims from initial contact </w:t>
      </w:r>
      <w:r w:rsidRPr="00D80DA7">
        <w:rPr>
          <w:sz w:val="24"/>
          <w:szCs w:val="24"/>
        </w:rPr>
        <w:t>can have a significant bearing on their perceptions of how the criminal justice system operates</w:t>
      </w:r>
      <w:r>
        <w:rPr>
          <w:sz w:val="24"/>
          <w:szCs w:val="24"/>
        </w:rPr>
        <w:t xml:space="preserve">. The College of Policing also state that inappropriate methods may delay or prevent the supply of relevant material for the investigation or may hamper the investigation. Supporting her in that moment of crisis and providing the victim with the necessary support at the very initial stage helped the victim and the investigation by obtaining a clear PPD 3, and laying the foundations of how the victim would be supported throughout the investigation. After all, a study by Monroe et al (2005) reported that 46.2% of victims who didn’t make a complaint to police, didn’t make a complaint due to the interview with police. If that initial PPD 3 was taken when the victim was in a time of crisis, then it may have led to her not pursuing a complaint as a result of my actions. The victim did not wish to go to the Sexual Assault Referral Clinic (SARC) to be forensically examined on that night, however. </w:t>
      </w:r>
    </w:p>
    <w:p w14:paraId="27F62CB9" w14:textId="77777777" w:rsidR="0065053F" w:rsidRDefault="0065053F" w:rsidP="0065053F">
      <w:pPr>
        <w:rPr>
          <w:sz w:val="24"/>
          <w:szCs w:val="24"/>
        </w:rPr>
      </w:pPr>
    </w:p>
    <w:p w14:paraId="2A1E8741" w14:textId="77777777" w:rsidR="0065053F" w:rsidRDefault="0065053F" w:rsidP="0065053F">
      <w:pPr>
        <w:rPr>
          <w:sz w:val="24"/>
          <w:szCs w:val="24"/>
        </w:rPr>
      </w:pPr>
    </w:p>
    <w:p w14:paraId="70379E7A" w14:textId="77777777" w:rsidR="0065053F" w:rsidRDefault="0065053F" w:rsidP="0065053F">
      <w:pPr>
        <w:rPr>
          <w:sz w:val="24"/>
          <w:szCs w:val="24"/>
        </w:rPr>
      </w:pPr>
      <w:r>
        <w:rPr>
          <w:sz w:val="24"/>
          <w:szCs w:val="24"/>
        </w:rPr>
        <w:lastRenderedPageBreak/>
        <w:t xml:space="preserve">After a PPD 3 had been taken from the victim, the victim was asked if she would like to be referred to our force’s Victim Focus, if she consents to a Public Protection Notice being submitted, and documentation was provided for Victim Support. Our force’s Victim Focus offers victims support throughout the investigation by explaining the process to them. Research by Wedlock and Tapley (2016) state it is very important to provide victims with information about the criminal justice system. If the victim in not provided with enough information, they can suffer from further distress (Newburn and Merry, 1990). Victim Support offers free and confidential 24/7 emotional support to victims of crime and can offer specialised services for victims of sexual crimes and domestic abuse (Dinisman and Moroz, 2017, and Victim Support). </w:t>
      </w:r>
    </w:p>
    <w:p w14:paraId="20C7B4AB" w14:textId="77777777" w:rsidR="0065053F" w:rsidRDefault="0065053F" w:rsidP="0065053F">
      <w:pPr>
        <w:rPr>
          <w:sz w:val="24"/>
          <w:szCs w:val="24"/>
        </w:rPr>
      </w:pPr>
      <w:r>
        <w:rPr>
          <w:sz w:val="24"/>
          <w:szCs w:val="24"/>
        </w:rPr>
        <w:t xml:space="preserve">Due to the nature of the offence, the victim was also asked if she would like a New Pathways Referral to be submitted so she can receive support from the SARC, who specialise supporting victims of sexual offences. New Pathways offers free specialist crisis, advocacy and counselling services to victims of rape, sexual assault, or sexual abuse (New Pathways). Police officers are not trained to provide the necessary support that victims need, and officer do not work 24 hours a day, 7 days a week. According to Stuebing (1984), immediately after the offence, victims need emotional support. Therefore, as providing the best possible immediate and long term support to this victim is something that I am not able to do, although it is something that I like to have been able to have done, I have referred the victim to all above services, which was the correct thing to do. I cannot offer the emotional support to the victim and cannot provide 24/7 support either. Upon reflection of the initial support and referrals made, as the offence was domestic related, I should have provided the victim with documentation and information on services that specialise in this area, such as Women’s Aid, and Live Fear Free, to ensure that all of the victim’s initial needs were met and that she requires the individual support she requires. </w:t>
      </w:r>
    </w:p>
    <w:p w14:paraId="286AD1D3" w14:textId="77777777" w:rsidR="0065053F" w:rsidRDefault="0065053F" w:rsidP="0065053F">
      <w:pPr>
        <w:rPr>
          <w:sz w:val="24"/>
          <w:szCs w:val="24"/>
        </w:rPr>
      </w:pPr>
    </w:p>
    <w:p w14:paraId="25004CFE" w14:textId="2B438CCF" w:rsidR="0065053F" w:rsidRDefault="0065053F" w:rsidP="0065053F">
      <w:pPr>
        <w:rPr>
          <w:sz w:val="24"/>
          <w:szCs w:val="24"/>
        </w:rPr>
      </w:pPr>
      <w:r>
        <w:rPr>
          <w:sz w:val="24"/>
          <w:szCs w:val="24"/>
        </w:rPr>
        <w:t xml:space="preserve">After being with the victim, fast track swabs were taken from the suspect whilst in custody. These swabs were essential prior to the first interview, as if he were to deny the offence in interview, the swabs with DNA would provide a huge amount of evidence towards the case. As soon as the swabs were taken, a fast-track interview was completed to get the suspects first account based on the victim’s first account, where he said that the sexual acts were all consensual. The first interview was conducted quickly so that an ABE could be done with the victim whilst the suspect was still in custody. The second interview could then provide more challenges based on the victim’s full account. At the end of the interviews, the suspect was also given supportive documents. These are Stopso, </w:t>
      </w:r>
      <w:r w:rsidR="002417F0">
        <w:rPr>
          <w:sz w:val="24"/>
          <w:szCs w:val="24"/>
        </w:rPr>
        <w:t>Samaritans</w:t>
      </w:r>
      <w:r>
        <w:rPr>
          <w:sz w:val="24"/>
          <w:szCs w:val="24"/>
        </w:rPr>
        <w:t xml:space="preserve"> and an information sheet provided by the force explaining the process, with my contact details are on. Whilst being impartial, it can be difficult to provide support to the suspects when they admit to these serious offences or like the suspect was doing during this interview, laughing at his distressed girlfriend and blaming her as it was her fault, making the investigation seem like a funny joke to him. I had to subside my own personal attitudes towards the suspect and still provide him with the supportive documents and occasional ‘check ins’ with him to understand his mental state to provide him with support during the investigation as it is a serious allegation, and officers are always unsure how suspects will react. </w:t>
      </w:r>
    </w:p>
    <w:p w14:paraId="17966EBD" w14:textId="77777777" w:rsidR="0065053F" w:rsidRDefault="0065053F" w:rsidP="0065053F">
      <w:pPr>
        <w:rPr>
          <w:sz w:val="24"/>
          <w:szCs w:val="24"/>
        </w:rPr>
      </w:pPr>
    </w:p>
    <w:p w14:paraId="01230090" w14:textId="77777777" w:rsidR="0065053F" w:rsidRDefault="0065053F" w:rsidP="0065053F">
      <w:pPr>
        <w:rPr>
          <w:sz w:val="24"/>
          <w:szCs w:val="24"/>
        </w:rPr>
      </w:pPr>
    </w:p>
    <w:p w14:paraId="36D934C2" w14:textId="77777777" w:rsidR="0065053F" w:rsidRDefault="0065053F" w:rsidP="0065053F">
      <w:pPr>
        <w:rPr>
          <w:sz w:val="24"/>
          <w:szCs w:val="24"/>
        </w:rPr>
      </w:pPr>
      <w:r>
        <w:rPr>
          <w:sz w:val="24"/>
          <w:szCs w:val="24"/>
        </w:rPr>
        <w:t xml:space="preserve">For the victim, longer term and throughout the investigative process, victims will likely need the most help between a couple of weeks and six months, either from </w:t>
      </w:r>
      <w:r>
        <w:rPr>
          <w:sz w:val="24"/>
          <w:szCs w:val="24"/>
        </w:rPr>
        <w:lastRenderedPageBreak/>
        <w:t>friends and family, or professionals (Hill, 2009). According to Norris et al (1997), all victims of crime experience distress after the crime has been committed, with the common reactions of crime being depression and anxiety (Everly et al, 2000) and Post Traumatic Stress Disorder (PTSD) (Hill, 2009). With sexual offences, victims experience more severe reactions to the crime and take longer to heal than victims of non-sexual crimes (</w:t>
      </w:r>
      <w:r w:rsidRPr="001C4811">
        <w:rPr>
          <w:sz w:val="24"/>
          <w:szCs w:val="24"/>
        </w:rPr>
        <w:t>Gilboa-Schechtman and Foa 2001).</w:t>
      </w:r>
      <w:r>
        <w:rPr>
          <w:sz w:val="24"/>
          <w:szCs w:val="24"/>
        </w:rPr>
        <w:t xml:space="preserve"> In order to help the victim throughout the investigative process, it is the duty of the police officer to ensure that the victim has access to the appropriate professional support in place, whether it is from the police or other agencies. Professional support can help from the police can help support the victim (Hill, 2009). During the investigative process, there are many needs of victim that the police are able to provide themselves. These include a single point of contact (Button et al, 2009), information from the police (Brickman et al, 2002), including information about the justice system and common reactions (</w:t>
      </w:r>
      <w:r w:rsidRPr="000A301A">
        <w:rPr>
          <w:color w:val="000000" w:themeColor="text1"/>
          <w:sz w:val="24"/>
          <w:szCs w:val="24"/>
        </w:rPr>
        <w:t>Greenberg and Ruback 1992</w:t>
      </w:r>
      <w:r>
        <w:rPr>
          <w:sz w:val="24"/>
          <w:szCs w:val="24"/>
        </w:rPr>
        <w:t>), and regular updates on the progression of the investigation (Button et al, 2009). As I was the SPOC during the investigation, I was able to meet these needs of the victim. Throughout the investigation, I was able to provide the victim with a level of professional support. The victim was provided with my work personal mobile number, as well as email address so that she could contact me whenever she wished. Wherever I felt that I was not in a position or capable to offer the adequate emotional support that the victim needed, I was able to provide her with agencies and charities, and advice on who she could speak to so that she was supported appropriately in that way. Research by Green and Diaz (2007) found that with victims, even the belief that they have support can make them feel better, and support can also reduce the victim’s anxiety (Green and Pomperoy, 2007). Throughout this, I was also able to provide the victim with regular updates on the progression of the case every 2 weeks, ensuring that she was not left for more than 2 weeks without an update so that I was clear and transparent with her about the investigation, and to ease her mind that the investigation was progressing. This also allowed me to have regular ‘check ins’ with the victim, whether they were in person or over the phone that enabled me to understand her needs and wellbeing better, so that I could tailor the support she received to meet her needs. Throughout the investigation, I was providing the victim with information about the case and in particular, information about the criminal justice system, as well as utilising our forces Victim Focus, and Witness Care. The criminal justice system can be scary to victims and the thought of going to court to give evidence can be daunting. One way in which I supported the victim through this was to make the victim aware of the Victim Code of Practice and made her aware of her enhanced rights, as well as her right to special measures, explaining to victim what they are and how they can help her with the fear and stress of going to court, and also to help her provide the best evidence for the court. By explaining these to the victim, the victim was able to understand her basic rights and entitlements and ease her mind about court later down the line.</w:t>
      </w:r>
    </w:p>
    <w:p w14:paraId="45C9C2E8" w14:textId="77777777" w:rsidR="0065053F" w:rsidRDefault="0065053F" w:rsidP="0065053F">
      <w:pPr>
        <w:rPr>
          <w:sz w:val="24"/>
          <w:szCs w:val="24"/>
        </w:rPr>
      </w:pPr>
    </w:p>
    <w:p w14:paraId="684707B5" w14:textId="77777777" w:rsidR="0065053F" w:rsidRDefault="0065053F" w:rsidP="0065053F">
      <w:pPr>
        <w:rPr>
          <w:sz w:val="24"/>
          <w:szCs w:val="24"/>
        </w:rPr>
      </w:pPr>
      <w:r>
        <w:rPr>
          <w:sz w:val="24"/>
          <w:szCs w:val="24"/>
        </w:rPr>
        <w:t xml:space="preserve">I feel that I supported the victim well during the investigation, and when needed I referred her to the appropriate agencies that were able to provide her with the support she needs. As police officers, we usually deal with many victims at once. However, every victim must be treated equally and their individual needs met, which can be difficult due to the number of victims we have. With victim’s individual needs, if I speak with victims regularly it allows me to see what needs that victim might need if they have any, and to see what victims need more support and what victims do not </w:t>
      </w:r>
      <w:r>
        <w:rPr>
          <w:sz w:val="24"/>
          <w:szCs w:val="24"/>
        </w:rPr>
        <w:lastRenderedPageBreak/>
        <w:t xml:space="preserve">wish to have that much support. With the victim in this essay, I provided as much support as I possibly could and I believe that the support offered had helped the victim support the investigation, as well as helping her to cope throughout. Looking back however, there were services that I didn’t provide the victim with that could have helped her at the beginning and during the investigation. As stated previously, these were Live Fear Free and Women’s Aid, as well as further domestic-related agencies. Victims of serious offences should have the best possible support available and whilst I felt that I supported her the best that I can, I could have utilised more resources to support her. </w:t>
      </w:r>
    </w:p>
    <w:p w14:paraId="07FFAB42" w14:textId="77777777" w:rsidR="0065053F" w:rsidRDefault="0065053F" w:rsidP="0065053F">
      <w:pPr>
        <w:rPr>
          <w:sz w:val="24"/>
          <w:szCs w:val="24"/>
        </w:rPr>
      </w:pPr>
    </w:p>
    <w:p w14:paraId="7659CA28" w14:textId="77777777" w:rsidR="0065053F" w:rsidRDefault="0065053F" w:rsidP="0065053F">
      <w:pPr>
        <w:rPr>
          <w:sz w:val="24"/>
          <w:szCs w:val="24"/>
        </w:rPr>
      </w:pPr>
    </w:p>
    <w:p w14:paraId="6DAD4FCC" w14:textId="77777777" w:rsidR="0065053F" w:rsidRDefault="0065053F" w:rsidP="0065053F"/>
    <w:p w14:paraId="2CDB3B46" w14:textId="77777777" w:rsidR="0065053F" w:rsidRPr="0065053F" w:rsidRDefault="0065053F" w:rsidP="0065053F">
      <w:pPr>
        <w:rPr>
          <w:sz w:val="24"/>
          <w:szCs w:val="24"/>
        </w:rPr>
      </w:pPr>
      <w:r w:rsidRPr="0065053F">
        <w:rPr>
          <w:sz w:val="24"/>
          <w:szCs w:val="24"/>
        </w:rPr>
        <w:t>Total word count: 2192</w:t>
      </w:r>
    </w:p>
    <w:p w14:paraId="2006CC9E" w14:textId="77777777" w:rsidR="0065053F" w:rsidRPr="0065053F" w:rsidRDefault="0065053F" w:rsidP="0065053F">
      <w:pPr>
        <w:rPr>
          <w:sz w:val="24"/>
          <w:szCs w:val="24"/>
        </w:rPr>
      </w:pPr>
    </w:p>
    <w:p w14:paraId="3FADBFF9" w14:textId="77777777" w:rsidR="0065053F" w:rsidRPr="0065053F" w:rsidRDefault="0065053F" w:rsidP="0065053F">
      <w:pPr>
        <w:rPr>
          <w:sz w:val="24"/>
          <w:szCs w:val="24"/>
        </w:rPr>
      </w:pPr>
    </w:p>
    <w:p w14:paraId="3454B5C8" w14:textId="57E65B67" w:rsidR="0065053F" w:rsidRPr="0065053F" w:rsidRDefault="0065053F" w:rsidP="0065053F">
      <w:pPr>
        <w:rPr>
          <w:sz w:val="24"/>
          <w:szCs w:val="24"/>
        </w:rPr>
      </w:pPr>
      <w:r w:rsidRPr="0065053F">
        <w:rPr>
          <w:sz w:val="24"/>
          <w:szCs w:val="24"/>
        </w:rPr>
        <w:t xml:space="preserve">Task 2 References: </w:t>
      </w:r>
    </w:p>
    <w:p w14:paraId="24C0854D" w14:textId="77777777" w:rsidR="0065053F" w:rsidRPr="0065053F" w:rsidRDefault="0065053F" w:rsidP="0065053F">
      <w:pPr>
        <w:rPr>
          <w:sz w:val="24"/>
          <w:szCs w:val="24"/>
        </w:rPr>
      </w:pPr>
    </w:p>
    <w:p w14:paraId="7CE29E3E" w14:textId="77777777" w:rsidR="0065053F" w:rsidRPr="0065053F" w:rsidRDefault="0065053F" w:rsidP="0065053F">
      <w:pPr>
        <w:rPr>
          <w:sz w:val="24"/>
          <w:szCs w:val="24"/>
        </w:rPr>
      </w:pPr>
    </w:p>
    <w:p w14:paraId="0B558E26" w14:textId="7570A122" w:rsidR="0065053F" w:rsidRPr="0065053F" w:rsidRDefault="0065053F" w:rsidP="0065053F">
      <w:pPr>
        <w:rPr>
          <w:sz w:val="24"/>
          <w:szCs w:val="24"/>
        </w:rPr>
      </w:pPr>
      <w:r w:rsidRPr="0065053F">
        <w:rPr>
          <w:sz w:val="24"/>
          <w:szCs w:val="24"/>
        </w:rPr>
        <w:t>Brickman, E., Davis, R., Rabinovich, B., Cantor, D., &amp; Shapiro, G. (2002). Victim needs and victim assistance. Report to the National Institute of Justice</w:t>
      </w:r>
    </w:p>
    <w:p w14:paraId="6C3AF8E1" w14:textId="77777777" w:rsidR="0065053F" w:rsidRPr="0065053F" w:rsidRDefault="0065053F" w:rsidP="0065053F">
      <w:pPr>
        <w:rPr>
          <w:sz w:val="24"/>
          <w:szCs w:val="24"/>
        </w:rPr>
      </w:pPr>
    </w:p>
    <w:p w14:paraId="5A3319C6" w14:textId="77777777" w:rsidR="0065053F" w:rsidRPr="0065053F" w:rsidRDefault="0065053F" w:rsidP="0065053F">
      <w:pPr>
        <w:rPr>
          <w:sz w:val="24"/>
          <w:szCs w:val="24"/>
        </w:rPr>
      </w:pPr>
    </w:p>
    <w:p w14:paraId="2D6ACEF8" w14:textId="48A417D5" w:rsidR="0065053F" w:rsidRPr="0065053F" w:rsidRDefault="0065053F" w:rsidP="0065053F">
      <w:pPr>
        <w:rPr>
          <w:sz w:val="24"/>
          <w:szCs w:val="24"/>
        </w:rPr>
      </w:pPr>
      <w:r w:rsidRPr="0065053F">
        <w:rPr>
          <w:sz w:val="24"/>
          <w:szCs w:val="24"/>
        </w:rPr>
        <w:t>Button, Mark &amp; Lewis, Chris &amp; Tapley, Jacki. (2009). A better deal for fraud victims : research into victims’ needs and experiences</w:t>
      </w:r>
    </w:p>
    <w:p w14:paraId="7592C40D" w14:textId="77777777" w:rsidR="0065053F" w:rsidRPr="0065053F" w:rsidRDefault="0065053F" w:rsidP="0065053F">
      <w:pPr>
        <w:rPr>
          <w:sz w:val="24"/>
          <w:szCs w:val="24"/>
        </w:rPr>
      </w:pPr>
    </w:p>
    <w:p w14:paraId="31453F8F" w14:textId="77777777" w:rsidR="0065053F" w:rsidRPr="0065053F" w:rsidRDefault="0065053F" w:rsidP="0065053F">
      <w:pPr>
        <w:rPr>
          <w:sz w:val="24"/>
          <w:szCs w:val="24"/>
        </w:rPr>
      </w:pPr>
    </w:p>
    <w:p w14:paraId="1A781D43" w14:textId="3AE9AAAB" w:rsidR="0065053F" w:rsidRPr="0065053F" w:rsidRDefault="0065053F" w:rsidP="0065053F">
      <w:pPr>
        <w:rPr>
          <w:sz w:val="24"/>
          <w:szCs w:val="24"/>
        </w:rPr>
      </w:pPr>
      <w:r w:rsidRPr="0065053F">
        <w:rPr>
          <w:sz w:val="24"/>
          <w:szCs w:val="24"/>
        </w:rPr>
        <w:t>College of Policing (2023). </w:t>
      </w:r>
      <w:r w:rsidRPr="0065053F">
        <w:rPr>
          <w:i/>
          <w:iCs/>
          <w:sz w:val="24"/>
          <w:szCs w:val="24"/>
        </w:rPr>
        <w:t>Working with Victims and Witnesses</w:t>
      </w:r>
      <w:r w:rsidRPr="0065053F">
        <w:rPr>
          <w:sz w:val="24"/>
          <w:szCs w:val="24"/>
        </w:rPr>
        <w:t xml:space="preserve">. [online] College of Policing. Available at: </w:t>
      </w:r>
      <w:hyperlink r:id="rId27" w:history="1">
        <w:r w:rsidRPr="0065053F">
          <w:rPr>
            <w:rStyle w:val="Hyperlink"/>
            <w:sz w:val="24"/>
            <w:szCs w:val="24"/>
          </w:rPr>
          <w:t>https://www.college.police.uk/app/investigation/working-victims-and-witnesses</w:t>
        </w:r>
      </w:hyperlink>
      <w:r w:rsidRPr="0065053F">
        <w:rPr>
          <w:sz w:val="24"/>
          <w:szCs w:val="24"/>
        </w:rPr>
        <w:t>.</w:t>
      </w:r>
    </w:p>
    <w:p w14:paraId="0D07549B" w14:textId="77777777" w:rsidR="0065053F" w:rsidRPr="0065053F" w:rsidRDefault="0065053F" w:rsidP="0065053F">
      <w:pPr>
        <w:rPr>
          <w:sz w:val="24"/>
          <w:szCs w:val="24"/>
        </w:rPr>
      </w:pPr>
    </w:p>
    <w:p w14:paraId="75A7A173" w14:textId="77777777" w:rsidR="0065053F" w:rsidRPr="0065053F" w:rsidRDefault="0065053F" w:rsidP="0065053F">
      <w:pPr>
        <w:rPr>
          <w:sz w:val="24"/>
          <w:szCs w:val="24"/>
        </w:rPr>
      </w:pPr>
    </w:p>
    <w:p w14:paraId="6D4579CD" w14:textId="690165B4" w:rsidR="0065053F" w:rsidRPr="0065053F" w:rsidRDefault="0065053F" w:rsidP="0065053F">
      <w:pPr>
        <w:rPr>
          <w:sz w:val="24"/>
          <w:szCs w:val="24"/>
        </w:rPr>
      </w:pPr>
      <w:r w:rsidRPr="0065053F">
        <w:rPr>
          <w:sz w:val="24"/>
          <w:szCs w:val="24"/>
        </w:rPr>
        <w:t>Dinisman, Tamar &amp; Moroz, Ania. (2017). Understanding victims of crime: The impact of the crime and support needs. 10.13140/RG.2.2.17335.73124.</w:t>
      </w:r>
    </w:p>
    <w:p w14:paraId="1D5E8FDB" w14:textId="77777777" w:rsidR="0065053F" w:rsidRPr="0065053F" w:rsidRDefault="0065053F" w:rsidP="0065053F">
      <w:pPr>
        <w:rPr>
          <w:sz w:val="24"/>
          <w:szCs w:val="24"/>
        </w:rPr>
      </w:pPr>
    </w:p>
    <w:p w14:paraId="56C54553" w14:textId="77777777" w:rsidR="0065053F" w:rsidRPr="0065053F" w:rsidRDefault="0065053F" w:rsidP="0065053F">
      <w:pPr>
        <w:rPr>
          <w:sz w:val="24"/>
          <w:szCs w:val="24"/>
        </w:rPr>
      </w:pPr>
    </w:p>
    <w:p w14:paraId="4FC18B11" w14:textId="258E14EB" w:rsidR="0065053F" w:rsidRPr="0065053F" w:rsidRDefault="0065053F" w:rsidP="0065053F">
      <w:pPr>
        <w:rPr>
          <w:sz w:val="24"/>
          <w:szCs w:val="24"/>
        </w:rPr>
      </w:pPr>
      <w:r w:rsidRPr="0065053F">
        <w:rPr>
          <w:sz w:val="24"/>
          <w:szCs w:val="24"/>
        </w:rPr>
        <w:t>Elkin, M. (2023). </w:t>
      </w:r>
      <w:r w:rsidRPr="0065053F">
        <w:rPr>
          <w:i/>
          <w:iCs/>
          <w:sz w:val="24"/>
          <w:szCs w:val="24"/>
        </w:rPr>
        <w:t>Sexual Offences Victim characteristics, England and Wales - Office for National Statistics</w:t>
      </w:r>
      <w:r w:rsidRPr="0065053F">
        <w:rPr>
          <w:sz w:val="24"/>
          <w:szCs w:val="24"/>
        </w:rPr>
        <w:t xml:space="preserve">. [online] www.ons.gov.uk. Available at: </w:t>
      </w:r>
      <w:hyperlink r:id="rId28" w:history="1">
        <w:r w:rsidRPr="0065053F">
          <w:rPr>
            <w:rStyle w:val="Hyperlink"/>
            <w:sz w:val="24"/>
            <w:szCs w:val="24"/>
          </w:rPr>
          <w:t>https://www.ons.gov.uk/peoplepopulationandcommunity/crimeandjustice/articles/sexualoffencesvictimcharacteristicsenglandandwales/yearendingmarch2022</w:t>
        </w:r>
      </w:hyperlink>
      <w:r w:rsidRPr="0065053F">
        <w:rPr>
          <w:sz w:val="24"/>
          <w:szCs w:val="24"/>
        </w:rPr>
        <w:t>.</w:t>
      </w:r>
    </w:p>
    <w:p w14:paraId="4F00E218" w14:textId="77777777" w:rsidR="0065053F" w:rsidRPr="0065053F" w:rsidRDefault="0065053F" w:rsidP="0065053F">
      <w:pPr>
        <w:rPr>
          <w:sz w:val="24"/>
          <w:szCs w:val="24"/>
        </w:rPr>
      </w:pPr>
    </w:p>
    <w:p w14:paraId="6061DDFD" w14:textId="77777777" w:rsidR="0065053F" w:rsidRPr="0065053F" w:rsidRDefault="0065053F" w:rsidP="0065053F">
      <w:pPr>
        <w:rPr>
          <w:sz w:val="24"/>
          <w:szCs w:val="24"/>
        </w:rPr>
      </w:pPr>
    </w:p>
    <w:p w14:paraId="6FEE812B" w14:textId="280EF1E0" w:rsidR="0065053F" w:rsidRPr="0065053F" w:rsidRDefault="0065053F" w:rsidP="0065053F">
      <w:pPr>
        <w:rPr>
          <w:sz w:val="24"/>
          <w:szCs w:val="24"/>
        </w:rPr>
      </w:pPr>
      <w:r w:rsidRPr="0065053F">
        <w:rPr>
          <w:sz w:val="24"/>
          <w:szCs w:val="24"/>
        </w:rPr>
        <w:t>Everly, G. S., Jr., Flannery, R. B., Jr., &amp; Mitchell, J. T. (2000). Critical incident stress management (CISM): A review of the literature. </w:t>
      </w:r>
      <w:r w:rsidRPr="0065053F">
        <w:rPr>
          <w:i/>
          <w:iCs/>
          <w:sz w:val="24"/>
          <w:szCs w:val="24"/>
        </w:rPr>
        <w:t>Aggression and Violent Behavior, 5</w:t>
      </w:r>
      <w:r w:rsidRPr="0065053F">
        <w:rPr>
          <w:sz w:val="24"/>
          <w:szCs w:val="24"/>
        </w:rPr>
        <w:t>(1), 23–40. </w:t>
      </w:r>
      <w:hyperlink r:id="rId29" w:tgtFrame="_blank" w:history="1">
        <w:r w:rsidRPr="0065053F">
          <w:rPr>
            <w:rStyle w:val="Hyperlink"/>
            <w:sz w:val="24"/>
            <w:szCs w:val="24"/>
          </w:rPr>
          <w:t>https://doi.org/10.1016/S1359-1789(98)00026-3</w:t>
        </w:r>
      </w:hyperlink>
    </w:p>
    <w:p w14:paraId="2BDE2F48" w14:textId="77777777" w:rsidR="0065053F" w:rsidRPr="0065053F" w:rsidRDefault="0065053F" w:rsidP="0065053F">
      <w:pPr>
        <w:rPr>
          <w:sz w:val="24"/>
          <w:szCs w:val="24"/>
        </w:rPr>
      </w:pPr>
    </w:p>
    <w:p w14:paraId="322DF4A3" w14:textId="77777777" w:rsidR="0065053F" w:rsidRPr="0065053F" w:rsidRDefault="0065053F" w:rsidP="0065053F">
      <w:pPr>
        <w:rPr>
          <w:sz w:val="24"/>
          <w:szCs w:val="24"/>
        </w:rPr>
      </w:pPr>
    </w:p>
    <w:p w14:paraId="05C89CED" w14:textId="60E0FBEF" w:rsidR="0065053F" w:rsidRPr="0065053F" w:rsidRDefault="0065053F" w:rsidP="0065053F">
      <w:pPr>
        <w:rPr>
          <w:sz w:val="24"/>
          <w:szCs w:val="24"/>
        </w:rPr>
      </w:pPr>
      <w:r w:rsidRPr="0065053F">
        <w:rPr>
          <w:sz w:val="24"/>
          <w:szCs w:val="24"/>
        </w:rPr>
        <w:t xml:space="preserve">Gilboa-Schechtman, Eva &amp; Foa, Edna. (2001). Patterns of recovery from trauma: The use of intraindividual analysis. Journal of abnormal psychology. </w:t>
      </w:r>
    </w:p>
    <w:p w14:paraId="7C38D350" w14:textId="77777777" w:rsidR="0065053F" w:rsidRPr="0065053F" w:rsidRDefault="0065053F" w:rsidP="0065053F">
      <w:pPr>
        <w:rPr>
          <w:sz w:val="24"/>
          <w:szCs w:val="24"/>
        </w:rPr>
      </w:pPr>
    </w:p>
    <w:p w14:paraId="7D37CDD9" w14:textId="77777777" w:rsidR="0065053F" w:rsidRPr="0065053F" w:rsidRDefault="0065053F" w:rsidP="0065053F">
      <w:pPr>
        <w:rPr>
          <w:sz w:val="24"/>
          <w:szCs w:val="24"/>
        </w:rPr>
      </w:pPr>
    </w:p>
    <w:p w14:paraId="2B0F8C24" w14:textId="17AA597D" w:rsidR="0065053F" w:rsidRPr="0065053F" w:rsidRDefault="0065053F" w:rsidP="0065053F">
      <w:pPr>
        <w:rPr>
          <w:sz w:val="24"/>
          <w:szCs w:val="24"/>
        </w:rPr>
      </w:pPr>
      <w:r w:rsidRPr="0065053F">
        <w:rPr>
          <w:sz w:val="24"/>
          <w:szCs w:val="24"/>
        </w:rPr>
        <w:lastRenderedPageBreak/>
        <w:t>Green, D. L., &amp; Pomeroy, E. C. (2007). Crime victims: What is the role of social support? </w:t>
      </w:r>
      <w:r w:rsidRPr="0065053F">
        <w:rPr>
          <w:i/>
          <w:iCs/>
          <w:sz w:val="24"/>
          <w:szCs w:val="24"/>
        </w:rPr>
        <w:t>Journal of Aggression, Maltreatment &amp; Trauma, 15</w:t>
      </w:r>
      <w:r w:rsidRPr="0065053F">
        <w:rPr>
          <w:sz w:val="24"/>
          <w:szCs w:val="24"/>
        </w:rPr>
        <w:t>(2), 97–113. </w:t>
      </w:r>
      <w:hyperlink r:id="rId30" w:tgtFrame="_blank" w:history="1">
        <w:r w:rsidRPr="0065053F">
          <w:rPr>
            <w:rStyle w:val="Hyperlink"/>
            <w:sz w:val="24"/>
            <w:szCs w:val="24"/>
          </w:rPr>
          <w:t>https://doi.org/10.1300/J146v15n02_06</w:t>
        </w:r>
      </w:hyperlink>
    </w:p>
    <w:p w14:paraId="0E800019" w14:textId="77777777" w:rsidR="0065053F" w:rsidRPr="0065053F" w:rsidRDefault="0065053F" w:rsidP="0065053F">
      <w:pPr>
        <w:rPr>
          <w:sz w:val="24"/>
          <w:szCs w:val="24"/>
        </w:rPr>
      </w:pPr>
    </w:p>
    <w:p w14:paraId="5F906957" w14:textId="77777777" w:rsidR="0065053F" w:rsidRPr="0065053F" w:rsidRDefault="0065053F" w:rsidP="0065053F">
      <w:pPr>
        <w:rPr>
          <w:sz w:val="24"/>
          <w:szCs w:val="24"/>
        </w:rPr>
      </w:pPr>
      <w:r w:rsidRPr="0065053F">
        <w:rPr>
          <w:sz w:val="24"/>
          <w:szCs w:val="24"/>
        </w:rPr>
        <w:t>Green, Diane &amp; Diaz, Naelys. (2007). Predictors of Emotional Stress in Crime Victims: Implications for Treatment. Brief Treatment and Crisis Intervention. 7. 194-205. 10.1093/brief-treatment/mhm010.</w:t>
      </w:r>
    </w:p>
    <w:p w14:paraId="26975BD2" w14:textId="77777777" w:rsidR="0065053F" w:rsidRPr="0065053F" w:rsidRDefault="0065053F" w:rsidP="0065053F">
      <w:pPr>
        <w:rPr>
          <w:sz w:val="24"/>
          <w:szCs w:val="24"/>
        </w:rPr>
      </w:pPr>
    </w:p>
    <w:p w14:paraId="42261987" w14:textId="77777777" w:rsidR="0065053F" w:rsidRPr="0065053F" w:rsidRDefault="0065053F" w:rsidP="0065053F">
      <w:pPr>
        <w:rPr>
          <w:sz w:val="24"/>
          <w:szCs w:val="24"/>
        </w:rPr>
      </w:pPr>
    </w:p>
    <w:p w14:paraId="4AAE3199" w14:textId="77777777" w:rsidR="0065053F" w:rsidRPr="0065053F" w:rsidRDefault="0065053F" w:rsidP="0065053F">
      <w:pPr>
        <w:rPr>
          <w:sz w:val="24"/>
          <w:szCs w:val="24"/>
        </w:rPr>
      </w:pPr>
      <w:r w:rsidRPr="0065053F">
        <w:rPr>
          <w:sz w:val="24"/>
          <w:szCs w:val="24"/>
        </w:rPr>
        <w:t>Greenberg, M. S., &amp; Ruback, R. B. (1992). </w:t>
      </w:r>
      <w:r w:rsidRPr="0065053F">
        <w:rPr>
          <w:i/>
          <w:iCs/>
          <w:sz w:val="24"/>
          <w:szCs w:val="24"/>
        </w:rPr>
        <w:t>After the crime: Victim decision making.</w:t>
      </w:r>
      <w:r w:rsidRPr="0065053F">
        <w:rPr>
          <w:sz w:val="24"/>
          <w:szCs w:val="24"/>
        </w:rPr>
        <w:t> Plenum Press. </w:t>
      </w:r>
      <w:hyperlink r:id="rId31" w:tgtFrame="_blank" w:history="1">
        <w:r w:rsidRPr="0065053F">
          <w:rPr>
            <w:rStyle w:val="Hyperlink"/>
            <w:sz w:val="24"/>
            <w:szCs w:val="24"/>
          </w:rPr>
          <w:t>https://doi.org/10.1007/978-1-4615-3334-4</w:t>
        </w:r>
      </w:hyperlink>
    </w:p>
    <w:p w14:paraId="46BF4346" w14:textId="77777777" w:rsidR="0065053F" w:rsidRPr="0065053F" w:rsidRDefault="0065053F" w:rsidP="0065053F">
      <w:pPr>
        <w:rPr>
          <w:sz w:val="24"/>
          <w:szCs w:val="24"/>
        </w:rPr>
      </w:pPr>
    </w:p>
    <w:p w14:paraId="17B1A775" w14:textId="77777777" w:rsidR="0065053F" w:rsidRPr="0065053F" w:rsidRDefault="0065053F" w:rsidP="0065053F">
      <w:pPr>
        <w:rPr>
          <w:sz w:val="24"/>
          <w:szCs w:val="24"/>
        </w:rPr>
      </w:pPr>
      <w:r w:rsidRPr="0065053F">
        <w:rPr>
          <w:sz w:val="24"/>
          <w:szCs w:val="24"/>
        </w:rPr>
        <w:t>‌</w:t>
      </w:r>
    </w:p>
    <w:p w14:paraId="1571E40F" w14:textId="77777777" w:rsidR="0065053F" w:rsidRPr="0065053F" w:rsidRDefault="0065053F" w:rsidP="0065053F">
      <w:pPr>
        <w:rPr>
          <w:sz w:val="24"/>
          <w:szCs w:val="24"/>
        </w:rPr>
      </w:pPr>
      <w:r w:rsidRPr="0065053F">
        <w:rPr>
          <w:sz w:val="24"/>
          <w:szCs w:val="24"/>
        </w:rPr>
        <w:t>Hill, J.K. (2009). Working with victims of crime : a manual applying research to clinical practice.</w:t>
      </w:r>
    </w:p>
    <w:p w14:paraId="5971EC17" w14:textId="77777777" w:rsidR="0065053F" w:rsidRPr="0065053F" w:rsidRDefault="0065053F" w:rsidP="0065053F">
      <w:pPr>
        <w:rPr>
          <w:sz w:val="24"/>
          <w:szCs w:val="24"/>
        </w:rPr>
      </w:pPr>
    </w:p>
    <w:p w14:paraId="4D46E1E6" w14:textId="77777777" w:rsidR="0065053F" w:rsidRPr="0065053F" w:rsidRDefault="0065053F" w:rsidP="0065053F">
      <w:pPr>
        <w:rPr>
          <w:sz w:val="24"/>
          <w:szCs w:val="24"/>
        </w:rPr>
      </w:pPr>
    </w:p>
    <w:p w14:paraId="33551537" w14:textId="7CB04715" w:rsidR="0065053F" w:rsidRPr="0065053F" w:rsidRDefault="0065053F" w:rsidP="0065053F">
      <w:pPr>
        <w:rPr>
          <w:sz w:val="24"/>
          <w:szCs w:val="24"/>
        </w:rPr>
      </w:pPr>
      <w:r w:rsidRPr="0065053F">
        <w:rPr>
          <w:sz w:val="24"/>
          <w:szCs w:val="24"/>
        </w:rPr>
        <w:t>Home Office (2023). </w:t>
      </w:r>
      <w:r w:rsidRPr="0065053F">
        <w:rPr>
          <w:i/>
          <w:iCs/>
          <w:sz w:val="24"/>
          <w:szCs w:val="24"/>
        </w:rPr>
        <w:t>Crime outcomes in England and Wales 2022 to 2023</w:t>
      </w:r>
      <w:r w:rsidRPr="0065053F">
        <w:rPr>
          <w:sz w:val="24"/>
          <w:szCs w:val="24"/>
        </w:rPr>
        <w:t xml:space="preserve">. [online] GOV.UK. Available at: </w:t>
      </w:r>
      <w:hyperlink r:id="rId32" w:history="1">
        <w:r w:rsidRPr="0065053F">
          <w:rPr>
            <w:rStyle w:val="Hyperlink"/>
            <w:sz w:val="24"/>
            <w:szCs w:val="24"/>
          </w:rPr>
          <w:t>https://www.gov.uk/government/statistics/crime-outcomes-in-england-and-wales-2022-to-2023/crime-outcomes-in-england-and-wales-2022-to-2023</w:t>
        </w:r>
      </w:hyperlink>
      <w:r w:rsidRPr="0065053F">
        <w:rPr>
          <w:sz w:val="24"/>
          <w:szCs w:val="24"/>
        </w:rPr>
        <w:t>.</w:t>
      </w:r>
    </w:p>
    <w:p w14:paraId="2C7BDC4E" w14:textId="77777777" w:rsidR="0065053F" w:rsidRPr="0065053F" w:rsidRDefault="0065053F" w:rsidP="0065053F">
      <w:pPr>
        <w:rPr>
          <w:sz w:val="24"/>
          <w:szCs w:val="24"/>
        </w:rPr>
      </w:pPr>
    </w:p>
    <w:p w14:paraId="621B9E98" w14:textId="77777777" w:rsidR="0065053F" w:rsidRPr="0065053F" w:rsidRDefault="0065053F" w:rsidP="0065053F">
      <w:pPr>
        <w:rPr>
          <w:color w:val="0563C1" w:themeColor="hyperlink"/>
          <w:sz w:val="24"/>
          <w:szCs w:val="24"/>
          <w:u w:val="single"/>
        </w:rPr>
      </w:pPr>
      <w:r w:rsidRPr="0065053F">
        <w:rPr>
          <w:color w:val="0563C1" w:themeColor="hyperlink"/>
          <w:sz w:val="24"/>
          <w:szCs w:val="24"/>
          <w:u w:val="single"/>
        </w:rPr>
        <w:t>‌</w:t>
      </w:r>
    </w:p>
    <w:p w14:paraId="58A00F39" w14:textId="77777777" w:rsidR="0065053F" w:rsidRPr="0065053F" w:rsidRDefault="0065053F" w:rsidP="0065053F">
      <w:pPr>
        <w:rPr>
          <w:rStyle w:val="Hyperlink"/>
          <w:sz w:val="24"/>
          <w:szCs w:val="24"/>
        </w:rPr>
      </w:pPr>
    </w:p>
    <w:p w14:paraId="0F74EE07" w14:textId="77777777" w:rsidR="0065053F" w:rsidRPr="0065053F" w:rsidRDefault="0065053F" w:rsidP="0065053F">
      <w:pPr>
        <w:rPr>
          <w:rStyle w:val="Hyperlink"/>
          <w:sz w:val="24"/>
          <w:szCs w:val="24"/>
        </w:rPr>
      </w:pPr>
      <w:r w:rsidRPr="0065053F">
        <w:rPr>
          <w:sz w:val="24"/>
          <w:szCs w:val="24"/>
        </w:rPr>
        <w:t>Miers, D. (1992), The Responsibilities and the Rights of Victims of Crime</w:t>
      </w:r>
      <w:hyperlink r:id="rId33" w:anchor="fn1" w:history="1">
        <w:r w:rsidRPr="0065053F">
          <w:rPr>
            <w:rStyle w:val="Hyperlink"/>
            <w:sz w:val="24"/>
            <w:szCs w:val="24"/>
          </w:rPr>
          <w:t>*</w:t>
        </w:r>
      </w:hyperlink>
      <w:r w:rsidRPr="0065053F">
        <w:rPr>
          <w:sz w:val="24"/>
          <w:szCs w:val="24"/>
        </w:rPr>
        <w:t>. The Modern Law Review, 55: 482-505. </w:t>
      </w:r>
      <w:hyperlink r:id="rId34" w:history="1">
        <w:r w:rsidRPr="0065053F">
          <w:rPr>
            <w:rStyle w:val="Hyperlink"/>
            <w:sz w:val="24"/>
            <w:szCs w:val="24"/>
          </w:rPr>
          <w:t>https://doi.org/10.1111/j.1468-2230.1992.tb00927.x</w:t>
        </w:r>
      </w:hyperlink>
    </w:p>
    <w:p w14:paraId="6CA4E556" w14:textId="77777777" w:rsidR="0065053F" w:rsidRPr="0065053F" w:rsidRDefault="0065053F" w:rsidP="0065053F">
      <w:pPr>
        <w:rPr>
          <w:sz w:val="24"/>
          <w:szCs w:val="24"/>
        </w:rPr>
      </w:pPr>
    </w:p>
    <w:p w14:paraId="13DC40BD" w14:textId="77777777" w:rsidR="0065053F" w:rsidRPr="0065053F" w:rsidRDefault="0065053F" w:rsidP="0065053F">
      <w:pPr>
        <w:rPr>
          <w:sz w:val="24"/>
          <w:szCs w:val="24"/>
        </w:rPr>
      </w:pPr>
    </w:p>
    <w:p w14:paraId="03AC3D00" w14:textId="77777777" w:rsidR="0065053F" w:rsidRPr="0065053F" w:rsidRDefault="0065053F" w:rsidP="0065053F">
      <w:pPr>
        <w:rPr>
          <w:rStyle w:val="Hyperlink"/>
          <w:sz w:val="24"/>
          <w:szCs w:val="24"/>
        </w:rPr>
      </w:pPr>
      <w:r w:rsidRPr="0065053F">
        <w:rPr>
          <w:sz w:val="24"/>
          <w:szCs w:val="24"/>
        </w:rPr>
        <w:t xml:space="preserve">Monroe, L. M., Kinney, L. M., Weist, M. D., Dafeamekpor, D. S., Dantzler, J., &amp; Reynolds, M. W. (2005). The Experience of Sexual Assault: Findings From a Statewide Victim Needs Assessment. Journal of Interpersonal Violence, 20(7), 767-776. </w:t>
      </w:r>
      <w:hyperlink r:id="rId35" w:history="1">
        <w:r w:rsidRPr="0065053F">
          <w:rPr>
            <w:rStyle w:val="Hyperlink"/>
            <w:sz w:val="24"/>
            <w:szCs w:val="24"/>
          </w:rPr>
          <w:t>https://doi.org/10.1177/0886260505277100</w:t>
        </w:r>
      </w:hyperlink>
    </w:p>
    <w:p w14:paraId="36D71467" w14:textId="77777777" w:rsidR="0065053F" w:rsidRPr="0065053F" w:rsidRDefault="0065053F" w:rsidP="0065053F">
      <w:pPr>
        <w:rPr>
          <w:sz w:val="24"/>
          <w:szCs w:val="24"/>
        </w:rPr>
      </w:pPr>
    </w:p>
    <w:p w14:paraId="01ACCE2B" w14:textId="77777777" w:rsidR="0065053F" w:rsidRPr="0065053F" w:rsidRDefault="0065053F" w:rsidP="0065053F">
      <w:pPr>
        <w:rPr>
          <w:sz w:val="24"/>
          <w:szCs w:val="24"/>
        </w:rPr>
      </w:pPr>
    </w:p>
    <w:p w14:paraId="5D6DFEB1" w14:textId="5357D7BA" w:rsidR="0065053F" w:rsidRPr="0065053F" w:rsidRDefault="0065053F" w:rsidP="0065053F">
      <w:pPr>
        <w:rPr>
          <w:sz w:val="24"/>
          <w:szCs w:val="24"/>
        </w:rPr>
      </w:pPr>
      <w:r w:rsidRPr="0065053F">
        <w:rPr>
          <w:sz w:val="24"/>
          <w:szCs w:val="24"/>
        </w:rPr>
        <w:t>New Pathways. (n.d.). </w:t>
      </w:r>
      <w:r w:rsidRPr="0065053F">
        <w:rPr>
          <w:i/>
          <w:iCs/>
          <w:sz w:val="24"/>
          <w:szCs w:val="24"/>
        </w:rPr>
        <w:t>About Us</w:t>
      </w:r>
      <w:r w:rsidRPr="0065053F">
        <w:rPr>
          <w:sz w:val="24"/>
          <w:szCs w:val="24"/>
        </w:rPr>
        <w:t xml:space="preserve">. [online] Available at: </w:t>
      </w:r>
      <w:hyperlink r:id="rId36" w:history="1">
        <w:r w:rsidRPr="0065053F">
          <w:rPr>
            <w:rStyle w:val="Hyperlink"/>
            <w:sz w:val="24"/>
            <w:szCs w:val="24"/>
          </w:rPr>
          <w:t>https://www.newpathways.org.uk/about-us/</w:t>
        </w:r>
      </w:hyperlink>
      <w:r w:rsidRPr="0065053F">
        <w:rPr>
          <w:sz w:val="24"/>
          <w:szCs w:val="24"/>
        </w:rPr>
        <w:t>.</w:t>
      </w:r>
    </w:p>
    <w:p w14:paraId="7ECA297F" w14:textId="77777777" w:rsidR="0065053F" w:rsidRPr="0065053F" w:rsidRDefault="0065053F" w:rsidP="0065053F">
      <w:pPr>
        <w:rPr>
          <w:sz w:val="24"/>
          <w:szCs w:val="24"/>
        </w:rPr>
      </w:pPr>
    </w:p>
    <w:p w14:paraId="5FD0B98C" w14:textId="77777777" w:rsidR="0065053F" w:rsidRPr="0065053F" w:rsidRDefault="0065053F" w:rsidP="0065053F">
      <w:pPr>
        <w:rPr>
          <w:sz w:val="24"/>
          <w:szCs w:val="24"/>
        </w:rPr>
      </w:pPr>
    </w:p>
    <w:p w14:paraId="656B1A41" w14:textId="77777777" w:rsidR="0065053F" w:rsidRPr="0065053F" w:rsidRDefault="0065053F" w:rsidP="0065053F">
      <w:pPr>
        <w:rPr>
          <w:sz w:val="24"/>
          <w:szCs w:val="24"/>
        </w:rPr>
      </w:pPr>
      <w:r w:rsidRPr="0065053F">
        <w:rPr>
          <w:sz w:val="24"/>
          <w:szCs w:val="24"/>
        </w:rPr>
        <w:t>Newburn, T., &amp; Merry, S. (1990). Keeping in touch – police-victim communication in two areas.‌</w:t>
      </w:r>
    </w:p>
    <w:p w14:paraId="368F6410" w14:textId="77777777" w:rsidR="0065053F" w:rsidRPr="0065053F" w:rsidRDefault="0065053F" w:rsidP="0065053F">
      <w:pPr>
        <w:rPr>
          <w:sz w:val="24"/>
          <w:szCs w:val="24"/>
        </w:rPr>
      </w:pPr>
    </w:p>
    <w:p w14:paraId="58DB2D1E" w14:textId="77777777" w:rsidR="0065053F" w:rsidRPr="0065053F" w:rsidRDefault="0065053F" w:rsidP="0065053F">
      <w:pPr>
        <w:rPr>
          <w:sz w:val="24"/>
          <w:szCs w:val="24"/>
        </w:rPr>
      </w:pPr>
    </w:p>
    <w:p w14:paraId="6B5EBB40" w14:textId="77777777" w:rsidR="0065053F" w:rsidRPr="0065053F" w:rsidRDefault="0065053F" w:rsidP="0065053F">
      <w:pPr>
        <w:rPr>
          <w:sz w:val="24"/>
          <w:szCs w:val="24"/>
        </w:rPr>
      </w:pPr>
      <w:r w:rsidRPr="0065053F">
        <w:rPr>
          <w:sz w:val="24"/>
          <w:szCs w:val="24"/>
        </w:rPr>
        <w:t xml:space="preserve">Norris, F. H., K. Kaniasty and M. P. Thompson. 1997. The psychological consequences of crime: Findings from longitudinal population-based studies. </w:t>
      </w:r>
    </w:p>
    <w:p w14:paraId="571077B5" w14:textId="77777777" w:rsidR="0065053F" w:rsidRPr="0065053F" w:rsidRDefault="0065053F" w:rsidP="0065053F">
      <w:pPr>
        <w:rPr>
          <w:sz w:val="24"/>
          <w:szCs w:val="24"/>
        </w:rPr>
      </w:pPr>
    </w:p>
    <w:p w14:paraId="2C4280E9" w14:textId="77777777" w:rsidR="0065053F" w:rsidRPr="0065053F" w:rsidRDefault="0065053F" w:rsidP="0065053F">
      <w:pPr>
        <w:rPr>
          <w:sz w:val="24"/>
          <w:szCs w:val="24"/>
        </w:rPr>
      </w:pPr>
    </w:p>
    <w:p w14:paraId="0E582B76" w14:textId="77777777" w:rsidR="0065053F" w:rsidRPr="0065053F" w:rsidRDefault="0065053F" w:rsidP="0065053F">
      <w:pPr>
        <w:rPr>
          <w:sz w:val="24"/>
          <w:szCs w:val="24"/>
        </w:rPr>
      </w:pPr>
      <w:r w:rsidRPr="0065053F">
        <w:rPr>
          <w:sz w:val="24"/>
          <w:szCs w:val="24"/>
        </w:rPr>
        <w:t>Stuebing, W. K. (1984). Victims and witnesses: Experience, needs and community or criminal justice response. Ottawa: Department of Justice.</w:t>
      </w:r>
    </w:p>
    <w:p w14:paraId="49501B1D" w14:textId="77777777" w:rsidR="0065053F" w:rsidRPr="0065053F" w:rsidRDefault="0065053F" w:rsidP="0065053F">
      <w:pPr>
        <w:rPr>
          <w:sz w:val="24"/>
          <w:szCs w:val="24"/>
        </w:rPr>
      </w:pPr>
    </w:p>
    <w:p w14:paraId="678805E9" w14:textId="77777777" w:rsidR="0065053F" w:rsidRPr="0065053F" w:rsidRDefault="0065053F" w:rsidP="0065053F">
      <w:pPr>
        <w:rPr>
          <w:sz w:val="24"/>
          <w:szCs w:val="24"/>
        </w:rPr>
      </w:pPr>
    </w:p>
    <w:p w14:paraId="6857B6C0" w14:textId="77777777" w:rsidR="0065053F" w:rsidRPr="0065053F" w:rsidRDefault="0065053F" w:rsidP="0065053F">
      <w:pPr>
        <w:rPr>
          <w:rStyle w:val="Hyperlink"/>
          <w:sz w:val="24"/>
          <w:szCs w:val="24"/>
        </w:rPr>
      </w:pPr>
      <w:r w:rsidRPr="0065053F">
        <w:rPr>
          <w:sz w:val="24"/>
          <w:szCs w:val="24"/>
        </w:rPr>
        <w:t xml:space="preserve">ten Boom, A., &amp; Kuijpers, K. F. (2012). Victims’ needs as basic human needs1. International Review of Victimology, 18(2), 155-179. </w:t>
      </w:r>
      <w:hyperlink r:id="rId37" w:history="1">
        <w:r w:rsidRPr="0065053F">
          <w:rPr>
            <w:rStyle w:val="Hyperlink"/>
            <w:sz w:val="24"/>
            <w:szCs w:val="24"/>
          </w:rPr>
          <w:t>https://doi.org/10.1177/0269758011432060</w:t>
        </w:r>
      </w:hyperlink>
    </w:p>
    <w:p w14:paraId="05F0C55C" w14:textId="77777777" w:rsidR="0065053F" w:rsidRPr="0065053F" w:rsidRDefault="0065053F" w:rsidP="0065053F">
      <w:pPr>
        <w:rPr>
          <w:sz w:val="24"/>
          <w:szCs w:val="24"/>
        </w:rPr>
      </w:pPr>
    </w:p>
    <w:p w14:paraId="080ACE4D" w14:textId="77777777" w:rsidR="0065053F" w:rsidRPr="0065053F" w:rsidRDefault="0065053F" w:rsidP="0065053F">
      <w:pPr>
        <w:rPr>
          <w:sz w:val="24"/>
          <w:szCs w:val="24"/>
        </w:rPr>
      </w:pPr>
    </w:p>
    <w:p w14:paraId="21991EB1" w14:textId="77777777" w:rsidR="0065053F" w:rsidRPr="0065053F" w:rsidRDefault="0065053F" w:rsidP="0065053F">
      <w:pPr>
        <w:rPr>
          <w:sz w:val="24"/>
          <w:szCs w:val="24"/>
        </w:rPr>
      </w:pPr>
      <w:r w:rsidRPr="0065053F">
        <w:rPr>
          <w:sz w:val="24"/>
          <w:szCs w:val="24"/>
        </w:rPr>
        <w:t>Victim Support. (2023). </w:t>
      </w:r>
      <w:r w:rsidRPr="0065053F">
        <w:rPr>
          <w:i/>
          <w:iCs/>
          <w:sz w:val="24"/>
          <w:szCs w:val="24"/>
        </w:rPr>
        <w:t>How we can help</w:t>
      </w:r>
      <w:r w:rsidRPr="0065053F">
        <w:rPr>
          <w:sz w:val="24"/>
          <w:szCs w:val="24"/>
        </w:rPr>
        <w:t>. Victim Support. https://www.victimsupport.org.uk/help-and-support/how-we-can-help/</w:t>
      </w:r>
    </w:p>
    <w:p w14:paraId="0A3B210E" w14:textId="77777777" w:rsidR="0065053F" w:rsidRPr="0065053F" w:rsidRDefault="0065053F" w:rsidP="0065053F">
      <w:pPr>
        <w:rPr>
          <w:sz w:val="24"/>
          <w:szCs w:val="24"/>
        </w:rPr>
      </w:pPr>
      <w:r w:rsidRPr="0065053F">
        <w:rPr>
          <w:sz w:val="24"/>
          <w:szCs w:val="24"/>
        </w:rPr>
        <w:t>‌</w:t>
      </w:r>
    </w:p>
    <w:p w14:paraId="196FC4C5" w14:textId="77777777" w:rsidR="0065053F" w:rsidRPr="0065053F" w:rsidRDefault="0065053F" w:rsidP="0065053F">
      <w:pPr>
        <w:rPr>
          <w:sz w:val="24"/>
          <w:szCs w:val="24"/>
        </w:rPr>
      </w:pPr>
    </w:p>
    <w:p w14:paraId="6FDC7342" w14:textId="77777777" w:rsidR="0065053F" w:rsidRPr="0065053F" w:rsidRDefault="0065053F" w:rsidP="0065053F">
      <w:pPr>
        <w:rPr>
          <w:sz w:val="24"/>
          <w:szCs w:val="24"/>
        </w:rPr>
      </w:pPr>
      <w:r w:rsidRPr="0065053F">
        <w:rPr>
          <w:sz w:val="24"/>
          <w:szCs w:val="24"/>
        </w:rPr>
        <w:t>Walklate, S. (2007). </w:t>
      </w:r>
      <w:r w:rsidRPr="0065053F">
        <w:rPr>
          <w:i/>
          <w:iCs/>
          <w:sz w:val="24"/>
          <w:szCs w:val="24"/>
        </w:rPr>
        <w:t>Imagining the victim of crime</w:t>
      </w:r>
      <w:r w:rsidRPr="0065053F">
        <w:rPr>
          <w:sz w:val="24"/>
          <w:szCs w:val="24"/>
        </w:rPr>
        <w:t>. Maidenhead: Open University Press.</w:t>
      </w:r>
    </w:p>
    <w:p w14:paraId="79663031" w14:textId="77777777" w:rsidR="0065053F" w:rsidRPr="0065053F" w:rsidRDefault="0065053F" w:rsidP="0065053F">
      <w:pPr>
        <w:rPr>
          <w:sz w:val="24"/>
          <w:szCs w:val="24"/>
        </w:rPr>
      </w:pPr>
    </w:p>
    <w:p w14:paraId="773EA5EE" w14:textId="77777777" w:rsidR="0065053F" w:rsidRPr="0065053F" w:rsidRDefault="0065053F" w:rsidP="0065053F">
      <w:pPr>
        <w:rPr>
          <w:sz w:val="24"/>
          <w:szCs w:val="24"/>
        </w:rPr>
      </w:pPr>
    </w:p>
    <w:p w14:paraId="39709E83" w14:textId="77777777" w:rsidR="0065053F" w:rsidRPr="0065053F" w:rsidRDefault="0065053F" w:rsidP="0065053F">
      <w:pPr>
        <w:rPr>
          <w:sz w:val="24"/>
          <w:szCs w:val="24"/>
        </w:rPr>
      </w:pPr>
      <w:r w:rsidRPr="0065053F">
        <w:rPr>
          <w:sz w:val="24"/>
          <w:szCs w:val="24"/>
        </w:rPr>
        <w:t>Wedlock, E &amp; Tapley, JD 2016, </w:t>
      </w:r>
      <w:r w:rsidRPr="0065053F">
        <w:rPr>
          <w:i/>
          <w:iCs/>
          <w:sz w:val="24"/>
          <w:szCs w:val="24"/>
        </w:rPr>
        <w:t>What works in supporting victims of crime: a rapid evidence assessment</w:t>
      </w:r>
      <w:r w:rsidRPr="0065053F">
        <w:rPr>
          <w:sz w:val="24"/>
          <w:szCs w:val="24"/>
        </w:rPr>
        <w:t>. Crown Copyright.</w:t>
      </w:r>
    </w:p>
    <w:p w14:paraId="0A3A3069" w14:textId="77777777" w:rsidR="0065053F" w:rsidRPr="0065053F" w:rsidRDefault="0065053F" w:rsidP="0065053F">
      <w:pPr>
        <w:rPr>
          <w:sz w:val="24"/>
          <w:szCs w:val="24"/>
        </w:rPr>
      </w:pPr>
    </w:p>
    <w:p w14:paraId="307DD597" w14:textId="77777777" w:rsidR="0065053F" w:rsidRPr="0065053F" w:rsidRDefault="0065053F" w:rsidP="0065053F">
      <w:pPr>
        <w:rPr>
          <w:sz w:val="24"/>
          <w:szCs w:val="24"/>
        </w:rPr>
      </w:pPr>
    </w:p>
    <w:p w14:paraId="6677DF10" w14:textId="77777777" w:rsidR="0065053F" w:rsidRPr="0065053F" w:rsidRDefault="0065053F" w:rsidP="0065053F">
      <w:pPr>
        <w:rPr>
          <w:sz w:val="24"/>
          <w:szCs w:val="24"/>
        </w:rPr>
      </w:pPr>
      <w:r w:rsidRPr="0065053F">
        <w:rPr>
          <w:sz w:val="24"/>
          <w:szCs w:val="24"/>
        </w:rPr>
        <w:t>www.nhsinform.scot. (n.d.). </w:t>
      </w:r>
      <w:r w:rsidRPr="0065053F">
        <w:rPr>
          <w:i/>
          <w:iCs/>
          <w:sz w:val="24"/>
          <w:szCs w:val="24"/>
        </w:rPr>
        <w:t>10 ways to fight your fears</w:t>
      </w:r>
      <w:r w:rsidRPr="0065053F">
        <w:rPr>
          <w:sz w:val="24"/>
          <w:szCs w:val="24"/>
        </w:rPr>
        <w:t>. [online] Available at: https://www.nhsinform.scot/healthy-living/mental-wellbeing/fears-and-phobias/10-ways-to-fight-your-fears.</w:t>
      </w:r>
    </w:p>
    <w:p w14:paraId="1FB56785" w14:textId="77777777" w:rsidR="0065053F" w:rsidRPr="0065053F" w:rsidRDefault="0065053F" w:rsidP="0065053F">
      <w:pPr>
        <w:rPr>
          <w:b/>
          <w:bCs/>
          <w:sz w:val="24"/>
          <w:szCs w:val="24"/>
        </w:rPr>
      </w:pPr>
    </w:p>
    <w:p w14:paraId="470B4427" w14:textId="77777777" w:rsidR="0065053F" w:rsidRDefault="0065053F" w:rsidP="0065053F">
      <w:pPr>
        <w:rPr>
          <w:sz w:val="24"/>
          <w:szCs w:val="24"/>
        </w:rPr>
      </w:pPr>
    </w:p>
    <w:p w14:paraId="57D3E556" w14:textId="77777777" w:rsidR="0065053F" w:rsidRDefault="0065053F" w:rsidP="009370AE">
      <w:pPr>
        <w:ind w:right="237"/>
        <w:jc w:val="both"/>
        <w:rPr>
          <w:b/>
          <w:bCs/>
          <w:color w:val="000000" w:themeColor="text1"/>
          <w:sz w:val="28"/>
          <w:szCs w:val="28"/>
        </w:rPr>
      </w:pPr>
    </w:p>
    <w:p w14:paraId="5F79612C" w14:textId="4E91C753" w:rsidR="009370AE" w:rsidRDefault="009370AE" w:rsidP="009370AE">
      <w:pPr>
        <w:ind w:right="237"/>
        <w:jc w:val="both"/>
        <w:rPr>
          <w:b/>
          <w:bCs/>
          <w:color w:val="000000" w:themeColor="text1"/>
          <w:sz w:val="28"/>
          <w:szCs w:val="28"/>
        </w:rPr>
      </w:pPr>
    </w:p>
    <w:p w14:paraId="49989C09" w14:textId="77777777" w:rsidR="009370AE" w:rsidRPr="009370AE" w:rsidRDefault="009370AE" w:rsidP="009370AE">
      <w:pPr>
        <w:ind w:right="237"/>
        <w:jc w:val="both"/>
        <w:rPr>
          <w:b/>
          <w:bCs/>
          <w:color w:val="000000" w:themeColor="text1"/>
          <w:sz w:val="28"/>
          <w:szCs w:val="28"/>
        </w:rPr>
      </w:pPr>
    </w:p>
    <w:p w14:paraId="1ADEFAE5" w14:textId="5FB582B0" w:rsidR="0FF883D4" w:rsidRDefault="5CE196A1" w:rsidP="5CE196A1">
      <w:r w:rsidRPr="5CE196A1">
        <w:rPr>
          <w:rFonts w:eastAsia="Arial"/>
          <w:b/>
          <w:bCs/>
          <w:color w:val="000000" w:themeColor="text1"/>
          <w:sz w:val="24"/>
          <w:szCs w:val="24"/>
        </w:rPr>
        <w:t xml:space="preserve">Authentication signature: </w:t>
      </w:r>
      <w:r w:rsidR="006D3FF3">
        <w:rPr>
          <w:rFonts w:eastAsia="Arial"/>
          <w:b/>
          <w:bCs/>
          <w:color w:val="000000" w:themeColor="text1"/>
          <w:sz w:val="24"/>
          <w:szCs w:val="24"/>
        </w:rPr>
        <w:t>T.Bennett</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C648DE5" w:rsidR="0FF883D4" w:rsidRDefault="5CE196A1" w:rsidP="5CE196A1">
      <w:r w:rsidRPr="5CE196A1">
        <w:rPr>
          <w:rFonts w:eastAsia="Arial"/>
          <w:b/>
          <w:bCs/>
          <w:color w:val="000000" w:themeColor="text1"/>
          <w:sz w:val="24"/>
          <w:szCs w:val="24"/>
        </w:rPr>
        <w:t xml:space="preserve">Signed: </w:t>
      </w:r>
      <w:r w:rsidR="006D3FF3">
        <w:rPr>
          <w:rFonts w:eastAsia="Arial"/>
          <w:b/>
          <w:bCs/>
          <w:color w:val="000000" w:themeColor="text1"/>
          <w:sz w:val="24"/>
          <w:szCs w:val="24"/>
        </w:rPr>
        <w:t>T.Bennett</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64A5076B" w:rsidR="0FF883D4" w:rsidRDefault="006D3FF3" w:rsidP="5CE196A1">
      <w:pPr>
        <w:ind w:left="2880" w:right="225" w:firstLine="720"/>
        <w:rPr>
          <w:b/>
          <w:bCs/>
          <w:sz w:val="24"/>
          <w:szCs w:val="24"/>
          <w:lang w:eastAsia="zh-TW"/>
        </w:rPr>
        <w:sectPr w:rsidR="0FF883D4" w:rsidSect="0022001B">
          <w:headerReference w:type="even" r:id="rId38"/>
          <w:headerReference w:type="default" r:id="rId39"/>
          <w:footerReference w:type="even" r:id="rId40"/>
          <w:footerReference w:type="default" r:id="rId41"/>
          <w:headerReference w:type="first" r:id="rId42"/>
          <w:footerReference w:type="first" r:id="rId43"/>
          <w:pgSz w:w="11906" w:h="16838" w:code="9"/>
          <w:pgMar w:top="1440" w:right="1440" w:bottom="1440" w:left="1440" w:header="720" w:footer="720" w:gutter="0"/>
          <w:cols w:space="720"/>
          <w:docGrid w:linePitch="272"/>
        </w:sectPr>
      </w:pPr>
      <w:r>
        <w:rPr>
          <w:b/>
          <w:bCs/>
          <w:sz w:val="24"/>
          <w:szCs w:val="24"/>
          <w:lang w:eastAsia="zh-TW"/>
        </w:rPr>
        <w:t>28/10/2024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B185A1" w14:textId="77777777" w:rsidR="006F0DB4" w:rsidRDefault="006F0DB4">
      <w:r>
        <w:separator/>
      </w:r>
    </w:p>
  </w:endnote>
  <w:endnote w:type="continuationSeparator" w:id="0">
    <w:p w14:paraId="2B4AC649" w14:textId="77777777" w:rsidR="006F0DB4" w:rsidRDefault="006F0D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87CE3B" w14:textId="77777777" w:rsidR="006F0DB4" w:rsidRDefault="006F0DB4">
      <w:r>
        <w:separator/>
      </w:r>
    </w:p>
  </w:footnote>
  <w:footnote w:type="continuationSeparator" w:id="0">
    <w:p w14:paraId="7C09222C" w14:textId="77777777" w:rsidR="006F0DB4" w:rsidRDefault="006F0D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12835332">
    <w:abstractNumId w:val="0"/>
    <w:lvlOverride w:ilvl="0">
      <w:lvl w:ilvl="0">
        <w:start w:val="1"/>
        <w:numFmt w:val="bullet"/>
        <w:lvlText w:val=""/>
        <w:lvlJc w:val="left"/>
        <w:pPr>
          <w:ind w:left="720" w:hanging="360"/>
        </w:pPr>
        <w:rPr>
          <w:rFonts w:ascii="Symbol" w:hAnsi="Symbol" w:hint="default"/>
        </w:rPr>
      </w:lvl>
    </w:lvlOverride>
  </w:num>
  <w:num w:numId="2" w16cid:durableId="1227761350">
    <w:abstractNumId w:val="1"/>
  </w:num>
  <w:num w:numId="3" w16cid:durableId="1573000687">
    <w:abstractNumId w:val="3"/>
  </w:num>
  <w:num w:numId="4" w16cid:durableId="66197777">
    <w:abstractNumId w:val="2"/>
  </w:num>
  <w:num w:numId="5" w16cid:durableId="54592622">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2"/>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46A5"/>
    <w:rsid w:val="00025650"/>
    <w:rsid w:val="000258C2"/>
    <w:rsid w:val="00025C31"/>
    <w:rsid w:val="00026FAB"/>
    <w:rsid w:val="00027089"/>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378F"/>
    <w:rsid w:val="000C6892"/>
    <w:rsid w:val="000C6FFE"/>
    <w:rsid w:val="000D0BB6"/>
    <w:rsid w:val="000E26B0"/>
    <w:rsid w:val="000F1599"/>
    <w:rsid w:val="000F1769"/>
    <w:rsid w:val="000F6196"/>
    <w:rsid w:val="000F693A"/>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11CF"/>
    <w:rsid w:val="001A59BB"/>
    <w:rsid w:val="001A6A51"/>
    <w:rsid w:val="001A79C4"/>
    <w:rsid w:val="001B331A"/>
    <w:rsid w:val="001B6082"/>
    <w:rsid w:val="001C0E74"/>
    <w:rsid w:val="001C6CEC"/>
    <w:rsid w:val="001D229F"/>
    <w:rsid w:val="001D6162"/>
    <w:rsid w:val="001D6C6F"/>
    <w:rsid w:val="001E6FAD"/>
    <w:rsid w:val="001E7592"/>
    <w:rsid w:val="001F3878"/>
    <w:rsid w:val="001F4552"/>
    <w:rsid w:val="002019EB"/>
    <w:rsid w:val="002030F2"/>
    <w:rsid w:val="00205051"/>
    <w:rsid w:val="00211695"/>
    <w:rsid w:val="00211F65"/>
    <w:rsid w:val="00213A97"/>
    <w:rsid w:val="0022001B"/>
    <w:rsid w:val="00220D06"/>
    <w:rsid w:val="002219BA"/>
    <w:rsid w:val="002246A0"/>
    <w:rsid w:val="00224AF9"/>
    <w:rsid w:val="00230439"/>
    <w:rsid w:val="00235176"/>
    <w:rsid w:val="00236061"/>
    <w:rsid w:val="0024100E"/>
    <w:rsid w:val="002417F0"/>
    <w:rsid w:val="00241C1B"/>
    <w:rsid w:val="002423B2"/>
    <w:rsid w:val="0024288B"/>
    <w:rsid w:val="00254EBF"/>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C6E7B"/>
    <w:rsid w:val="002D05EB"/>
    <w:rsid w:val="002D25E7"/>
    <w:rsid w:val="002D2F29"/>
    <w:rsid w:val="002D2FD3"/>
    <w:rsid w:val="002E32B0"/>
    <w:rsid w:val="002E7017"/>
    <w:rsid w:val="002F059C"/>
    <w:rsid w:val="002F4F6E"/>
    <w:rsid w:val="003015C3"/>
    <w:rsid w:val="00302FFB"/>
    <w:rsid w:val="0030698D"/>
    <w:rsid w:val="0031350A"/>
    <w:rsid w:val="00316815"/>
    <w:rsid w:val="003168CA"/>
    <w:rsid w:val="003179A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589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20BA"/>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96C3A"/>
    <w:rsid w:val="004A07F1"/>
    <w:rsid w:val="004A14C4"/>
    <w:rsid w:val="004A2A49"/>
    <w:rsid w:val="004B0DB4"/>
    <w:rsid w:val="004B600B"/>
    <w:rsid w:val="004B6822"/>
    <w:rsid w:val="004B69F6"/>
    <w:rsid w:val="004C2D3A"/>
    <w:rsid w:val="004D03C4"/>
    <w:rsid w:val="004D0BF1"/>
    <w:rsid w:val="004D24D2"/>
    <w:rsid w:val="004D35A4"/>
    <w:rsid w:val="004D445F"/>
    <w:rsid w:val="004D57A0"/>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55A5"/>
    <w:rsid w:val="00536FA9"/>
    <w:rsid w:val="005414F4"/>
    <w:rsid w:val="00546187"/>
    <w:rsid w:val="005463F1"/>
    <w:rsid w:val="00552250"/>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36EE"/>
    <w:rsid w:val="005C6CE5"/>
    <w:rsid w:val="005C76DE"/>
    <w:rsid w:val="005D3F07"/>
    <w:rsid w:val="005D583E"/>
    <w:rsid w:val="005E13EA"/>
    <w:rsid w:val="005E53BD"/>
    <w:rsid w:val="00606E27"/>
    <w:rsid w:val="006108C9"/>
    <w:rsid w:val="00615C7E"/>
    <w:rsid w:val="0062158D"/>
    <w:rsid w:val="0062552D"/>
    <w:rsid w:val="00630F39"/>
    <w:rsid w:val="006326D1"/>
    <w:rsid w:val="00632E0A"/>
    <w:rsid w:val="00633165"/>
    <w:rsid w:val="00636B6C"/>
    <w:rsid w:val="006447DE"/>
    <w:rsid w:val="0064537E"/>
    <w:rsid w:val="0065053F"/>
    <w:rsid w:val="0065276E"/>
    <w:rsid w:val="00654329"/>
    <w:rsid w:val="00654CEC"/>
    <w:rsid w:val="00655507"/>
    <w:rsid w:val="00670FE1"/>
    <w:rsid w:val="006712A7"/>
    <w:rsid w:val="006733CC"/>
    <w:rsid w:val="00674FC2"/>
    <w:rsid w:val="00677E42"/>
    <w:rsid w:val="00682334"/>
    <w:rsid w:val="00684B16"/>
    <w:rsid w:val="00694C00"/>
    <w:rsid w:val="00696F65"/>
    <w:rsid w:val="006A7A6D"/>
    <w:rsid w:val="006B5E67"/>
    <w:rsid w:val="006C2EB5"/>
    <w:rsid w:val="006C3F19"/>
    <w:rsid w:val="006C6FDB"/>
    <w:rsid w:val="006D18A3"/>
    <w:rsid w:val="006D3FF3"/>
    <w:rsid w:val="006D54C1"/>
    <w:rsid w:val="006D5970"/>
    <w:rsid w:val="006E481E"/>
    <w:rsid w:val="006E795F"/>
    <w:rsid w:val="006F0DB4"/>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21FE"/>
    <w:rsid w:val="00734809"/>
    <w:rsid w:val="0073644B"/>
    <w:rsid w:val="007406E1"/>
    <w:rsid w:val="007415F7"/>
    <w:rsid w:val="00743E40"/>
    <w:rsid w:val="00751263"/>
    <w:rsid w:val="00756425"/>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6AEE"/>
    <w:rsid w:val="007C705D"/>
    <w:rsid w:val="007D0A07"/>
    <w:rsid w:val="007D0C96"/>
    <w:rsid w:val="007D133D"/>
    <w:rsid w:val="007D3EB4"/>
    <w:rsid w:val="007D3F16"/>
    <w:rsid w:val="007D78CC"/>
    <w:rsid w:val="007F3F7E"/>
    <w:rsid w:val="007F5497"/>
    <w:rsid w:val="00804A67"/>
    <w:rsid w:val="00813CEC"/>
    <w:rsid w:val="0081534C"/>
    <w:rsid w:val="008171E4"/>
    <w:rsid w:val="008208EA"/>
    <w:rsid w:val="00820A99"/>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124"/>
    <w:rsid w:val="00895FCE"/>
    <w:rsid w:val="00897F3E"/>
    <w:rsid w:val="008A1BA8"/>
    <w:rsid w:val="008A21B4"/>
    <w:rsid w:val="008A4576"/>
    <w:rsid w:val="008B07DE"/>
    <w:rsid w:val="008B28E7"/>
    <w:rsid w:val="008C00EC"/>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70AE"/>
    <w:rsid w:val="0094404E"/>
    <w:rsid w:val="009544C0"/>
    <w:rsid w:val="00954FA4"/>
    <w:rsid w:val="00956AE9"/>
    <w:rsid w:val="00964CC6"/>
    <w:rsid w:val="00965024"/>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6B9"/>
    <w:rsid w:val="009E4D2C"/>
    <w:rsid w:val="009F0978"/>
    <w:rsid w:val="009F3AEC"/>
    <w:rsid w:val="00A00081"/>
    <w:rsid w:val="00A015F7"/>
    <w:rsid w:val="00A10D56"/>
    <w:rsid w:val="00A12AAE"/>
    <w:rsid w:val="00A16DD1"/>
    <w:rsid w:val="00A221AB"/>
    <w:rsid w:val="00A22441"/>
    <w:rsid w:val="00A23332"/>
    <w:rsid w:val="00A23F3B"/>
    <w:rsid w:val="00A24406"/>
    <w:rsid w:val="00A25F64"/>
    <w:rsid w:val="00A27CC2"/>
    <w:rsid w:val="00A3273B"/>
    <w:rsid w:val="00A40ED6"/>
    <w:rsid w:val="00A470EE"/>
    <w:rsid w:val="00A47621"/>
    <w:rsid w:val="00A479CD"/>
    <w:rsid w:val="00A47F83"/>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1368"/>
    <w:rsid w:val="00AF61C2"/>
    <w:rsid w:val="00AF6CC6"/>
    <w:rsid w:val="00B011CD"/>
    <w:rsid w:val="00B0296A"/>
    <w:rsid w:val="00B11C59"/>
    <w:rsid w:val="00B12295"/>
    <w:rsid w:val="00B137BE"/>
    <w:rsid w:val="00B17FA0"/>
    <w:rsid w:val="00B24344"/>
    <w:rsid w:val="00B26254"/>
    <w:rsid w:val="00B26769"/>
    <w:rsid w:val="00B31C91"/>
    <w:rsid w:val="00B370EE"/>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2D8E"/>
    <w:rsid w:val="00BA7FF1"/>
    <w:rsid w:val="00BB06CB"/>
    <w:rsid w:val="00BB261F"/>
    <w:rsid w:val="00BB2887"/>
    <w:rsid w:val="00BB3DC5"/>
    <w:rsid w:val="00BB5EAA"/>
    <w:rsid w:val="00BB5F11"/>
    <w:rsid w:val="00BC0401"/>
    <w:rsid w:val="00BC04FA"/>
    <w:rsid w:val="00BC1C22"/>
    <w:rsid w:val="00BC460B"/>
    <w:rsid w:val="00BC5725"/>
    <w:rsid w:val="00BD30B1"/>
    <w:rsid w:val="00BE0F7B"/>
    <w:rsid w:val="00BE10C2"/>
    <w:rsid w:val="00BE3655"/>
    <w:rsid w:val="00C01D14"/>
    <w:rsid w:val="00C025B4"/>
    <w:rsid w:val="00C0275F"/>
    <w:rsid w:val="00C11F61"/>
    <w:rsid w:val="00C161FD"/>
    <w:rsid w:val="00C23F17"/>
    <w:rsid w:val="00C26A95"/>
    <w:rsid w:val="00C26D0D"/>
    <w:rsid w:val="00C27C95"/>
    <w:rsid w:val="00C300D2"/>
    <w:rsid w:val="00C323AF"/>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633"/>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2CA5"/>
    <w:rsid w:val="00D33491"/>
    <w:rsid w:val="00D44F8E"/>
    <w:rsid w:val="00D44FD0"/>
    <w:rsid w:val="00D5733C"/>
    <w:rsid w:val="00D607EF"/>
    <w:rsid w:val="00D60B13"/>
    <w:rsid w:val="00D60F88"/>
    <w:rsid w:val="00D625E7"/>
    <w:rsid w:val="00D646BD"/>
    <w:rsid w:val="00D70239"/>
    <w:rsid w:val="00D71201"/>
    <w:rsid w:val="00D720C7"/>
    <w:rsid w:val="00D73B73"/>
    <w:rsid w:val="00D77A04"/>
    <w:rsid w:val="00D81D06"/>
    <w:rsid w:val="00D8652C"/>
    <w:rsid w:val="00D876E6"/>
    <w:rsid w:val="00DA1025"/>
    <w:rsid w:val="00DA22EC"/>
    <w:rsid w:val="00DA5860"/>
    <w:rsid w:val="00DB1208"/>
    <w:rsid w:val="00DB2767"/>
    <w:rsid w:val="00DC08B3"/>
    <w:rsid w:val="00DC4729"/>
    <w:rsid w:val="00DD4F72"/>
    <w:rsid w:val="00DE556F"/>
    <w:rsid w:val="00E03B6D"/>
    <w:rsid w:val="00E0649E"/>
    <w:rsid w:val="00E17160"/>
    <w:rsid w:val="00E211BF"/>
    <w:rsid w:val="00E26575"/>
    <w:rsid w:val="00E35BEC"/>
    <w:rsid w:val="00E50821"/>
    <w:rsid w:val="00E50EF8"/>
    <w:rsid w:val="00E51F91"/>
    <w:rsid w:val="00E61AAF"/>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0D8A"/>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6AFE"/>
    <w:rsid w:val="00FA3764"/>
    <w:rsid w:val="00FA56ED"/>
    <w:rsid w:val="00FB339B"/>
    <w:rsid w:val="00FB5FA6"/>
    <w:rsid w:val="00FC1310"/>
    <w:rsid w:val="00FC1328"/>
    <w:rsid w:val="00FC2FF3"/>
    <w:rsid w:val="00FC3263"/>
    <w:rsid w:val="00FC51F9"/>
    <w:rsid w:val="00FC5B40"/>
    <w:rsid w:val="00FC5FF8"/>
    <w:rsid w:val="00FC702B"/>
    <w:rsid w:val="00FD117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4EC8CE46-77B2-4BF5-A623-2299ED2EB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6505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56729987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451257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ov.uk/government/publications/helping-the-police-to-support-people-with-vulnerabilities" TargetMode="External"/><Relationship Id="rId26" Type="http://schemas.openxmlformats.org/officeDocument/2006/relationships/hyperlink" Target="https://www.ojp.gov/pdffiles1/Digitization/94628NCJRS.pdf" TargetMode="External"/><Relationship Id="rId39" Type="http://schemas.openxmlformats.org/officeDocument/2006/relationships/header" Target="header2.xml"/><Relationship Id="rId21" Type="http://schemas.openxmlformats.org/officeDocument/2006/relationships/hyperlink" Target="https://news.npcc.police.uk/releases/police-chiefs-guide-officers-to-impose-bail-conditions-protecting-victims-and-vulnerable-people" TargetMode="External"/><Relationship Id="rId34" Type="http://schemas.openxmlformats.org/officeDocument/2006/relationships/hyperlink" Target="https://doi.org/10.1111/j.1468-2230.1992.tb00927.x" TargetMode="External"/><Relationship Id="rId42" Type="http://schemas.openxmlformats.org/officeDocument/2006/relationships/header" Target="header3.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186/s12913-021-07257-8" TargetMode="External"/><Relationship Id="rId29" Type="http://schemas.openxmlformats.org/officeDocument/2006/relationships/hyperlink" Target="https://psycnet.apa.org/doi/10.1016/S1359-1789(98)00026-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scot/publications/evaluation-impact-bail-reforms-summary-justice-reform-research-findings/" TargetMode="External"/><Relationship Id="rId32" Type="http://schemas.openxmlformats.org/officeDocument/2006/relationships/hyperlink" Target="https://www.gov.uk/government/statistics/crime-outcomes-in-england-and-wales-2022-to-2023/crime-outcomes-in-england-and-wales-2022-to-2023" TargetMode="External"/><Relationship Id="rId37" Type="http://schemas.openxmlformats.org/officeDocument/2006/relationships/hyperlink" Target="https://doi.org/10.1177/0269758011432060" TargetMode="External"/><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111/j.1468-3148.2010.00561.x" TargetMode="External"/><Relationship Id="rId23" Type="http://schemas.openxmlformats.org/officeDocument/2006/relationships/hyperlink" Target="https://assets.college.police.uk/s3fs-public/2021-11/Recognising-responding-vulnerability-related-risks-guidelines.pdf" TargetMode="External"/><Relationship Id="rId28" Type="http://schemas.openxmlformats.org/officeDocument/2006/relationships/hyperlink" Target="https://www.ons.gov.uk/peoplepopulationandcommunity/crimeandjustice/articles/sexualoffencesvictimcharacteristicsenglandandwales/yearendingmarch2022" TargetMode="External"/><Relationship Id="rId36" Type="http://schemas.openxmlformats.org/officeDocument/2006/relationships/hyperlink" Target="https://www.newpathways.org.uk/about-us/" TargetMode="External"/><Relationship Id="rId10" Type="http://schemas.openxmlformats.org/officeDocument/2006/relationships/endnotes" Target="endnotes.xml"/><Relationship Id="rId19" Type="http://schemas.openxmlformats.org/officeDocument/2006/relationships/hyperlink" Target="https://www.birmingham.ac.uk/Documents/college-artslaw/law/research/precharge-bail/pcb-rui-final-report.pdf" TargetMode="External"/><Relationship Id="rId31" Type="http://schemas.openxmlformats.org/officeDocument/2006/relationships/hyperlink" Target="https://psycnet.apa.org/doi/10.1007/978-1-4615-3334-4"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gov.uk/guidance/police-and-criminal-evidence-act-1984-pace-codes-of-practice" TargetMode="External"/><Relationship Id="rId27" Type="http://schemas.openxmlformats.org/officeDocument/2006/relationships/hyperlink" Target="https://www.college.police.uk/app/investigation/working-victims-and-witnesses" TargetMode="External"/><Relationship Id="rId30" Type="http://schemas.openxmlformats.org/officeDocument/2006/relationships/hyperlink" Target="https://psycnet.apa.org/doi/10.1300/J146v15n02_06" TargetMode="External"/><Relationship Id="rId35" Type="http://schemas.openxmlformats.org/officeDocument/2006/relationships/hyperlink" Target="https://doi.org/10.1177/0886260505277100" TargetMode="External"/><Relationship Id="rId43" Type="http://schemas.openxmlformats.org/officeDocument/2006/relationships/footer" Target="footer3.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gov.uk/government/publications/the-code-of-practice-for-victims-of-crime/code-of-practice-for-victims-of-crime-in-england-and-wales-victims-code" TargetMode="External"/><Relationship Id="rId25" Type="http://schemas.openxmlformats.org/officeDocument/2006/relationships/hyperlink" Target="https://www.gov.scot/publications/works-reduce-reoffending-summary-evidence/pages/3/" TargetMode="External"/><Relationship Id="rId33" Type="http://schemas.openxmlformats.org/officeDocument/2006/relationships/hyperlink" Target="https://onlinelibrary.wiley.com/action/showCitFormats?doi=10.1111%2Fj.1468-2230.1992.tb00927.x" TargetMode="External"/><Relationship Id="rId38" Type="http://schemas.openxmlformats.org/officeDocument/2006/relationships/header" Target="header1.xml"/><Relationship Id="rId20" Type="http://schemas.openxmlformats.org/officeDocument/2006/relationships/hyperlink" Target="https://digital.nhs.uk/data-and-information/publications/statistical/safeguarding-adults/2010-11-final" TargetMode="External"/><Relationship Id="rId4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441</TotalTime>
  <Pages>20</Pages>
  <Words>6503</Words>
  <Characters>38647</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Bennett,Tyrone swp8623</cp:lastModifiedBy>
  <cp:revision>10</cp:revision>
  <cp:lastPrinted>2014-08-26T08:55:00Z</cp:lastPrinted>
  <dcterms:created xsi:type="dcterms:W3CDTF">2024-09-17T12:02:00Z</dcterms:created>
  <dcterms:modified xsi:type="dcterms:W3CDTF">2024-10-28T11:26:00Z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