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58536B" w14:textId="79B82E6B" w:rsidR="0009408A" w:rsidRDefault="00F70D79">
      <w:r>
        <w:rPr>
          <w:rFonts w:ascii="Arial" w:hAnsi="Arial"/>
          <w:sz w:val="20"/>
          <w:szCs w:val="20"/>
          <w:shd w:val="clear" w:color="auto" w:fill="FFFFFF"/>
        </w:rPr>
        <w:t>Brown, William Wells, </w:t>
      </w:r>
      <w:r>
        <w:rPr>
          <w:rFonts w:ascii="Arial" w:hAnsi="Arial"/>
          <w:i/>
          <w:iCs/>
          <w:sz w:val="20"/>
          <w:szCs w:val="20"/>
          <w:shd w:val="clear" w:color="auto" w:fill="FFFFFF"/>
        </w:rPr>
        <w:t>The Black Man, His Antecedents, His Genius, And His Achievements’</w:t>
      </w:r>
      <w:r>
        <w:rPr>
          <w:rFonts w:ascii="Arial" w:hAnsi="Arial"/>
          <w:sz w:val="20"/>
          <w:szCs w:val="20"/>
          <w:shd w:val="clear" w:color="auto" w:fill="FFFFFF"/>
        </w:rPr>
        <w:t>, 2nd edn (New York: Thomas Hamilton, 1863)</w:t>
      </w:r>
    </w:p>
    <w:p w14:paraId="3C67C237" w14:textId="739295CA" w:rsidR="00F70D79" w:rsidRDefault="00F70D79"/>
    <w:p w14:paraId="412F3534" w14:textId="6FEABB87" w:rsidR="00F70D79" w:rsidRDefault="00F70D79" w:rsidP="00A04817">
      <w:pPr>
        <w:jc w:val="both"/>
      </w:pPr>
      <w:r>
        <w:t>‘</w:t>
      </w:r>
      <w:r>
        <w:rPr>
          <w:i/>
          <w:iCs/>
        </w:rPr>
        <w:t xml:space="preserve">The Black Man, His Antecedents, His Genius, and His Achievements’ </w:t>
      </w:r>
      <w:r>
        <w:t>is a bibliographic collection of great black persons who have “surmounted the many obstacles which slavery and prejudice have thrown in their way</w:t>
      </w:r>
      <w:r>
        <w:rPr>
          <w:rStyle w:val="FootnoteReference"/>
        </w:rPr>
        <w:footnoteReference w:id="1"/>
      </w:r>
      <w:r>
        <w:t>”. Written by William Wells Brown, an African American abolitionist lecturer and historian</w:t>
      </w:r>
      <w:r w:rsidR="00345176">
        <w:t xml:space="preserve"> who was born into slavery</w:t>
      </w:r>
      <w:r>
        <w:t xml:space="preserve">, </w:t>
      </w:r>
      <w:r w:rsidR="00345176">
        <w:t>this collection celebrates the many black person</w:t>
      </w:r>
      <w:r w:rsidR="00282EEC">
        <w:t>s</w:t>
      </w:r>
      <w:r w:rsidR="00345176">
        <w:t xml:space="preserve"> who have intellectual qualities that </w:t>
      </w:r>
      <w:r w:rsidR="00FB66A9">
        <w:t>adorn</w:t>
      </w:r>
      <w:r w:rsidR="00345176">
        <w:t xml:space="preserve"> human nature. </w:t>
      </w:r>
    </w:p>
    <w:p w14:paraId="65A62B29" w14:textId="12978E7F" w:rsidR="00345176" w:rsidRDefault="00345176" w:rsidP="00A04817">
      <w:pPr>
        <w:jc w:val="both"/>
      </w:pPr>
      <w:r>
        <w:t>In his introduction to the collection, Brown gives insight into the social consequences of slavery upon the black man</w:t>
      </w:r>
      <w:r w:rsidR="00282EEC">
        <w:t xml:space="preserve"> by addressing the point that “two and a half centuries of the negro’s enslavement have created, in many minds, the opinion that he is intellectually inferior to the rest of mankind”</w:t>
      </w:r>
      <w:r w:rsidR="00282EEC">
        <w:rPr>
          <w:rStyle w:val="FootnoteReference"/>
        </w:rPr>
        <w:footnoteReference w:id="2"/>
      </w:r>
      <w:r w:rsidR="00282EEC">
        <w:t>. Brown uses evidence from an interview with Lincoln where he expresses his belief that the black and white man can not coexist in peace</w:t>
      </w:r>
      <w:r w:rsidR="00D1647C">
        <w:t xml:space="preserve"> due to the inferiority of one race. </w:t>
      </w:r>
      <w:r w:rsidR="00066208">
        <w:t>The biographies that will be analysed in this work shall be those of Toussaint Louverture, Jean Jacques Dessalines and Henri Christophe. All three were in the military during the revolutionary years of St. Domingo and achieved great strides forwards for the abolitionist movements.</w:t>
      </w:r>
      <w:r w:rsidR="00FB66A9">
        <w:t xml:space="preserve"> With only 5 of the 58 subjects of this collection, it must be considered whether the underrepresentation of great women is due to thoughts of Brown or rather if it constituted to a larger contemporary problem. </w:t>
      </w:r>
    </w:p>
    <w:p w14:paraId="27344FC5" w14:textId="1CE51255" w:rsidR="00CF16A6" w:rsidRDefault="00CF16A6" w:rsidP="00A04817">
      <w:pPr>
        <w:jc w:val="both"/>
      </w:pPr>
    </w:p>
    <w:p w14:paraId="1AFD1196" w14:textId="720CC96A" w:rsidR="00CF16A6" w:rsidRDefault="00CF16A6" w:rsidP="00A04817">
      <w:pPr>
        <w:jc w:val="both"/>
      </w:pPr>
      <w:r>
        <w:t xml:space="preserve">The chapter pertaining to Toussaint Louverture, the Haitian general and revolutionary leader </w:t>
      </w:r>
      <w:r w:rsidR="006842E4">
        <w:t xml:space="preserve">gives insight into the effects of slavery on the people of St. Domingo, the dissatisfaction of the ‘mulatto’ population, the political and economic interactions with France during a time of upheaval and revolution. </w:t>
      </w:r>
      <w:r w:rsidR="00FD2E38">
        <w:t>Putting the ‘mulatto’ in context as the “amalgamation between masters and slaves”, these people were sent to France to become educated and upon their return took every opportunity to better themselves and their kin</w:t>
      </w:r>
      <w:r w:rsidR="00FD2E38">
        <w:rPr>
          <w:rStyle w:val="FootnoteReference"/>
        </w:rPr>
        <w:footnoteReference w:id="3"/>
      </w:r>
      <w:r w:rsidR="00FD2E38">
        <w:t>.</w:t>
      </w:r>
      <w:r w:rsidR="00BA5DF0">
        <w:t xml:space="preserve"> It was this combination of </w:t>
      </w:r>
      <w:r w:rsidR="0016153B">
        <w:t xml:space="preserve">this </w:t>
      </w:r>
      <w:r w:rsidR="00BA5DF0">
        <w:t>enlightenment, seeing the advancement that was happening in Europe and the United States</w:t>
      </w:r>
      <w:r w:rsidR="0016153B">
        <w:t xml:space="preserve"> as well as other St. Domingo slave and free men, all hoping to gain a new level of liberty as a former French colony. After a failed revolution, the slaves of St. Domingo were </w:t>
      </w:r>
      <w:r w:rsidR="00C4404B">
        <w:t>left to the will of the slaveholders who resorted to beatings and murder. It is here that Brown introduces Toussaint, a foresighted decision that allows Brown to chronicle one of the most famous revolutionaries comfortably within his context The importance of Toussaint’s impact on the emancipation and abolitionist movements are critical as he stood as a forefather and idol for black diasporic peoples</w:t>
      </w:r>
      <w:r w:rsidR="00A973FF">
        <w:t>, put best by Brown himself “the name of Toussaint Louverture will be placed high upon the roll of fame</w:t>
      </w:r>
      <w:r w:rsidR="00A973FF">
        <w:rPr>
          <w:rStyle w:val="FootnoteReference"/>
        </w:rPr>
        <w:footnoteReference w:id="4"/>
      </w:r>
      <w:r w:rsidR="00A973FF">
        <w:t>”.</w:t>
      </w:r>
    </w:p>
    <w:p w14:paraId="6F97DDF8" w14:textId="302B53AD" w:rsidR="00A973FF" w:rsidRDefault="00A973FF" w:rsidP="00A04817">
      <w:pPr>
        <w:jc w:val="both"/>
      </w:pPr>
    </w:p>
    <w:p w14:paraId="0935F2EF" w14:textId="567FADB7" w:rsidR="00A973FF" w:rsidRDefault="00A973FF" w:rsidP="00A04817">
      <w:pPr>
        <w:jc w:val="both"/>
      </w:pPr>
      <w:r>
        <w:t xml:space="preserve">A second man, Jean Jacques Dessalines, who was also in St. Domingo is also given a place in Browns collection of great black people. </w:t>
      </w:r>
      <w:r w:rsidR="004230B8">
        <w:t>Dessalines went on to become the third in command to Toussaint after the outbreak of the revolution. Brown shows an admiration for Dessalines transformation from “a savage, a slave, a soldier, a general, and died, when an emperor, under the dagger of a Brutus</w:t>
      </w:r>
      <w:r w:rsidR="00B23480">
        <w:rPr>
          <w:rStyle w:val="FootnoteReference"/>
        </w:rPr>
        <w:footnoteReference w:id="5"/>
      </w:r>
      <w:r w:rsidR="00B23480">
        <w:t xml:space="preserve">”. Dessalines becomes emperor of St. Domingo and renames it to Haiti. A Declaration of Independence is written up after expelling the white population in which they said, “We have sworn to  show no </w:t>
      </w:r>
      <w:r w:rsidR="00B23480">
        <w:lastRenderedPageBreak/>
        <w:t>mercy to those who may dare to speak to us of slavery</w:t>
      </w:r>
      <w:r w:rsidR="00B23480">
        <w:rPr>
          <w:rStyle w:val="FootnoteReference"/>
        </w:rPr>
        <w:footnoteReference w:id="6"/>
      </w:r>
      <w:r w:rsidR="00B23480">
        <w:t>”.</w:t>
      </w:r>
      <w:r w:rsidR="00FB66A9">
        <w:t xml:space="preserve"> Yet another example of Brown including strong, honourable military men in his collection to show the transformation and upward advancement made by former slaves to places of royalty and government. </w:t>
      </w:r>
    </w:p>
    <w:p w14:paraId="510B53DA" w14:textId="3A9CA1FF" w:rsidR="00A973FF" w:rsidRDefault="00A973FF" w:rsidP="00A04817">
      <w:pPr>
        <w:jc w:val="both"/>
      </w:pPr>
    </w:p>
    <w:p w14:paraId="5F1CA49B" w14:textId="1182B535" w:rsidR="00A973FF" w:rsidRDefault="00A973FF" w:rsidP="00A04817">
      <w:pPr>
        <w:jc w:val="both"/>
      </w:pPr>
      <w:r>
        <w:t xml:space="preserve">Henri Christophe, who also emigrated to St. Domingo at a young age is the subject of Brown’s next biography. Christophe had considerable knowledge of </w:t>
      </w:r>
      <w:r w:rsidR="00066208">
        <w:t>etiquette</w:t>
      </w:r>
      <w:r>
        <w:t xml:space="preserve"> at the time and well known in the customs of high society. Brown </w:t>
      </w:r>
      <w:r w:rsidR="00066208">
        <w:t>equates this knowledge with coming “from strength of natural genius</w:t>
      </w:r>
      <w:r w:rsidR="00066208">
        <w:rPr>
          <w:rStyle w:val="FootnoteReference"/>
        </w:rPr>
        <w:footnoteReference w:id="7"/>
      </w:r>
      <w:r w:rsidR="00066208">
        <w:t xml:space="preserve">”, language to be expected from a collection dedicated to persons characterised by Brown as being the pinnacle of human society. Second in command to Toussaint during the revolution, Christophe proved himself a more able military man than either Toussaint or Dessalines. It is within this chapter that we are reaffirmed </w:t>
      </w:r>
      <w:r w:rsidR="002C0399">
        <w:t xml:space="preserve">that the revolution was heavily politicised with new laws and decrees being introduced from France pertaining to the maintenance of slavery. </w:t>
      </w:r>
    </w:p>
    <w:p w14:paraId="42CA179F" w14:textId="55980213" w:rsidR="00CF16A6" w:rsidRDefault="002C0399" w:rsidP="00A04817">
      <w:pPr>
        <w:jc w:val="both"/>
      </w:pPr>
      <w:r>
        <w:t xml:space="preserve">Christophe’s presence is of no surprise in Brown’s book, due to the fact that he established his own government and becoming a king of his own land in Haiti, freeing all slaves, an inspirational figurehead for slaves to look at with admiration and hope. </w:t>
      </w:r>
    </w:p>
    <w:p w14:paraId="3813535D" w14:textId="77777777" w:rsidR="00CF16A6" w:rsidRDefault="00CF16A6"/>
    <w:p w14:paraId="66EB9BB7" w14:textId="77C1AB7F" w:rsidR="00D1647C" w:rsidRDefault="00D1647C"/>
    <w:p w14:paraId="5BDD162E" w14:textId="77777777" w:rsidR="00D1647C" w:rsidRDefault="00D1647C"/>
    <w:p w14:paraId="3BE0022B" w14:textId="1BC01127" w:rsidR="00345176" w:rsidRDefault="00345176"/>
    <w:p w14:paraId="14F2CB74" w14:textId="4173E21B" w:rsidR="00F70D79" w:rsidRDefault="00F70D79"/>
    <w:p w14:paraId="15B5EBCB" w14:textId="7F23973F" w:rsidR="00F70D79" w:rsidRDefault="00F70D79"/>
    <w:p w14:paraId="136E3730" w14:textId="0647E41D" w:rsidR="00F70D79" w:rsidRDefault="00F70D79"/>
    <w:p w14:paraId="0F06DE71" w14:textId="1590477B" w:rsidR="00F70D79" w:rsidRDefault="00F70D79"/>
    <w:p w14:paraId="5B12F686" w14:textId="01885F68" w:rsidR="00F70D79" w:rsidRDefault="00F70D79"/>
    <w:p w14:paraId="67C0BB65" w14:textId="67E20EBF" w:rsidR="00F70D79" w:rsidRDefault="00F70D79"/>
    <w:p w14:paraId="665CA0C2" w14:textId="0A90177C" w:rsidR="00F70D79" w:rsidRDefault="00F70D79"/>
    <w:p w14:paraId="54E19DD4" w14:textId="6E70A72E" w:rsidR="00F70D79" w:rsidRDefault="00F70D79"/>
    <w:p w14:paraId="72CA6F64" w14:textId="5B204DE1" w:rsidR="00F70D79" w:rsidRDefault="00F70D79"/>
    <w:p w14:paraId="0158A901" w14:textId="41582CEE" w:rsidR="00F70D79" w:rsidRDefault="00F70D79"/>
    <w:p w14:paraId="6EC08EAF" w14:textId="6C2ECE47" w:rsidR="00F70D79" w:rsidRDefault="00F70D79"/>
    <w:p w14:paraId="5AAC59A0" w14:textId="20F73541" w:rsidR="00F70D79" w:rsidRDefault="00F70D79"/>
    <w:p w14:paraId="46C2C831" w14:textId="3986E7E0" w:rsidR="00F70D79" w:rsidRDefault="00F70D79"/>
    <w:p w14:paraId="077A61AF" w14:textId="7D0219DD" w:rsidR="00F70D79" w:rsidRDefault="00F70D79"/>
    <w:p w14:paraId="0D36D120" w14:textId="685CA43C" w:rsidR="00F70D79" w:rsidRDefault="00F70D79">
      <w:bookmarkStart w:id="0" w:name="_GoBack"/>
      <w:bookmarkEnd w:id="0"/>
    </w:p>
    <w:sdt>
      <w:sdtPr>
        <w:id w:val="-499812263"/>
        <w:docPartObj>
          <w:docPartGallery w:val="Bibliographies"/>
          <w:docPartUnique/>
        </w:docPartObj>
      </w:sdtPr>
      <w:sdtEndPr>
        <w:rPr>
          <w:rFonts w:ascii="Speak Pro" w:eastAsiaTheme="minorHAnsi" w:hAnsi="Speak Pro" w:cs="Arial"/>
          <w:color w:val="000000"/>
          <w:sz w:val="22"/>
          <w:szCs w:val="22"/>
          <w:lang w:val="en-GB"/>
        </w:rPr>
      </w:sdtEndPr>
      <w:sdtContent>
        <w:p w14:paraId="7265EEE0" w14:textId="085CF477" w:rsidR="00F70D79" w:rsidRDefault="00F70D79">
          <w:pPr>
            <w:pStyle w:val="Heading1"/>
          </w:pPr>
          <w:r>
            <w:t>Bibliography</w:t>
          </w:r>
        </w:p>
        <w:sdt>
          <w:sdtPr>
            <w:id w:val="111145805"/>
            <w:bibliography/>
          </w:sdtPr>
          <w:sdtContent>
            <w:p w14:paraId="4B8A0EFF" w14:textId="13D8D6BB" w:rsidR="00F70D79" w:rsidRDefault="00F70D79">
              <w:r>
                <w:rPr>
                  <w:rFonts w:ascii="Arial" w:hAnsi="Arial"/>
                  <w:sz w:val="20"/>
                  <w:szCs w:val="20"/>
                  <w:shd w:val="clear" w:color="auto" w:fill="FFFFFF"/>
                </w:rPr>
                <w:t>Brown, William Wells, </w:t>
              </w:r>
              <w:r>
                <w:rPr>
                  <w:rFonts w:ascii="Arial" w:hAnsi="Arial"/>
                  <w:i/>
                  <w:iCs/>
                  <w:sz w:val="20"/>
                  <w:szCs w:val="20"/>
                  <w:shd w:val="clear" w:color="auto" w:fill="FFFFFF"/>
                </w:rPr>
                <w:t>The Black Man, His Antecedents, His Genius, And His Achievements’</w:t>
              </w:r>
              <w:r>
                <w:rPr>
                  <w:rFonts w:ascii="Arial" w:hAnsi="Arial"/>
                  <w:sz w:val="20"/>
                  <w:szCs w:val="20"/>
                  <w:shd w:val="clear" w:color="auto" w:fill="FFFFFF"/>
                </w:rPr>
                <w:t>, 2nd edn (New York: Thomas Hamilton, 1863)</w:t>
              </w:r>
            </w:p>
          </w:sdtContent>
        </w:sdt>
      </w:sdtContent>
    </w:sdt>
    <w:p w14:paraId="45158FFA" w14:textId="77777777" w:rsidR="00F70D79" w:rsidRPr="00F70D79" w:rsidRDefault="00F70D79"/>
    <w:sectPr w:rsidR="00F70D79" w:rsidRPr="00F70D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48662D" w14:textId="77777777" w:rsidR="008C1463" w:rsidRDefault="008C1463" w:rsidP="00F70D79">
      <w:pPr>
        <w:spacing w:after="0" w:line="240" w:lineRule="auto"/>
      </w:pPr>
      <w:r>
        <w:separator/>
      </w:r>
    </w:p>
  </w:endnote>
  <w:endnote w:type="continuationSeparator" w:id="0">
    <w:p w14:paraId="1771C860" w14:textId="77777777" w:rsidR="008C1463" w:rsidRDefault="008C1463" w:rsidP="00F70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peak Pro">
    <w:altName w:val="Speak Pro"/>
    <w:charset w:val="00"/>
    <w:family w:val="swiss"/>
    <w:pitch w:val="variable"/>
    <w:sig w:usb0="8000002F" w:usb1="0000000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9155A3" w14:textId="77777777" w:rsidR="008C1463" w:rsidRDefault="008C1463" w:rsidP="00F70D79">
      <w:pPr>
        <w:spacing w:after="0" w:line="240" w:lineRule="auto"/>
      </w:pPr>
      <w:r>
        <w:separator/>
      </w:r>
    </w:p>
  </w:footnote>
  <w:footnote w:type="continuationSeparator" w:id="0">
    <w:p w14:paraId="44AC6878" w14:textId="77777777" w:rsidR="008C1463" w:rsidRDefault="008C1463" w:rsidP="00F70D79">
      <w:pPr>
        <w:spacing w:after="0" w:line="240" w:lineRule="auto"/>
      </w:pPr>
      <w:r>
        <w:continuationSeparator/>
      </w:r>
    </w:p>
  </w:footnote>
  <w:footnote w:id="1">
    <w:p w14:paraId="1DE26BED" w14:textId="525E6F06" w:rsidR="00F70D79" w:rsidRDefault="00F70D79">
      <w:pPr>
        <w:pStyle w:val="FootnoteText"/>
      </w:pPr>
      <w:r>
        <w:rPr>
          <w:rStyle w:val="FootnoteReference"/>
        </w:rPr>
        <w:footnoteRef/>
      </w:r>
      <w:r>
        <w:t xml:space="preserve"> </w:t>
      </w:r>
      <w:r>
        <w:rPr>
          <w:rFonts w:ascii="Arial" w:hAnsi="Arial"/>
          <w:shd w:val="clear" w:color="auto" w:fill="FFFFFF"/>
        </w:rPr>
        <w:t>William Wells Brown, </w:t>
      </w:r>
      <w:r>
        <w:rPr>
          <w:rFonts w:ascii="Arial" w:hAnsi="Arial"/>
          <w:i/>
          <w:iCs/>
          <w:shd w:val="clear" w:color="auto" w:fill="FFFFFF"/>
        </w:rPr>
        <w:t>The Black Man, His Antecedents, His Genius, And His Achievements’</w:t>
      </w:r>
      <w:r>
        <w:rPr>
          <w:rFonts w:ascii="Arial" w:hAnsi="Arial"/>
          <w:shd w:val="clear" w:color="auto" w:fill="FFFFFF"/>
        </w:rPr>
        <w:t>, 2nd edn (New York: Thomas Hamilton, 1863).</w:t>
      </w:r>
      <w:r>
        <w:rPr>
          <w:rFonts w:ascii="Arial" w:hAnsi="Arial"/>
          <w:shd w:val="clear" w:color="auto" w:fill="FFFFFF"/>
        </w:rPr>
        <w:t xml:space="preserve"> p. 6.</w:t>
      </w:r>
    </w:p>
  </w:footnote>
  <w:footnote w:id="2">
    <w:p w14:paraId="77EB4EA6" w14:textId="665009DA" w:rsidR="00282EEC" w:rsidRDefault="00282EEC">
      <w:pPr>
        <w:pStyle w:val="FootnoteText"/>
      </w:pPr>
      <w:r>
        <w:rPr>
          <w:rStyle w:val="FootnoteReference"/>
        </w:rPr>
        <w:footnoteRef/>
      </w:r>
      <w:r>
        <w:t xml:space="preserve"> </w:t>
      </w:r>
      <w:r w:rsidRPr="00282EEC">
        <w:rPr>
          <w:rFonts w:ascii="Arial" w:hAnsi="Arial"/>
          <w:i/>
          <w:iCs/>
          <w:shd w:val="clear" w:color="auto" w:fill="FFFFFF"/>
        </w:rPr>
        <w:t>Ibid</w:t>
      </w:r>
      <w:r w:rsidRPr="00282EEC">
        <w:rPr>
          <w:rFonts w:ascii="Arial" w:hAnsi="Arial"/>
          <w:shd w:val="clear" w:color="auto" w:fill="FFFFFF"/>
        </w:rPr>
        <w:t>., p.31</w:t>
      </w:r>
    </w:p>
  </w:footnote>
  <w:footnote w:id="3">
    <w:p w14:paraId="13EB9343" w14:textId="1ABA8CAD" w:rsidR="00FD2E38" w:rsidRDefault="00FD2E38">
      <w:pPr>
        <w:pStyle w:val="FootnoteText"/>
      </w:pPr>
      <w:r>
        <w:rPr>
          <w:rStyle w:val="FootnoteReference"/>
        </w:rPr>
        <w:footnoteRef/>
      </w:r>
      <w:r>
        <w:t xml:space="preserve"> </w:t>
      </w:r>
      <w:r w:rsidRPr="00282EEC">
        <w:rPr>
          <w:rFonts w:ascii="Arial" w:hAnsi="Arial"/>
          <w:i/>
          <w:iCs/>
          <w:shd w:val="clear" w:color="auto" w:fill="FFFFFF"/>
        </w:rPr>
        <w:t>Ibid</w:t>
      </w:r>
      <w:r w:rsidRPr="00282EEC">
        <w:rPr>
          <w:rFonts w:ascii="Arial" w:hAnsi="Arial"/>
          <w:shd w:val="clear" w:color="auto" w:fill="FFFFFF"/>
        </w:rPr>
        <w:t>., p.</w:t>
      </w:r>
      <w:r>
        <w:rPr>
          <w:rFonts w:ascii="Arial" w:hAnsi="Arial"/>
          <w:shd w:val="clear" w:color="auto" w:fill="FFFFFF"/>
        </w:rPr>
        <w:t>92</w:t>
      </w:r>
    </w:p>
  </w:footnote>
  <w:footnote w:id="4">
    <w:p w14:paraId="0F1FF85B" w14:textId="3DDD9BFB" w:rsidR="00A973FF" w:rsidRDefault="00A973FF">
      <w:pPr>
        <w:pStyle w:val="FootnoteText"/>
      </w:pPr>
      <w:r>
        <w:rPr>
          <w:rStyle w:val="FootnoteReference"/>
        </w:rPr>
        <w:footnoteRef/>
      </w:r>
      <w:r>
        <w:t xml:space="preserve"> </w:t>
      </w:r>
      <w:r w:rsidR="00A04817" w:rsidRPr="00282EEC">
        <w:rPr>
          <w:rFonts w:ascii="Arial" w:hAnsi="Arial"/>
          <w:i/>
          <w:iCs/>
          <w:shd w:val="clear" w:color="auto" w:fill="FFFFFF"/>
        </w:rPr>
        <w:t>Ibid</w:t>
      </w:r>
      <w:r w:rsidR="00A04817" w:rsidRPr="00282EEC">
        <w:rPr>
          <w:rFonts w:ascii="Arial" w:hAnsi="Arial"/>
          <w:shd w:val="clear" w:color="auto" w:fill="FFFFFF"/>
        </w:rPr>
        <w:t>.,</w:t>
      </w:r>
      <w:r w:rsidR="00A04817">
        <w:rPr>
          <w:rFonts w:ascii="Arial" w:hAnsi="Arial"/>
          <w:shd w:val="clear" w:color="auto" w:fill="FFFFFF"/>
        </w:rPr>
        <w:t xml:space="preserve"> </w:t>
      </w:r>
      <w:r>
        <w:rPr>
          <w:rFonts w:ascii="Arial" w:hAnsi="Arial"/>
          <w:shd w:val="clear" w:color="auto" w:fill="FFFFFF"/>
        </w:rPr>
        <w:t xml:space="preserve">p. </w:t>
      </w:r>
      <w:r>
        <w:rPr>
          <w:rFonts w:ascii="Arial" w:hAnsi="Arial"/>
          <w:shd w:val="clear" w:color="auto" w:fill="FFFFFF"/>
        </w:rPr>
        <w:t>105</w:t>
      </w:r>
    </w:p>
  </w:footnote>
  <w:footnote w:id="5">
    <w:p w14:paraId="73DC010B" w14:textId="4A7288C5" w:rsidR="00B23480" w:rsidRDefault="00B23480">
      <w:pPr>
        <w:pStyle w:val="FootnoteText"/>
      </w:pPr>
      <w:r>
        <w:rPr>
          <w:rStyle w:val="FootnoteReference"/>
        </w:rPr>
        <w:footnoteRef/>
      </w:r>
      <w:r>
        <w:t xml:space="preserve"> </w:t>
      </w:r>
      <w:r w:rsidR="00A04817" w:rsidRPr="00282EEC">
        <w:rPr>
          <w:rFonts w:ascii="Arial" w:hAnsi="Arial"/>
          <w:i/>
          <w:iCs/>
          <w:shd w:val="clear" w:color="auto" w:fill="FFFFFF"/>
        </w:rPr>
        <w:t>Ibid</w:t>
      </w:r>
      <w:r w:rsidR="00A04817" w:rsidRPr="00282EEC">
        <w:rPr>
          <w:rFonts w:ascii="Arial" w:hAnsi="Arial"/>
          <w:shd w:val="clear" w:color="auto" w:fill="FFFFFF"/>
        </w:rPr>
        <w:t xml:space="preserve">., </w:t>
      </w:r>
      <w:r>
        <w:rPr>
          <w:rFonts w:ascii="Arial" w:hAnsi="Arial"/>
          <w:shd w:val="clear" w:color="auto" w:fill="FFFFFF"/>
        </w:rPr>
        <w:t>p. 1</w:t>
      </w:r>
      <w:r>
        <w:rPr>
          <w:rFonts w:ascii="Arial" w:hAnsi="Arial"/>
          <w:shd w:val="clear" w:color="auto" w:fill="FFFFFF"/>
        </w:rPr>
        <w:t>10.</w:t>
      </w:r>
    </w:p>
  </w:footnote>
  <w:footnote w:id="6">
    <w:p w14:paraId="782AE5C6" w14:textId="01F6EAA0" w:rsidR="00B23480" w:rsidRDefault="00B23480">
      <w:pPr>
        <w:pStyle w:val="FootnoteText"/>
      </w:pPr>
      <w:r>
        <w:rPr>
          <w:rStyle w:val="FootnoteReference"/>
        </w:rPr>
        <w:footnoteRef/>
      </w:r>
      <w:r>
        <w:t xml:space="preserve"> </w:t>
      </w:r>
      <w:r>
        <w:rPr>
          <w:rFonts w:ascii="Arial" w:hAnsi="Arial"/>
          <w:shd w:val="clear" w:color="auto" w:fill="FFFFFF"/>
        </w:rPr>
        <w:t>William Wells Brown, </w:t>
      </w:r>
      <w:r>
        <w:rPr>
          <w:rFonts w:ascii="Arial" w:hAnsi="Arial"/>
          <w:i/>
          <w:iCs/>
          <w:shd w:val="clear" w:color="auto" w:fill="FFFFFF"/>
        </w:rPr>
        <w:t>The Black Man, His Antecedents, His Genius, And His Achievements’</w:t>
      </w:r>
      <w:r>
        <w:rPr>
          <w:rFonts w:ascii="Arial" w:hAnsi="Arial"/>
          <w:shd w:val="clear" w:color="auto" w:fill="FFFFFF"/>
        </w:rPr>
        <w:t>, 2nd edn (New York: Thomas Hamilton, 1863). p. 1</w:t>
      </w:r>
      <w:r>
        <w:rPr>
          <w:rFonts w:ascii="Arial" w:hAnsi="Arial"/>
          <w:shd w:val="clear" w:color="auto" w:fill="FFFFFF"/>
        </w:rPr>
        <w:t>14.</w:t>
      </w:r>
    </w:p>
  </w:footnote>
  <w:footnote w:id="7">
    <w:p w14:paraId="07580016" w14:textId="3DE432F9" w:rsidR="00066208" w:rsidRDefault="00066208">
      <w:pPr>
        <w:pStyle w:val="FootnoteText"/>
      </w:pPr>
      <w:r>
        <w:rPr>
          <w:rStyle w:val="FootnoteReference"/>
        </w:rPr>
        <w:footnoteRef/>
      </w:r>
      <w:r>
        <w:t xml:space="preserve"> </w:t>
      </w:r>
      <w:r w:rsidR="00A04817" w:rsidRPr="00282EEC">
        <w:rPr>
          <w:rFonts w:ascii="Arial" w:hAnsi="Arial"/>
          <w:i/>
          <w:iCs/>
          <w:shd w:val="clear" w:color="auto" w:fill="FFFFFF"/>
        </w:rPr>
        <w:t>Ibid</w:t>
      </w:r>
      <w:r w:rsidR="00A04817" w:rsidRPr="00282EEC">
        <w:rPr>
          <w:rFonts w:ascii="Arial" w:hAnsi="Arial"/>
          <w:shd w:val="clear" w:color="auto" w:fill="FFFFFF"/>
        </w:rPr>
        <w:t xml:space="preserve">., </w:t>
      </w:r>
      <w:r>
        <w:rPr>
          <w:rFonts w:ascii="Arial" w:hAnsi="Arial"/>
          <w:shd w:val="clear" w:color="auto" w:fill="FFFFFF"/>
        </w:rPr>
        <w:t xml:space="preserve">p. </w:t>
      </w:r>
      <w:r>
        <w:rPr>
          <w:rFonts w:ascii="Arial" w:hAnsi="Arial"/>
          <w:shd w:val="clear" w:color="auto" w:fill="FFFFFF"/>
        </w:rPr>
        <w:t>132.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9F0B28"/>
    <w:multiLevelType w:val="hybridMultilevel"/>
    <w:tmpl w:val="3F0070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F123781"/>
    <w:multiLevelType w:val="hybridMultilevel"/>
    <w:tmpl w:val="FB2A0EC8"/>
    <w:lvl w:ilvl="0" w:tplc="C9984292">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040"/>
    <w:rsid w:val="00066208"/>
    <w:rsid w:val="0016153B"/>
    <w:rsid w:val="001A7040"/>
    <w:rsid w:val="00282EEC"/>
    <w:rsid w:val="002C0399"/>
    <w:rsid w:val="00345176"/>
    <w:rsid w:val="004230B8"/>
    <w:rsid w:val="0042419C"/>
    <w:rsid w:val="00580BA0"/>
    <w:rsid w:val="0060739D"/>
    <w:rsid w:val="006842E4"/>
    <w:rsid w:val="008C1463"/>
    <w:rsid w:val="00A04817"/>
    <w:rsid w:val="00A973FF"/>
    <w:rsid w:val="00B20F69"/>
    <w:rsid w:val="00B23480"/>
    <w:rsid w:val="00BA5DF0"/>
    <w:rsid w:val="00C4404B"/>
    <w:rsid w:val="00C56337"/>
    <w:rsid w:val="00CF16A6"/>
    <w:rsid w:val="00D1647C"/>
    <w:rsid w:val="00F70D79"/>
    <w:rsid w:val="00FB66A9"/>
    <w:rsid w:val="00FD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108C2"/>
  <w15:chartTrackingRefBased/>
  <w15:docId w15:val="{238205E0-DDA7-42B0-A2C9-03DDCDD8D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peak Pro" w:eastAsiaTheme="minorHAnsi" w:hAnsi="Speak Pro" w:cs="Arial"/>
        <w:color w:val="000000"/>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0D7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qFormat/>
    <w:locked/>
    <w:rsid w:val="001A7040"/>
    <w:rPr>
      <w:lang w:eastAsia="en-GB"/>
    </w:rPr>
  </w:style>
  <w:style w:type="paragraph" w:styleId="ListParagraph">
    <w:name w:val="List Paragraph"/>
    <w:basedOn w:val="Normal"/>
    <w:link w:val="ListParagraphChar"/>
    <w:uiPriority w:val="34"/>
    <w:qFormat/>
    <w:rsid w:val="001A7040"/>
    <w:pPr>
      <w:spacing w:after="0" w:line="240" w:lineRule="auto"/>
      <w:ind w:left="720"/>
      <w:contextualSpacing/>
    </w:pPr>
    <w:rPr>
      <w:lang w:eastAsia="en-GB"/>
    </w:rPr>
  </w:style>
  <w:style w:type="paragraph" w:styleId="FootnoteText">
    <w:name w:val="footnote text"/>
    <w:basedOn w:val="Normal"/>
    <w:link w:val="FootnoteTextChar"/>
    <w:uiPriority w:val="99"/>
    <w:semiHidden/>
    <w:unhideWhenUsed/>
    <w:rsid w:val="00F70D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0D79"/>
    <w:rPr>
      <w:sz w:val="20"/>
      <w:szCs w:val="20"/>
    </w:rPr>
  </w:style>
  <w:style w:type="character" w:styleId="FootnoteReference">
    <w:name w:val="footnote reference"/>
    <w:basedOn w:val="DefaultParagraphFont"/>
    <w:uiPriority w:val="99"/>
    <w:semiHidden/>
    <w:unhideWhenUsed/>
    <w:rsid w:val="00F70D79"/>
    <w:rPr>
      <w:vertAlign w:val="superscript"/>
    </w:rPr>
  </w:style>
  <w:style w:type="character" w:customStyle="1" w:styleId="Heading1Char">
    <w:name w:val="Heading 1 Char"/>
    <w:basedOn w:val="DefaultParagraphFont"/>
    <w:link w:val="Heading1"/>
    <w:uiPriority w:val="9"/>
    <w:rsid w:val="00F70D79"/>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9936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BD2757B-779C-4555-8F5A-68E1B375B8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730</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Smith</dc:creator>
  <cp:keywords/>
  <dc:description/>
  <cp:lastModifiedBy>Scott Smith</cp:lastModifiedBy>
  <cp:revision>1</cp:revision>
  <dcterms:created xsi:type="dcterms:W3CDTF">2020-01-19T19:29:00Z</dcterms:created>
  <dcterms:modified xsi:type="dcterms:W3CDTF">2020-01-19T22:46:00Z</dcterms:modified>
</cp:coreProperties>
</file>