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C222B" w14:textId="0068090F" w:rsidR="00BD33ED" w:rsidRDefault="00F61380" w:rsidP="00F61380">
      <w:pPr>
        <w:ind w:left="426" w:hanging="426"/>
        <w:contextualSpacing/>
        <w:rPr>
          <w:rFonts w:ascii="Trebuchet MS" w:hAnsi="Trebuchet MS"/>
        </w:rPr>
      </w:pPr>
      <w:r>
        <w:rPr>
          <w:rFonts w:ascii="Trebuchet MS" w:hAnsi="Trebuchet MS"/>
        </w:rPr>
        <w:t>A</w:t>
      </w:r>
      <w:r w:rsidR="00BD33ED">
        <w:rPr>
          <w:rFonts w:ascii="Trebuchet MS" w:hAnsi="Trebuchet MS"/>
        </w:rPr>
        <w:t>C</w:t>
      </w:r>
      <w:r>
        <w:rPr>
          <w:rFonts w:ascii="Trebuchet MS" w:hAnsi="Trebuchet MS"/>
        </w:rPr>
        <w:t xml:space="preserve"> 1.1</w:t>
      </w:r>
    </w:p>
    <w:p w14:paraId="0E693899" w14:textId="77777777" w:rsidR="00F61380" w:rsidRDefault="00F61380" w:rsidP="00F61380">
      <w:pPr>
        <w:ind w:left="426" w:hanging="426"/>
        <w:contextualSpacing/>
        <w:rPr>
          <w:rFonts w:ascii="Trebuchet MS" w:hAnsi="Trebuchet MS"/>
        </w:rPr>
      </w:pPr>
    </w:p>
    <w:p w14:paraId="38B97FE5" w14:textId="22F70550" w:rsidR="00BD33ED" w:rsidRPr="00BD33ED" w:rsidRDefault="00487D5B" w:rsidP="001A4D8F">
      <w:pPr>
        <w:spacing w:line="360" w:lineRule="auto"/>
        <w:rPr>
          <w:rFonts w:asciiTheme="minorHAnsi" w:hAnsiTheme="minorHAnsi" w:cstheme="minorHAnsi"/>
        </w:rPr>
      </w:pPr>
      <w:r>
        <w:rPr>
          <w:rFonts w:asciiTheme="minorHAnsi" w:hAnsiTheme="minorHAnsi" w:cstheme="minorHAnsi"/>
        </w:rPr>
        <w:t xml:space="preserve">Evidence-based practice </w:t>
      </w:r>
      <w:r w:rsidR="00D81B3A">
        <w:rPr>
          <w:rFonts w:asciiTheme="minorHAnsi" w:hAnsiTheme="minorHAnsi" w:cstheme="minorHAnsi"/>
        </w:rPr>
        <w:t xml:space="preserve">(EBP) </w:t>
      </w:r>
      <w:r>
        <w:rPr>
          <w:rFonts w:asciiTheme="minorHAnsi" w:hAnsiTheme="minorHAnsi" w:cstheme="minorHAnsi"/>
        </w:rPr>
        <w:t xml:space="preserve">is the process of </w:t>
      </w:r>
      <w:r w:rsidR="00014EFF">
        <w:rPr>
          <w:rFonts w:asciiTheme="minorHAnsi" w:hAnsiTheme="minorHAnsi" w:cstheme="minorHAnsi"/>
        </w:rPr>
        <w:t xml:space="preserve">critically </w:t>
      </w:r>
      <w:r>
        <w:rPr>
          <w:rFonts w:asciiTheme="minorHAnsi" w:hAnsiTheme="minorHAnsi" w:cstheme="minorHAnsi"/>
        </w:rPr>
        <w:t xml:space="preserve">appraising multiple sources of information and data to </w:t>
      </w:r>
      <w:r w:rsidR="00014EFF">
        <w:rPr>
          <w:rFonts w:asciiTheme="minorHAnsi" w:hAnsiTheme="minorHAnsi" w:cstheme="minorHAnsi"/>
        </w:rPr>
        <w:t>make a decision (</w:t>
      </w:r>
      <w:proofErr w:type="spellStart"/>
      <w:r w:rsidR="00014EFF">
        <w:rPr>
          <w:rFonts w:asciiTheme="minorHAnsi" w:hAnsiTheme="minorHAnsi" w:cstheme="minorHAnsi"/>
        </w:rPr>
        <w:t>Barends</w:t>
      </w:r>
      <w:proofErr w:type="spellEnd"/>
      <w:r w:rsidR="00014EFF">
        <w:rPr>
          <w:rFonts w:asciiTheme="minorHAnsi" w:hAnsiTheme="minorHAnsi" w:cstheme="minorHAnsi"/>
        </w:rPr>
        <w:t xml:space="preserve"> and Rousseau, 2018). When faced with unsubstantiated claims and contradictory information, </w:t>
      </w:r>
      <w:r w:rsidR="00D81B3A">
        <w:rPr>
          <w:rFonts w:asciiTheme="minorHAnsi" w:hAnsiTheme="minorHAnsi" w:cstheme="minorHAnsi"/>
        </w:rPr>
        <w:t>EBP</w:t>
      </w:r>
      <w:r w:rsidR="00014EFF">
        <w:rPr>
          <w:rFonts w:asciiTheme="minorHAnsi" w:hAnsiTheme="minorHAnsi" w:cstheme="minorHAnsi"/>
        </w:rPr>
        <w:t xml:space="preserve"> allows </w:t>
      </w:r>
      <w:r w:rsidR="001B132C">
        <w:rPr>
          <w:rFonts w:asciiTheme="minorHAnsi" w:hAnsiTheme="minorHAnsi" w:cstheme="minorHAnsi"/>
        </w:rPr>
        <w:t xml:space="preserve">people </w:t>
      </w:r>
      <w:r w:rsidR="00014EFF">
        <w:rPr>
          <w:rFonts w:asciiTheme="minorHAnsi" w:hAnsiTheme="minorHAnsi" w:cstheme="minorHAnsi"/>
        </w:rPr>
        <w:t xml:space="preserve">practitioners to investigate a </w:t>
      </w:r>
      <w:r w:rsidR="00852AD5">
        <w:rPr>
          <w:rFonts w:asciiTheme="minorHAnsi" w:hAnsiTheme="minorHAnsi" w:cstheme="minorHAnsi"/>
        </w:rPr>
        <w:t xml:space="preserve">problem comprehensively to find the best solution backed up by current and relevant facts and data (Gifford, Young and </w:t>
      </w:r>
      <w:proofErr w:type="spellStart"/>
      <w:r w:rsidR="00852AD5">
        <w:rPr>
          <w:rFonts w:asciiTheme="minorHAnsi" w:hAnsiTheme="minorHAnsi" w:cstheme="minorHAnsi"/>
        </w:rPr>
        <w:t>Barends</w:t>
      </w:r>
      <w:proofErr w:type="spellEnd"/>
      <w:r w:rsidR="00852AD5">
        <w:rPr>
          <w:rFonts w:asciiTheme="minorHAnsi" w:hAnsiTheme="minorHAnsi" w:cstheme="minorHAnsi"/>
        </w:rPr>
        <w:t xml:space="preserve">, 2023). </w:t>
      </w:r>
      <w:r w:rsidR="001B132C">
        <w:rPr>
          <w:rFonts w:asciiTheme="minorHAnsi" w:hAnsiTheme="minorHAnsi" w:cstheme="minorHAnsi"/>
        </w:rPr>
        <w:t xml:space="preserve">Sound decisions based on evidence can lead to strategic success in organisations, strengthening trust and credibility in the people profession (Reid Elder and </w:t>
      </w:r>
      <w:proofErr w:type="spellStart"/>
      <w:r w:rsidR="001B132C">
        <w:rPr>
          <w:rFonts w:asciiTheme="minorHAnsi" w:hAnsiTheme="minorHAnsi" w:cstheme="minorHAnsi"/>
        </w:rPr>
        <w:t>Nikodem</w:t>
      </w:r>
      <w:proofErr w:type="spellEnd"/>
      <w:r w:rsidR="001B132C">
        <w:rPr>
          <w:rFonts w:asciiTheme="minorHAnsi" w:hAnsiTheme="minorHAnsi" w:cstheme="minorHAnsi"/>
        </w:rPr>
        <w:t xml:space="preserve">, 2023). </w:t>
      </w:r>
      <w:r w:rsidR="006A5F21">
        <w:rPr>
          <w:rFonts w:asciiTheme="minorHAnsi" w:hAnsiTheme="minorHAnsi" w:cstheme="minorHAnsi"/>
        </w:rPr>
        <w:t xml:space="preserve">However, </w:t>
      </w:r>
      <w:r w:rsidR="00D81B3A">
        <w:rPr>
          <w:rFonts w:asciiTheme="minorHAnsi" w:hAnsiTheme="minorHAnsi" w:cstheme="minorHAnsi"/>
        </w:rPr>
        <w:t xml:space="preserve">there has been a level of reluctance to adopt EBP in human resource management due to practitioners’ lack of knowledge and access to sources of academic information (Gill, 2018). </w:t>
      </w:r>
    </w:p>
    <w:p w14:paraId="351CDB4E" w14:textId="47C8183A" w:rsidR="00851508" w:rsidRDefault="00851508" w:rsidP="001A4D8F">
      <w:pPr>
        <w:spacing w:line="360" w:lineRule="auto"/>
      </w:pPr>
    </w:p>
    <w:p w14:paraId="6256471B" w14:textId="24872D43" w:rsidR="00BD33ED" w:rsidRDefault="00381394" w:rsidP="001A4D8F">
      <w:pPr>
        <w:spacing w:line="360" w:lineRule="auto"/>
        <w:rPr>
          <w:rFonts w:asciiTheme="minorHAnsi" w:hAnsiTheme="minorHAnsi" w:cstheme="minorHAnsi"/>
        </w:rPr>
      </w:pPr>
      <w:r w:rsidRPr="003C2412">
        <w:rPr>
          <w:rFonts w:asciiTheme="minorHAnsi" w:hAnsiTheme="minorHAnsi" w:cstheme="minorHAnsi"/>
        </w:rPr>
        <w:t xml:space="preserve">As </w:t>
      </w:r>
      <w:proofErr w:type="spellStart"/>
      <w:r w:rsidRPr="003C2412">
        <w:rPr>
          <w:rFonts w:asciiTheme="minorHAnsi" w:hAnsiTheme="minorHAnsi" w:cstheme="minorHAnsi"/>
        </w:rPr>
        <w:t>Technivara</w:t>
      </w:r>
      <w:proofErr w:type="spellEnd"/>
      <w:r w:rsidRPr="003C2412">
        <w:rPr>
          <w:rFonts w:asciiTheme="minorHAnsi" w:hAnsiTheme="minorHAnsi" w:cstheme="minorHAnsi"/>
        </w:rPr>
        <w:t xml:space="preserve"> expands, </w:t>
      </w:r>
      <w:r w:rsidR="003C2412">
        <w:rPr>
          <w:rFonts w:asciiTheme="minorHAnsi" w:hAnsiTheme="minorHAnsi" w:cstheme="minorHAnsi"/>
        </w:rPr>
        <w:t>undoubtedly,</w:t>
      </w:r>
      <w:r w:rsidR="003C2412" w:rsidRPr="003C2412">
        <w:rPr>
          <w:rFonts w:asciiTheme="minorHAnsi" w:hAnsiTheme="minorHAnsi" w:cstheme="minorHAnsi"/>
        </w:rPr>
        <w:t xml:space="preserve"> future recruitment needs for the business</w:t>
      </w:r>
      <w:r w:rsidR="003C2412">
        <w:rPr>
          <w:rFonts w:asciiTheme="minorHAnsi" w:hAnsiTheme="minorHAnsi" w:cstheme="minorHAnsi"/>
        </w:rPr>
        <w:t xml:space="preserve"> will arise</w:t>
      </w:r>
      <w:r w:rsidR="003C2412" w:rsidRPr="003C2412">
        <w:rPr>
          <w:rFonts w:asciiTheme="minorHAnsi" w:hAnsiTheme="minorHAnsi" w:cstheme="minorHAnsi"/>
        </w:rPr>
        <w:t xml:space="preserve"> which could be conducted based on </w:t>
      </w:r>
      <w:r w:rsidR="003C2412">
        <w:rPr>
          <w:rFonts w:asciiTheme="minorHAnsi" w:hAnsiTheme="minorHAnsi" w:cstheme="minorHAnsi"/>
        </w:rPr>
        <w:t>EBP. Structured interviews intended to gather data on suitable candidates minimises the risk of bias and decision making based on managerial judgment (</w:t>
      </w:r>
      <w:r w:rsidR="003C07AC">
        <w:rPr>
          <w:rFonts w:asciiTheme="minorHAnsi" w:hAnsiTheme="minorHAnsi" w:cstheme="minorHAnsi"/>
        </w:rPr>
        <w:t>Linos and Reinhard, 2015</w:t>
      </w:r>
      <w:r w:rsidR="003C2412">
        <w:rPr>
          <w:rFonts w:asciiTheme="minorHAnsi" w:hAnsiTheme="minorHAnsi" w:cstheme="minorHAnsi"/>
        </w:rPr>
        <w:t xml:space="preserve">). </w:t>
      </w:r>
      <w:r w:rsidR="008D6C00">
        <w:rPr>
          <w:rFonts w:asciiTheme="minorHAnsi" w:hAnsiTheme="minorHAnsi" w:cstheme="minorHAnsi"/>
        </w:rPr>
        <w:t xml:space="preserve">Setting the questions and response scores prior to an interview provides objective criteria for hiring managers when considering their decisions (CIPD, 2024). </w:t>
      </w:r>
      <w:r w:rsidR="003C2412">
        <w:rPr>
          <w:rFonts w:asciiTheme="minorHAnsi" w:hAnsiTheme="minorHAnsi" w:cstheme="minorHAnsi"/>
        </w:rPr>
        <w:t xml:space="preserve">Utilising evidence-based assessment tools in interviews such as </w:t>
      </w:r>
      <w:r w:rsidR="008D6C00">
        <w:rPr>
          <w:rFonts w:asciiTheme="minorHAnsi" w:hAnsiTheme="minorHAnsi" w:cstheme="minorHAnsi"/>
        </w:rPr>
        <w:t>skills-based</w:t>
      </w:r>
      <w:r w:rsidR="003C2412">
        <w:rPr>
          <w:rFonts w:asciiTheme="minorHAnsi" w:hAnsiTheme="minorHAnsi" w:cstheme="minorHAnsi"/>
        </w:rPr>
        <w:t xml:space="preserve"> </w:t>
      </w:r>
      <w:r w:rsidR="003C07AC">
        <w:rPr>
          <w:rFonts w:asciiTheme="minorHAnsi" w:hAnsiTheme="minorHAnsi" w:cstheme="minorHAnsi"/>
        </w:rPr>
        <w:t>tasks</w:t>
      </w:r>
      <w:r w:rsidR="003C2412">
        <w:rPr>
          <w:rFonts w:asciiTheme="minorHAnsi" w:hAnsiTheme="minorHAnsi" w:cstheme="minorHAnsi"/>
        </w:rPr>
        <w:t xml:space="preserve"> or cognitive ability </w:t>
      </w:r>
      <w:r w:rsidR="003C07AC">
        <w:rPr>
          <w:rFonts w:asciiTheme="minorHAnsi" w:hAnsiTheme="minorHAnsi" w:cstheme="minorHAnsi"/>
        </w:rPr>
        <w:t>tests provides a</w:t>
      </w:r>
      <w:r w:rsidR="0039721E">
        <w:rPr>
          <w:rFonts w:asciiTheme="minorHAnsi" w:hAnsiTheme="minorHAnsi" w:cstheme="minorHAnsi"/>
        </w:rPr>
        <w:t xml:space="preserve">n accurate and valid </w:t>
      </w:r>
      <w:r w:rsidR="003C07AC">
        <w:rPr>
          <w:rFonts w:asciiTheme="minorHAnsi" w:hAnsiTheme="minorHAnsi" w:cstheme="minorHAnsi"/>
        </w:rPr>
        <w:t xml:space="preserve">measurement of candidate job performance (Linos and Reinhard, 2015). </w:t>
      </w:r>
      <w:r w:rsidR="0039721E">
        <w:rPr>
          <w:rFonts w:asciiTheme="minorHAnsi" w:hAnsiTheme="minorHAnsi" w:cstheme="minorHAnsi"/>
        </w:rPr>
        <w:t>Compiling</w:t>
      </w:r>
      <w:r w:rsidR="000A6623">
        <w:rPr>
          <w:rFonts w:asciiTheme="minorHAnsi" w:hAnsiTheme="minorHAnsi" w:cstheme="minorHAnsi"/>
        </w:rPr>
        <w:t xml:space="preserve"> and comparing</w:t>
      </w:r>
      <w:r w:rsidR="0039721E">
        <w:rPr>
          <w:rFonts w:asciiTheme="minorHAnsi" w:hAnsiTheme="minorHAnsi" w:cstheme="minorHAnsi"/>
        </w:rPr>
        <w:t xml:space="preserve"> all of the candidate responses and assessment scores following an interview provides a balanced, data-driven overview of candidate performance, ensuring the hiring decision is made based on the predictive nature of assessment and not on hiring managers’ intuition or bias (Linos and Reinhard, 2015). </w:t>
      </w:r>
    </w:p>
    <w:p w14:paraId="70E02DD1" w14:textId="634A99E5" w:rsidR="00E45247" w:rsidRDefault="00E45247" w:rsidP="001A4D8F">
      <w:pPr>
        <w:spacing w:line="360" w:lineRule="auto"/>
        <w:rPr>
          <w:rFonts w:asciiTheme="minorHAnsi" w:hAnsiTheme="minorHAnsi" w:cstheme="minorHAnsi"/>
        </w:rPr>
      </w:pPr>
    </w:p>
    <w:p w14:paraId="3FFEC07B" w14:textId="5D295433" w:rsidR="00E45247" w:rsidRDefault="00E45247" w:rsidP="001A4D8F">
      <w:pPr>
        <w:spacing w:line="360" w:lineRule="auto"/>
        <w:rPr>
          <w:rFonts w:asciiTheme="minorHAnsi" w:hAnsiTheme="minorHAnsi" w:cstheme="minorHAnsi"/>
        </w:rPr>
      </w:pPr>
      <w:r>
        <w:rPr>
          <w:rFonts w:asciiTheme="minorHAnsi" w:hAnsiTheme="minorHAnsi" w:cstheme="minorHAnsi"/>
        </w:rPr>
        <w:t xml:space="preserve">In the same vein, </w:t>
      </w:r>
      <w:proofErr w:type="spellStart"/>
      <w:r w:rsidR="00491B5F">
        <w:rPr>
          <w:rFonts w:asciiTheme="minorHAnsi" w:hAnsiTheme="minorHAnsi" w:cstheme="minorHAnsi"/>
        </w:rPr>
        <w:t>Technivara’s</w:t>
      </w:r>
      <w:proofErr w:type="spellEnd"/>
      <w:r w:rsidR="00491B5F">
        <w:rPr>
          <w:rFonts w:asciiTheme="minorHAnsi" w:hAnsiTheme="minorHAnsi" w:cstheme="minorHAnsi"/>
        </w:rPr>
        <w:t xml:space="preserve"> </w:t>
      </w:r>
      <w:r>
        <w:rPr>
          <w:rFonts w:asciiTheme="minorHAnsi" w:hAnsiTheme="minorHAnsi" w:cstheme="minorHAnsi"/>
        </w:rPr>
        <w:t>expansion will require new skills and knowledge from employees, therefore, a</w:t>
      </w:r>
      <w:r w:rsidR="00435E65">
        <w:rPr>
          <w:rFonts w:asciiTheme="minorHAnsi" w:hAnsiTheme="minorHAnsi" w:cstheme="minorHAnsi"/>
        </w:rPr>
        <w:t xml:space="preserve">n evidence-based </w:t>
      </w:r>
      <w:r>
        <w:rPr>
          <w:rFonts w:asciiTheme="minorHAnsi" w:hAnsiTheme="minorHAnsi" w:cstheme="minorHAnsi"/>
        </w:rPr>
        <w:t>learning and development</w:t>
      </w:r>
      <w:r w:rsidR="00435E65">
        <w:rPr>
          <w:rFonts w:asciiTheme="minorHAnsi" w:hAnsiTheme="minorHAnsi" w:cstheme="minorHAnsi"/>
        </w:rPr>
        <w:t xml:space="preserve"> (L&amp;D)</w:t>
      </w:r>
      <w:r>
        <w:rPr>
          <w:rFonts w:asciiTheme="minorHAnsi" w:hAnsiTheme="minorHAnsi" w:cstheme="minorHAnsi"/>
        </w:rPr>
        <w:t xml:space="preserve"> strategy is essential. </w:t>
      </w:r>
      <w:r w:rsidR="00435E65">
        <w:rPr>
          <w:rFonts w:asciiTheme="minorHAnsi" w:hAnsiTheme="minorHAnsi" w:cstheme="minorHAnsi"/>
        </w:rPr>
        <w:t>Data</w:t>
      </w:r>
      <w:r w:rsidR="0018464B">
        <w:rPr>
          <w:rFonts w:asciiTheme="minorHAnsi" w:hAnsiTheme="minorHAnsi" w:cstheme="minorHAnsi"/>
        </w:rPr>
        <w:t xml:space="preserve"> analytics</w:t>
      </w:r>
      <w:r w:rsidR="00435E65">
        <w:rPr>
          <w:rFonts w:asciiTheme="minorHAnsi" w:hAnsiTheme="minorHAnsi" w:cstheme="minorHAnsi"/>
        </w:rPr>
        <w:t xml:space="preserve"> such as training hours completed, skill level assessments, personal development plans, performance evaluations and percentages of staff on formal development programmes or qualifications all provide key insights into levels of engagement with L&amp;D, what skill gaps are present in the workforce and the effectiveness of current L&amp;D activities (Armstrong, 2022). </w:t>
      </w:r>
      <w:r w:rsidR="008F2B1B">
        <w:rPr>
          <w:rFonts w:asciiTheme="minorHAnsi" w:hAnsiTheme="minorHAnsi" w:cstheme="minorHAnsi"/>
        </w:rPr>
        <w:t xml:space="preserve">Furthermore, our L&amp;D strategy can be informed by research in the fields of L&amp;D, cognitive psychology and behavioural theory such as David Kolb and Patti Shank, that provides practical applications of how to design and implement effective L&amp;D programmes (Neelan and Kirschner, 2020). </w:t>
      </w:r>
      <w:r w:rsidR="0080383E">
        <w:rPr>
          <w:rFonts w:asciiTheme="minorHAnsi" w:hAnsiTheme="minorHAnsi" w:cstheme="minorHAnsi"/>
        </w:rPr>
        <w:t>Lastly, conducting a benchmarking process of our L&amp;D provision against other organisations in our industry would provide evaluative insights and feedback on various aspects such as accessibility, engagement and learner preferences to better inform our decision-making on future L&amp;D activities (</w:t>
      </w:r>
      <w:proofErr w:type="spellStart"/>
      <w:r w:rsidR="0080383E">
        <w:rPr>
          <w:rFonts w:asciiTheme="minorHAnsi" w:hAnsiTheme="minorHAnsi" w:cstheme="minorHAnsi"/>
        </w:rPr>
        <w:t>Woolnough</w:t>
      </w:r>
      <w:proofErr w:type="spellEnd"/>
      <w:r w:rsidR="0080383E">
        <w:rPr>
          <w:rFonts w:asciiTheme="minorHAnsi" w:hAnsiTheme="minorHAnsi" w:cstheme="minorHAnsi"/>
        </w:rPr>
        <w:t xml:space="preserve">, 2015). </w:t>
      </w:r>
    </w:p>
    <w:p w14:paraId="15901015" w14:textId="52C5AA27" w:rsidR="00D35795" w:rsidRDefault="00D35795">
      <w:pPr>
        <w:rPr>
          <w:rFonts w:asciiTheme="minorHAnsi" w:hAnsiTheme="minorHAnsi" w:cstheme="minorHAnsi"/>
        </w:rPr>
      </w:pPr>
    </w:p>
    <w:p w14:paraId="37F9C430" w14:textId="1B4FEC78" w:rsidR="00D35795" w:rsidRPr="00336492" w:rsidRDefault="00D35795" w:rsidP="00336492">
      <w:pPr>
        <w:ind w:left="426" w:hanging="426"/>
        <w:contextualSpacing/>
        <w:rPr>
          <w:rFonts w:ascii="Trebuchet MS" w:hAnsi="Trebuchet MS"/>
        </w:rPr>
      </w:pPr>
      <w:r>
        <w:rPr>
          <w:rFonts w:ascii="Trebuchet MS" w:hAnsi="Trebuchet MS"/>
        </w:rPr>
        <w:t xml:space="preserve">AC 1.2 </w:t>
      </w:r>
    </w:p>
    <w:p w14:paraId="2602AF55" w14:textId="500D12F0" w:rsidR="00D35795" w:rsidRDefault="00D35795">
      <w:pPr>
        <w:rPr>
          <w:rFonts w:asciiTheme="minorHAnsi" w:hAnsiTheme="minorHAnsi" w:cstheme="minorHAnsi"/>
        </w:rPr>
      </w:pPr>
    </w:p>
    <w:p w14:paraId="209C70D5" w14:textId="41824822" w:rsidR="00D35795" w:rsidRDefault="00DC3DCE" w:rsidP="001A4D8F">
      <w:pPr>
        <w:spacing w:line="360" w:lineRule="auto"/>
        <w:rPr>
          <w:rFonts w:asciiTheme="minorHAnsi" w:hAnsiTheme="minorHAnsi" w:cstheme="minorHAnsi"/>
        </w:rPr>
      </w:pPr>
      <w:r>
        <w:rPr>
          <w:rFonts w:asciiTheme="minorHAnsi" w:hAnsiTheme="minorHAnsi" w:cstheme="minorHAnsi"/>
        </w:rPr>
        <w:t>To assess potential challenges and opportunities, we could conduct a SWOT analysis of the organisation. Through the four lenses of Strengths, Weaknesses, Opportunities and Threats, we can pinpoint both the internal and external factors that could impact our ability, negatively or positively, to achieve our goals (CIPD, 2025</w:t>
      </w:r>
      <w:r w:rsidR="00F55DCA">
        <w:rPr>
          <w:rFonts w:asciiTheme="minorHAnsi" w:hAnsiTheme="minorHAnsi" w:cstheme="minorHAnsi"/>
        </w:rPr>
        <w:t>a</w:t>
      </w:r>
      <w:r>
        <w:rPr>
          <w:rFonts w:asciiTheme="minorHAnsi" w:hAnsiTheme="minorHAnsi" w:cstheme="minorHAnsi"/>
        </w:rPr>
        <w:t xml:space="preserve">). </w:t>
      </w:r>
      <w:r w:rsidR="00573A9F">
        <w:rPr>
          <w:rFonts w:asciiTheme="minorHAnsi" w:hAnsiTheme="minorHAnsi" w:cstheme="minorHAnsi"/>
        </w:rPr>
        <w:t xml:space="preserve">We can take the analysis even further and assess the relationship between our internal capabilities and how they are impacted by external factors (Whittington et al, 2020). </w:t>
      </w:r>
      <w:r w:rsidR="00283990">
        <w:rPr>
          <w:rFonts w:asciiTheme="minorHAnsi" w:hAnsiTheme="minorHAnsi" w:cstheme="minorHAnsi"/>
        </w:rPr>
        <w:t xml:space="preserve">As we continue to expand, a SWOT analysis would allow us to condense large amounts of data both across our organisation and externally in our sector and larger society into simple, more accessible insights (Fisher, </w:t>
      </w:r>
      <w:proofErr w:type="spellStart"/>
      <w:r w:rsidR="00283990">
        <w:rPr>
          <w:rFonts w:asciiTheme="minorHAnsi" w:hAnsiTheme="minorHAnsi" w:cstheme="minorHAnsi"/>
        </w:rPr>
        <w:t>Wisneski</w:t>
      </w:r>
      <w:proofErr w:type="spellEnd"/>
      <w:r w:rsidR="00283990">
        <w:rPr>
          <w:rFonts w:asciiTheme="minorHAnsi" w:hAnsiTheme="minorHAnsi" w:cstheme="minorHAnsi"/>
        </w:rPr>
        <w:t xml:space="preserve"> and Bakker, 2020). </w:t>
      </w:r>
      <w:r w:rsidR="00A00822">
        <w:rPr>
          <w:rFonts w:asciiTheme="minorHAnsi" w:hAnsiTheme="minorHAnsi" w:cstheme="minorHAnsi"/>
        </w:rPr>
        <w:t xml:space="preserve">By understanding what we are capable of as an organisation and how our environment impacts us, we can consider our decisions more carefully and take advantage of future business opportunities (Whittington et al, 2020). </w:t>
      </w:r>
    </w:p>
    <w:p w14:paraId="7E652E6C" w14:textId="0AB2DAA7" w:rsidR="00283990" w:rsidRDefault="00283990" w:rsidP="001A4D8F">
      <w:pPr>
        <w:spacing w:line="360" w:lineRule="auto"/>
        <w:rPr>
          <w:rFonts w:asciiTheme="minorHAnsi" w:hAnsiTheme="minorHAnsi" w:cstheme="minorHAnsi"/>
        </w:rPr>
      </w:pPr>
    </w:p>
    <w:p w14:paraId="0A7ADE10" w14:textId="566FE7DC" w:rsidR="00283990" w:rsidRDefault="00B85270" w:rsidP="001A4D8F">
      <w:pPr>
        <w:spacing w:line="360" w:lineRule="auto"/>
        <w:rPr>
          <w:rFonts w:asciiTheme="minorHAnsi" w:hAnsiTheme="minorHAnsi" w:cstheme="minorHAnsi"/>
        </w:rPr>
      </w:pPr>
      <w:r>
        <w:rPr>
          <w:rFonts w:asciiTheme="minorHAnsi" w:hAnsiTheme="minorHAnsi" w:cstheme="minorHAnsi"/>
        </w:rPr>
        <w:t xml:space="preserve">On the other hand, </w:t>
      </w:r>
      <w:r w:rsidR="00283990">
        <w:rPr>
          <w:rFonts w:asciiTheme="minorHAnsi" w:hAnsiTheme="minorHAnsi" w:cstheme="minorHAnsi"/>
        </w:rPr>
        <w:t xml:space="preserve">SWOT risks taking an over-simplified view of complex issues or challenges and, thus, not addressing the root cause and potentially resulting in </w:t>
      </w:r>
      <w:proofErr w:type="spellStart"/>
      <w:r w:rsidR="00283990">
        <w:rPr>
          <w:rFonts w:asciiTheme="minorHAnsi" w:hAnsiTheme="minorHAnsi" w:cstheme="minorHAnsi"/>
        </w:rPr>
        <w:t>Technivara</w:t>
      </w:r>
      <w:proofErr w:type="spellEnd"/>
      <w:r w:rsidR="00283990">
        <w:rPr>
          <w:rFonts w:asciiTheme="minorHAnsi" w:hAnsiTheme="minorHAnsi" w:cstheme="minorHAnsi"/>
        </w:rPr>
        <w:t xml:space="preserve"> not applying the correct course of action (Fisher, </w:t>
      </w:r>
      <w:proofErr w:type="spellStart"/>
      <w:r w:rsidR="00283990">
        <w:rPr>
          <w:rFonts w:asciiTheme="minorHAnsi" w:hAnsiTheme="minorHAnsi" w:cstheme="minorHAnsi"/>
        </w:rPr>
        <w:t>Wisneski</w:t>
      </w:r>
      <w:proofErr w:type="spellEnd"/>
      <w:r w:rsidR="00283990">
        <w:rPr>
          <w:rFonts w:asciiTheme="minorHAnsi" w:hAnsiTheme="minorHAnsi" w:cstheme="minorHAnsi"/>
        </w:rPr>
        <w:t xml:space="preserve"> and Bakker, 2020). Furthermore, the subjective nature of interpreting the data of a SWOT analysis could result in multiple, differing conclusions from those involved</w:t>
      </w:r>
      <w:r w:rsidR="00E61E73">
        <w:rPr>
          <w:rFonts w:asciiTheme="minorHAnsi" w:hAnsiTheme="minorHAnsi" w:cstheme="minorHAnsi"/>
        </w:rPr>
        <w:t xml:space="preserve"> and create</w:t>
      </w:r>
      <w:r w:rsidR="00283990">
        <w:rPr>
          <w:rFonts w:asciiTheme="minorHAnsi" w:hAnsiTheme="minorHAnsi" w:cstheme="minorHAnsi"/>
        </w:rPr>
        <w:t xml:space="preserve"> confusion for our strategic direction (Fisher, </w:t>
      </w:r>
      <w:proofErr w:type="spellStart"/>
      <w:r w:rsidR="00283990">
        <w:rPr>
          <w:rFonts w:asciiTheme="minorHAnsi" w:hAnsiTheme="minorHAnsi" w:cstheme="minorHAnsi"/>
        </w:rPr>
        <w:t>Wisneski</w:t>
      </w:r>
      <w:proofErr w:type="spellEnd"/>
      <w:r w:rsidR="00283990">
        <w:rPr>
          <w:rFonts w:asciiTheme="minorHAnsi" w:hAnsiTheme="minorHAnsi" w:cstheme="minorHAnsi"/>
        </w:rPr>
        <w:t xml:space="preserve"> and Bakker, 2020). </w:t>
      </w:r>
    </w:p>
    <w:p w14:paraId="1E1ED830" w14:textId="2058672E" w:rsidR="0080091D" w:rsidRDefault="0080091D" w:rsidP="001A4D8F">
      <w:pPr>
        <w:spacing w:line="360" w:lineRule="auto"/>
        <w:rPr>
          <w:rFonts w:asciiTheme="minorHAnsi" w:hAnsiTheme="minorHAnsi" w:cstheme="minorHAnsi"/>
        </w:rPr>
      </w:pPr>
    </w:p>
    <w:p w14:paraId="7A7B1CF5" w14:textId="5AED15D2" w:rsidR="0080091D" w:rsidRDefault="0080091D" w:rsidP="001A4D8F">
      <w:pPr>
        <w:spacing w:line="360" w:lineRule="auto"/>
        <w:rPr>
          <w:rFonts w:asciiTheme="minorHAnsi" w:hAnsiTheme="minorHAnsi" w:cstheme="minorHAnsi"/>
        </w:rPr>
      </w:pPr>
      <w:r>
        <w:rPr>
          <w:rFonts w:asciiTheme="minorHAnsi" w:hAnsiTheme="minorHAnsi" w:cstheme="minorHAnsi"/>
        </w:rPr>
        <w:t xml:space="preserve">An appropriate analysis method we could utilise to gather internal data from our employees is surveys. By producing a series of specific questions seeking insights from our employees on what our potential challenges or opportunities are, we have a fast, cheap way of collecting a large amount of </w:t>
      </w:r>
      <w:r w:rsidR="00571797">
        <w:rPr>
          <w:rFonts w:asciiTheme="minorHAnsi" w:hAnsiTheme="minorHAnsi" w:cstheme="minorHAnsi"/>
        </w:rPr>
        <w:t xml:space="preserve">quantitative </w:t>
      </w:r>
      <w:r>
        <w:rPr>
          <w:rFonts w:asciiTheme="minorHAnsi" w:hAnsiTheme="minorHAnsi" w:cstheme="minorHAnsi"/>
        </w:rPr>
        <w:t>data</w:t>
      </w:r>
      <w:r w:rsidR="00571797">
        <w:rPr>
          <w:rFonts w:asciiTheme="minorHAnsi" w:hAnsiTheme="minorHAnsi" w:cstheme="minorHAnsi"/>
        </w:rPr>
        <w:t xml:space="preserve"> from</w:t>
      </w:r>
      <w:r>
        <w:rPr>
          <w:rFonts w:asciiTheme="minorHAnsi" w:hAnsiTheme="minorHAnsi" w:cstheme="minorHAnsi"/>
        </w:rPr>
        <w:t xml:space="preserve"> across the organisation (Taylor and Woodhams, 2022). In particular, pulse surveys would be a quick and efficient way of regularly assessing</w:t>
      </w:r>
      <w:r w:rsidR="004628C4">
        <w:rPr>
          <w:rFonts w:asciiTheme="minorHAnsi" w:hAnsiTheme="minorHAnsi" w:cstheme="minorHAnsi"/>
        </w:rPr>
        <w:t xml:space="preserve"> on a large-scale</w:t>
      </w:r>
      <w:r>
        <w:rPr>
          <w:rFonts w:asciiTheme="minorHAnsi" w:hAnsiTheme="minorHAnsi" w:cstheme="minorHAnsi"/>
        </w:rPr>
        <w:t xml:space="preserve"> what our employees feel is </w:t>
      </w:r>
      <w:r w:rsidR="004628C4">
        <w:rPr>
          <w:rFonts w:asciiTheme="minorHAnsi" w:hAnsiTheme="minorHAnsi" w:cstheme="minorHAnsi"/>
        </w:rPr>
        <w:t>going successfully and what could be causing an issue</w:t>
      </w:r>
      <w:r>
        <w:rPr>
          <w:rFonts w:asciiTheme="minorHAnsi" w:hAnsiTheme="minorHAnsi" w:cstheme="minorHAnsi"/>
        </w:rPr>
        <w:t xml:space="preserve"> </w:t>
      </w:r>
      <w:r w:rsidR="004628C4">
        <w:rPr>
          <w:rFonts w:asciiTheme="minorHAnsi" w:hAnsiTheme="minorHAnsi" w:cstheme="minorHAnsi"/>
        </w:rPr>
        <w:t>(</w:t>
      </w:r>
      <w:proofErr w:type="spellStart"/>
      <w:r w:rsidR="004628C4">
        <w:rPr>
          <w:rFonts w:asciiTheme="minorHAnsi" w:hAnsiTheme="minorHAnsi" w:cstheme="minorHAnsi"/>
        </w:rPr>
        <w:t>Browes</w:t>
      </w:r>
      <w:proofErr w:type="spellEnd"/>
      <w:r w:rsidR="004628C4">
        <w:rPr>
          <w:rFonts w:asciiTheme="minorHAnsi" w:hAnsiTheme="minorHAnsi" w:cstheme="minorHAnsi"/>
        </w:rPr>
        <w:t xml:space="preserve">, 2021). </w:t>
      </w:r>
      <w:r w:rsidR="00571797">
        <w:rPr>
          <w:rFonts w:asciiTheme="minorHAnsi" w:hAnsiTheme="minorHAnsi" w:cstheme="minorHAnsi"/>
        </w:rPr>
        <w:t>When combined with a qualitative method such as interviews or focus groups, we could have a well-rounded, balanced view of what our employees believe to be our organisation’s strengths and weaknesses (</w:t>
      </w:r>
      <w:proofErr w:type="spellStart"/>
      <w:r w:rsidR="00571797">
        <w:rPr>
          <w:rFonts w:asciiTheme="minorHAnsi" w:hAnsiTheme="minorHAnsi" w:cstheme="minorHAnsi"/>
        </w:rPr>
        <w:t>Cholteeva</w:t>
      </w:r>
      <w:proofErr w:type="spellEnd"/>
      <w:r w:rsidR="00571797">
        <w:rPr>
          <w:rFonts w:asciiTheme="minorHAnsi" w:hAnsiTheme="minorHAnsi" w:cstheme="minorHAnsi"/>
        </w:rPr>
        <w:t xml:space="preserve">, 2022). </w:t>
      </w:r>
    </w:p>
    <w:p w14:paraId="7B546D64" w14:textId="70F58352" w:rsidR="00092C9F" w:rsidRDefault="00092C9F" w:rsidP="001A4D8F">
      <w:pPr>
        <w:spacing w:line="360" w:lineRule="auto"/>
        <w:rPr>
          <w:rFonts w:asciiTheme="minorHAnsi" w:hAnsiTheme="minorHAnsi" w:cstheme="minorHAnsi"/>
        </w:rPr>
      </w:pPr>
    </w:p>
    <w:p w14:paraId="15BBD382" w14:textId="508CFB36" w:rsidR="00092C9F" w:rsidRDefault="00092C9F" w:rsidP="001A4D8F">
      <w:pPr>
        <w:spacing w:line="360" w:lineRule="auto"/>
        <w:rPr>
          <w:rFonts w:asciiTheme="minorHAnsi" w:hAnsiTheme="minorHAnsi" w:cstheme="minorHAnsi"/>
        </w:rPr>
      </w:pPr>
      <w:r>
        <w:rPr>
          <w:rFonts w:asciiTheme="minorHAnsi" w:hAnsiTheme="minorHAnsi" w:cstheme="minorHAnsi"/>
        </w:rPr>
        <w:t xml:space="preserve">Similar to a SWOT analysis, a survey may not be able to penetrate more particular, complex topics and only provide surface-level information, especially depending on </w:t>
      </w:r>
      <w:r w:rsidR="00981CB3">
        <w:rPr>
          <w:rFonts w:asciiTheme="minorHAnsi" w:hAnsiTheme="minorHAnsi" w:cstheme="minorHAnsi"/>
        </w:rPr>
        <w:t xml:space="preserve">the number of questions and </w:t>
      </w:r>
      <w:r>
        <w:rPr>
          <w:rFonts w:asciiTheme="minorHAnsi" w:hAnsiTheme="minorHAnsi" w:cstheme="minorHAnsi"/>
        </w:rPr>
        <w:t xml:space="preserve">whether open or closed questions are used (Taylor and Woodhams, 2022). </w:t>
      </w:r>
      <w:r w:rsidR="00981CB3">
        <w:rPr>
          <w:rFonts w:asciiTheme="minorHAnsi" w:hAnsiTheme="minorHAnsi" w:cstheme="minorHAnsi"/>
        </w:rPr>
        <w:t xml:space="preserve">Additionally, if our employee engagement levels are low, we run the risk of receiving low response rates in any surveys we disseminate (Taylor and Woodhams, 2022). </w:t>
      </w:r>
    </w:p>
    <w:p w14:paraId="2229BF6E" w14:textId="77777777" w:rsidR="009D52D4" w:rsidRDefault="009D52D4">
      <w:pPr>
        <w:rPr>
          <w:rFonts w:asciiTheme="minorHAnsi" w:hAnsiTheme="minorHAnsi" w:cstheme="minorHAnsi"/>
        </w:rPr>
      </w:pPr>
    </w:p>
    <w:p w14:paraId="1C81330A" w14:textId="2FD85B36" w:rsidR="009D52D4" w:rsidRDefault="009D52D4">
      <w:pPr>
        <w:rPr>
          <w:rFonts w:ascii="Trebuchet MS" w:hAnsi="Trebuchet MS"/>
        </w:rPr>
      </w:pPr>
      <w:r>
        <w:rPr>
          <w:rFonts w:ascii="Trebuchet MS" w:hAnsi="Trebuchet MS"/>
        </w:rPr>
        <w:lastRenderedPageBreak/>
        <w:t>AC 1.3</w:t>
      </w:r>
    </w:p>
    <w:p w14:paraId="7593A941" w14:textId="3CD11721" w:rsidR="008061D9" w:rsidRDefault="008061D9">
      <w:pPr>
        <w:rPr>
          <w:rFonts w:ascii="Trebuchet MS" w:hAnsi="Trebuchet MS"/>
        </w:rPr>
      </w:pPr>
    </w:p>
    <w:p w14:paraId="3C7111D9" w14:textId="6B4F2242" w:rsidR="008061D9" w:rsidRDefault="008061D9" w:rsidP="001A4D8F">
      <w:pPr>
        <w:spacing w:line="360" w:lineRule="auto"/>
        <w:rPr>
          <w:rFonts w:asciiTheme="minorHAnsi" w:hAnsiTheme="minorHAnsi" w:cstheme="minorHAnsi"/>
        </w:rPr>
      </w:pPr>
      <w:r>
        <w:rPr>
          <w:rFonts w:asciiTheme="minorHAnsi" w:hAnsiTheme="minorHAnsi" w:cstheme="minorHAnsi"/>
        </w:rPr>
        <w:t xml:space="preserve">To find an effective solution to a problem, critical thinking can be implemented to question and evaluate ideas and opinions, weighing up their validity and developing a more objective, well-rounded view (CIPD, 2019). </w:t>
      </w:r>
      <w:r w:rsidR="00460093">
        <w:rPr>
          <w:rFonts w:asciiTheme="minorHAnsi" w:hAnsiTheme="minorHAnsi" w:cstheme="minorHAnsi"/>
        </w:rPr>
        <w:t>Cottrell (20</w:t>
      </w:r>
      <w:r w:rsidR="00BE49BA">
        <w:rPr>
          <w:rFonts w:asciiTheme="minorHAnsi" w:hAnsiTheme="minorHAnsi" w:cstheme="minorHAnsi"/>
        </w:rPr>
        <w:t>23</w:t>
      </w:r>
      <w:r w:rsidR="00460093">
        <w:rPr>
          <w:rFonts w:asciiTheme="minorHAnsi" w:hAnsiTheme="minorHAnsi" w:cstheme="minorHAnsi"/>
        </w:rPr>
        <w:t>) propose</w:t>
      </w:r>
      <w:r w:rsidR="00F96AB7">
        <w:rPr>
          <w:rFonts w:asciiTheme="minorHAnsi" w:hAnsiTheme="minorHAnsi" w:cstheme="minorHAnsi"/>
        </w:rPr>
        <w:t>d</w:t>
      </w:r>
      <w:r w:rsidR="00460093">
        <w:rPr>
          <w:rFonts w:asciiTheme="minorHAnsi" w:hAnsiTheme="minorHAnsi" w:cstheme="minorHAnsi"/>
        </w:rPr>
        <w:t xml:space="preserve"> </w:t>
      </w:r>
      <w:r w:rsidR="00BE49BA">
        <w:rPr>
          <w:rFonts w:asciiTheme="minorHAnsi" w:hAnsiTheme="minorHAnsi" w:cstheme="minorHAnsi"/>
        </w:rPr>
        <w:t>several</w:t>
      </w:r>
      <w:r w:rsidR="00460093">
        <w:rPr>
          <w:rFonts w:asciiTheme="minorHAnsi" w:hAnsiTheme="minorHAnsi" w:cstheme="minorHAnsi"/>
        </w:rPr>
        <w:t xml:space="preserve"> principles of </w:t>
      </w:r>
      <w:r w:rsidR="00BE49BA">
        <w:rPr>
          <w:rFonts w:asciiTheme="minorHAnsi" w:hAnsiTheme="minorHAnsi" w:cstheme="minorHAnsi"/>
        </w:rPr>
        <w:t>critical thinking such as identifying the argument</w:t>
      </w:r>
      <w:r w:rsidR="00460093" w:rsidRPr="00460093">
        <w:rPr>
          <w:rFonts w:asciiTheme="minorHAnsi" w:hAnsiTheme="minorHAnsi" w:cstheme="minorHAnsi"/>
        </w:rPr>
        <w:t xml:space="preserve">, </w:t>
      </w:r>
      <w:r w:rsidR="00BE49BA">
        <w:rPr>
          <w:rFonts w:asciiTheme="minorHAnsi" w:hAnsiTheme="minorHAnsi" w:cstheme="minorHAnsi"/>
        </w:rPr>
        <w:t>analysing</w:t>
      </w:r>
      <w:r w:rsidR="00460093" w:rsidRPr="00460093">
        <w:rPr>
          <w:rFonts w:asciiTheme="minorHAnsi" w:hAnsiTheme="minorHAnsi" w:cstheme="minorHAnsi"/>
        </w:rPr>
        <w:t xml:space="preserve">, </w:t>
      </w:r>
      <w:r w:rsidR="00BE49BA">
        <w:rPr>
          <w:rFonts w:asciiTheme="minorHAnsi" w:hAnsiTheme="minorHAnsi" w:cstheme="minorHAnsi"/>
        </w:rPr>
        <w:t>evaluating the evidence</w:t>
      </w:r>
      <w:r w:rsidR="00460093" w:rsidRPr="00460093">
        <w:rPr>
          <w:rFonts w:asciiTheme="minorHAnsi" w:hAnsiTheme="minorHAnsi" w:cstheme="minorHAnsi"/>
        </w:rPr>
        <w:t xml:space="preserve">, </w:t>
      </w:r>
      <w:r w:rsidR="00BE49BA">
        <w:rPr>
          <w:rFonts w:asciiTheme="minorHAnsi" w:hAnsiTheme="minorHAnsi" w:cstheme="minorHAnsi"/>
        </w:rPr>
        <w:t>recognising assumptions or biases</w:t>
      </w:r>
      <w:r w:rsidR="00460093" w:rsidRPr="00460093">
        <w:rPr>
          <w:rFonts w:asciiTheme="minorHAnsi" w:hAnsiTheme="minorHAnsi" w:cstheme="minorHAnsi"/>
        </w:rPr>
        <w:t xml:space="preserve">, </w:t>
      </w:r>
      <w:r w:rsidR="00BE49BA">
        <w:rPr>
          <w:rFonts w:asciiTheme="minorHAnsi" w:hAnsiTheme="minorHAnsi" w:cstheme="minorHAnsi"/>
        </w:rPr>
        <w:t>using logical reasoning and bringing information from different sources together to make a justified conclusion</w:t>
      </w:r>
      <w:r w:rsidR="005D38D1">
        <w:rPr>
          <w:rFonts w:asciiTheme="minorHAnsi" w:hAnsiTheme="minorHAnsi" w:cstheme="minorHAnsi"/>
        </w:rPr>
        <w:t xml:space="preserve">. </w:t>
      </w:r>
      <w:r w:rsidR="00FE46FE">
        <w:rPr>
          <w:rFonts w:asciiTheme="minorHAnsi" w:hAnsiTheme="minorHAnsi" w:cstheme="minorHAnsi"/>
        </w:rPr>
        <w:t xml:space="preserve">Approaching ideas with a reasoned, reflective mindset, we can prevent hasty conclusions based on presuppositions and face-value information, lowering the risk in our decision making (Fisher, 2021). </w:t>
      </w:r>
    </w:p>
    <w:p w14:paraId="489F0368" w14:textId="17527B02" w:rsidR="004553F7" w:rsidRDefault="004553F7" w:rsidP="001A4D8F">
      <w:pPr>
        <w:spacing w:line="360" w:lineRule="auto"/>
        <w:rPr>
          <w:rFonts w:asciiTheme="minorHAnsi" w:hAnsiTheme="minorHAnsi" w:cstheme="minorHAnsi"/>
        </w:rPr>
      </w:pPr>
    </w:p>
    <w:p w14:paraId="43BCEF29" w14:textId="10EF5FAD" w:rsidR="004D63EB" w:rsidRDefault="004553F7" w:rsidP="001A4D8F">
      <w:pPr>
        <w:spacing w:line="360" w:lineRule="auto"/>
        <w:rPr>
          <w:rFonts w:asciiTheme="minorHAnsi" w:hAnsiTheme="minorHAnsi" w:cstheme="minorHAnsi"/>
        </w:rPr>
      </w:pPr>
      <w:r>
        <w:rPr>
          <w:rFonts w:asciiTheme="minorHAnsi" w:hAnsiTheme="minorHAnsi" w:cstheme="minorHAnsi"/>
        </w:rPr>
        <w:t>We can start to apply critical thinking firstly by challenging the assumptions and generalisations</w:t>
      </w:r>
      <w:r w:rsidR="002117EB">
        <w:rPr>
          <w:rFonts w:asciiTheme="minorHAnsi" w:hAnsiTheme="minorHAnsi" w:cstheme="minorHAnsi"/>
        </w:rPr>
        <w:t xml:space="preserve">, including our own, </w:t>
      </w:r>
      <w:r>
        <w:rPr>
          <w:rFonts w:asciiTheme="minorHAnsi" w:hAnsiTheme="minorHAnsi" w:cstheme="minorHAnsi"/>
        </w:rPr>
        <w:t xml:space="preserve">already existing in </w:t>
      </w:r>
      <w:proofErr w:type="spellStart"/>
      <w:r>
        <w:rPr>
          <w:rFonts w:asciiTheme="minorHAnsi" w:hAnsiTheme="minorHAnsi" w:cstheme="minorHAnsi"/>
        </w:rPr>
        <w:t>Technivara</w:t>
      </w:r>
      <w:proofErr w:type="spellEnd"/>
      <w:r>
        <w:rPr>
          <w:rFonts w:asciiTheme="minorHAnsi" w:hAnsiTheme="minorHAnsi" w:cstheme="minorHAnsi"/>
        </w:rPr>
        <w:t xml:space="preserve"> such as Bill’s ‘traditional style’ of management and avoidance of change to working practices, in particular, </w:t>
      </w:r>
      <w:r w:rsidR="006E20AB">
        <w:rPr>
          <w:rFonts w:asciiTheme="minorHAnsi" w:hAnsiTheme="minorHAnsi" w:cstheme="minorHAnsi"/>
        </w:rPr>
        <w:t>the change from a paper-</w:t>
      </w:r>
      <w:r w:rsidR="00632844">
        <w:rPr>
          <w:rFonts w:asciiTheme="minorHAnsi" w:hAnsiTheme="minorHAnsi" w:cstheme="minorHAnsi"/>
        </w:rPr>
        <w:t>based</w:t>
      </w:r>
      <w:r w:rsidR="006E20AB">
        <w:rPr>
          <w:rFonts w:asciiTheme="minorHAnsi" w:hAnsiTheme="minorHAnsi" w:cstheme="minorHAnsi"/>
        </w:rPr>
        <w:t xml:space="preserve"> organisation to digitisation</w:t>
      </w:r>
      <w:r>
        <w:rPr>
          <w:rFonts w:asciiTheme="minorHAnsi" w:hAnsiTheme="minorHAnsi" w:cstheme="minorHAnsi"/>
        </w:rPr>
        <w:t xml:space="preserve"> (Armstrong and Taylor, 20</w:t>
      </w:r>
      <w:r w:rsidR="009C3DA8">
        <w:rPr>
          <w:rFonts w:asciiTheme="minorHAnsi" w:hAnsiTheme="minorHAnsi" w:cstheme="minorHAnsi"/>
        </w:rPr>
        <w:t>1</w:t>
      </w:r>
      <w:r>
        <w:rPr>
          <w:rFonts w:asciiTheme="minorHAnsi" w:hAnsiTheme="minorHAnsi" w:cstheme="minorHAnsi"/>
        </w:rPr>
        <w:t xml:space="preserve">4). </w:t>
      </w:r>
      <w:r w:rsidR="009C3DA8">
        <w:rPr>
          <w:rFonts w:asciiTheme="minorHAnsi" w:hAnsiTheme="minorHAnsi" w:cstheme="minorHAnsi"/>
        </w:rPr>
        <w:t xml:space="preserve">To begin, we can consider the current paper-based system and recognise any problems, risks and inefficiencies with our data capture and retrieval in order to establish what we can put in place to address these issues (Armstrong and Taylor, 2014). </w:t>
      </w:r>
      <w:r w:rsidR="004D63EB">
        <w:rPr>
          <w:rFonts w:asciiTheme="minorHAnsi" w:hAnsiTheme="minorHAnsi" w:cstheme="minorHAnsi"/>
        </w:rPr>
        <w:t xml:space="preserve">We can seek alternative points of view from employees and their line managers to </w:t>
      </w:r>
      <w:r w:rsidR="008A642C">
        <w:rPr>
          <w:rFonts w:asciiTheme="minorHAnsi" w:hAnsiTheme="minorHAnsi" w:cstheme="minorHAnsi"/>
        </w:rPr>
        <w:t xml:space="preserve">contribute their professional expertise toward any debate on new ideas (Gifford, Young and </w:t>
      </w:r>
      <w:proofErr w:type="spellStart"/>
      <w:r w:rsidR="008A642C">
        <w:rPr>
          <w:rFonts w:asciiTheme="minorHAnsi" w:hAnsiTheme="minorHAnsi" w:cstheme="minorHAnsi"/>
        </w:rPr>
        <w:t>Barends</w:t>
      </w:r>
      <w:proofErr w:type="spellEnd"/>
      <w:r w:rsidR="008A642C">
        <w:rPr>
          <w:rFonts w:asciiTheme="minorHAnsi" w:hAnsiTheme="minorHAnsi" w:cstheme="minorHAnsi"/>
        </w:rPr>
        <w:t xml:space="preserve">, 2023). </w:t>
      </w:r>
    </w:p>
    <w:p w14:paraId="3CCDAAA7" w14:textId="77777777" w:rsidR="004D63EB" w:rsidRDefault="004D63EB" w:rsidP="001A4D8F">
      <w:pPr>
        <w:spacing w:line="360" w:lineRule="auto"/>
        <w:rPr>
          <w:rFonts w:asciiTheme="minorHAnsi" w:hAnsiTheme="minorHAnsi" w:cstheme="minorHAnsi"/>
        </w:rPr>
      </w:pPr>
    </w:p>
    <w:p w14:paraId="26665F11" w14:textId="422FBF60" w:rsidR="00355A9C" w:rsidRDefault="00542529" w:rsidP="001A4D8F">
      <w:pPr>
        <w:spacing w:line="360" w:lineRule="auto"/>
        <w:rPr>
          <w:rFonts w:asciiTheme="minorHAnsi" w:hAnsiTheme="minorHAnsi" w:cstheme="minorHAnsi"/>
        </w:rPr>
      </w:pPr>
      <w:r>
        <w:rPr>
          <w:rFonts w:asciiTheme="minorHAnsi" w:hAnsiTheme="minorHAnsi" w:cstheme="minorHAnsi"/>
        </w:rPr>
        <w:t xml:space="preserve">By gathering relevant information and research through academia, internal data and external benchmarks, we can analyse and critically evaluate the </w:t>
      </w:r>
      <w:r w:rsidR="00111F24">
        <w:rPr>
          <w:rFonts w:asciiTheme="minorHAnsi" w:hAnsiTheme="minorHAnsi" w:cstheme="minorHAnsi"/>
        </w:rPr>
        <w:t>case for</w:t>
      </w:r>
      <w:r>
        <w:rPr>
          <w:rFonts w:asciiTheme="minorHAnsi" w:hAnsiTheme="minorHAnsi" w:cstheme="minorHAnsi"/>
        </w:rPr>
        <w:t xml:space="preserve"> digitisation and present an objective, </w:t>
      </w:r>
      <w:r w:rsidR="00B73B77">
        <w:rPr>
          <w:rFonts w:asciiTheme="minorHAnsi" w:hAnsiTheme="minorHAnsi" w:cstheme="minorHAnsi"/>
        </w:rPr>
        <w:t>well-reasoned</w:t>
      </w:r>
      <w:r>
        <w:rPr>
          <w:rFonts w:asciiTheme="minorHAnsi" w:hAnsiTheme="minorHAnsi" w:cstheme="minorHAnsi"/>
        </w:rPr>
        <w:t xml:space="preserve"> argument to Bill and the </w:t>
      </w:r>
      <w:r w:rsidR="00A020B8">
        <w:rPr>
          <w:rFonts w:asciiTheme="minorHAnsi" w:hAnsiTheme="minorHAnsi" w:cstheme="minorHAnsi"/>
        </w:rPr>
        <w:t>b</w:t>
      </w:r>
      <w:r>
        <w:rPr>
          <w:rFonts w:asciiTheme="minorHAnsi" w:hAnsiTheme="minorHAnsi" w:cstheme="minorHAnsi"/>
        </w:rPr>
        <w:t xml:space="preserve">oard </w:t>
      </w:r>
      <w:r w:rsidR="00FE46FE">
        <w:rPr>
          <w:rFonts w:asciiTheme="minorHAnsi" w:hAnsiTheme="minorHAnsi" w:cstheme="minorHAnsi"/>
        </w:rPr>
        <w:t>that is not criticism of current approaches,</w:t>
      </w:r>
      <w:r>
        <w:rPr>
          <w:rFonts w:asciiTheme="minorHAnsi" w:hAnsiTheme="minorHAnsi" w:cstheme="minorHAnsi"/>
        </w:rPr>
        <w:t xml:space="preserve"> but, rather, an opportunity for modernisation that will ultimately benefit </w:t>
      </w:r>
      <w:proofErr w:type="spellStart"/>
      <w:r>
        <w:rPr>
          <w:rFonts w:asciiTheme="minorHAnsi" w:hAnsiTheme="minorHAnsi" w:cstheme="minorHAnsi"/>
        </w:rPr>
        <w:t>Technivara</w:t>
      </w:r>
      <w:proofErr w:type="spellEnd"/>
      <w:r>
        <w:rPr>
          <w:rFonts w:asciiTheme="minorHAnsi" w:hAnsiTheme="minorHAnsi" w:cstheme="minorHAnsi"/>
        </w:rPr>
        <w:t xml:space="preserve"> and its customers (Armstrong, 2016). </w:t>
      </w:r>
      <w:r w:rsidR="00355A9C">
        <w:rPr>
          <w:rFonts w:asciiTheme="minorHAnsi" w:hAnsiTheme="minorHAnsi" w:cstheme="minorHAnsi"/>
        </w:rPr>
        <w:t xml:space="preserve">In a ‘post-truth’ world of fake news and artificial intelligence, applying critical thinking to our selection of information and research sources is vital in ascertaining the validity of our sources, particularly social media content (Cottrell, 2023).  </w:t>
      </w:r>
    </w:p>
    <w:p w14:paraId="53055EDE" w14:textId="77777777" w:rsidR="00355A9C" w:rsidRDefault="00355A9C" w:rsidP="001A4D8F">
      <w:pPr>
        <w:spacing w:line="360" w:lineRule="auto"/>
        <w:rPr>
          <w:rFonts w:asciiTheme="minorHAnsi" w:hAnsiTheme="minorHAnsi" w:cstheme="minorHAnsi"/>
        </w:rPr>
      </w:pPr>
    </w:p>
    <w:p w14:paraId="1236B9F6" w14:textId="523A8FA2" w:rsidR="00320FF6" w:rsidRDefault="00CC3F92" w:rsidP="001A4D8F">
      <w:pPr>
        <w:spacing w:line="360" w:lineRule="auto"/>
        <w:rPr>
          <w:rFonts w:asciiTheme="minorHAnsi" w:hAnsiTheme="minorHAnsi" w:cstheme="minorHAnsi"/>
        </w:rPr>
      </w:pPr>
      <w:r>
        <w:rPr>
          <w:rFonts w:asciiTheme="minorHAnsi" w:hAnsiTheme="minorHAnsi" w:cstheme="minorHAnsi"/>
        </w:rPr>
        <w:t xml:space="preserve">Any new solutions or alternatives we propose, we can test through a piloting scheme or trial phase within the organisation and utilise a set of criteria to critically evaluate the success or usefulness of the new approach before making an informed judgment (CIPD 2019; </w:t>
      </w:r>
      <w:r w:rsidR="001F158C">
        <w:rPr>
          <w:rFonts w:asciiTheme="minorHAnsi" w:hAnsiTheme="minorHAnsi" w:cstheme="minorHAnsi"/>
        </w:rPr>
        <w:t xml:space="preserve">Gifford, Young and </w:t>
      </w:r>
      <w:proofErr w:type="spellStart"/>
      <w:r w:rsidR="001F158C">
        <w:rPr>
          <w:rFonts w:asciiTheme="minorHAnsi" w:hAnsiTheme="minorHAnsi" w:cstheme="minorHAnsi"/>
        </w:rPr>
        <w:t>Barends</w:t>
      </w:r>
      <w:proofErr w:type="spellEnd"/>
      <w:r w:rsidR="001F158C">
        <w:rPr>
          <w:rFonts w:asciiTheme="minorHAnsi" w:hAnsiTheme="minorHAnsi" w:cstheme="minorHAnsi"/>
        </w:rPr>
        <w:t>,</w:t>
      </w:r>
      <w:r>
        <w:rPr>
          <w:rFonts w:asciiTheme="minorHAnsi" w:hAnsiTheme="minorHAnsi" w:cstheme="minorHAnsi"/>
        </w:rPr>
        <w:t xml:space="preserve"> 2023). </w:t>
      </w:r>
      <w:r w:rsidR="00BF56C7">
        <w:rPr>
          <w:rFonts w:asciiTheme="minorHAnsi" w:hAnsiTheme="minorHAnsi" w:cstheme="minorHAnsi"/>
        </w:rPr>
        <w:t xml:space="preserve">Furthermore, we can critically reflect on the information and data we have gathered consider where we could improve our ideas or contributions and utilise these insights to continuously inform future objective and rational debate at </w:t>
      </w:r>
      <w:proofErr w:type="spellStart"/>
      <w:r w:rsidR="00BF56C7">
        <w:rPr>
          <w:rFonts w:asciiTheme="minorHAnsi" w:hAnsiTheme="minorHAnsi" w:cstheme="minorHAnsi"/>
        </w:rPr>
        <w:t>Technivara</w:t>
      </w:r>
      <w:proofErr w:type="spellEnd"/>
      <w:r w:rsidR="00BF56C7">
        <w:rPr>
          <w:rFonts w:asciiTheme="minorHAnsi" w:hAnsiTheme="minorHAnsi" w:cstheme="minorHAnsi"/>
        </w:rPr>
        <w:t xml:space="preserve"> (Cottrell, 2023). </w:t>
      </w:r>
    </w:p>
    <w:p w14:paraId="2BA526CD" w14:textId="79CE3DFE" w:rsidR="001F2C1C" w:rsidRDefault="001F2C1C">
      <w:pPr>
        <w:rPr>
          <w:rFonts w:asciiTheme="minorHAnsi" w:hAnsiTheme="minorHAnsi" w:cstheme="minorHAnsi"/>
        </w:rPr>
      </w:pPr>
    </w:p>
    <w:p w14:paraId="5FE1E129" w14:textId="77777777" w:rsidR="000A2C76" w:rsidRDefault="000A2C76" w:rsidP="001F2C1C">
      <w:pPr>
        <w:pStyle w:val="BodyText"/>
        <w:ind w:left="426" w:right="283" w:hanging="426"/>
        <w:jc w:val="both"/>
        <w:rPr>
          <w:rFonts w:ascii="Trebuchet MS" w:hAnsi="Trebuchet MS"/>
        </w:rPr>
      </w:pPr>
    </w:p>
    <w:p w14:paraId="77AFC9C2" w14:textId="5B2CC72D" w:rsidR="001F2C1C" w:rsidRDefault="001F2C1C" w:rsidP="001F2C1C">
      <w:pPr>
        <w:pStyle w:val="BodyText"/>
        <w:ind w:left="426" w:right="283" w:hanging="426"/>
        <w:jc w:val="both"/>
        <w:rPr>
          <w:rFonts w:ascii="Trebuchet MS" w:hAnsi="Trebuchet MS"/>
        </w:rPr>
      </w:pPr>
      <w:r w:rsidRPr="00C0226B">
        <w:rPr>
          <w:rFonts w:ascii="Trebuchet MS" w:hAnsi="Trebuchet MS"/>
        </w:rPr>
        <w:lastRenderedPageBreak/>
        <w:t>AC 1.4</w:t>
      </w:r>
    </w:p>
    <w:p w14:paraId="05FB6D61" w14:textId="199FD86A" w:rsidR="00A821DB" w:rsidRDefault="00A821DB" w:rsidP="001F2C1C">
      <w:pPr>
        <w:pStyle w:val="BodyText"/>
        <w:ind w:left="426" w:right="283" w:hanging="426"/>
        <w:jc w:val="both"/>
        <w:rPr>
          <w:rFonts w:ascii="Trebuchet MS" w:hAnsi="Trebuchet MS"/>
        </w:rPr>
      </w:pPr>
    </w:p>
    <w:p w14:paraId="243E1A80" w14:textId="3E160955" w:rsidR="00A821DB" w:rsidRDefault="00A821DB" w:rsidP="001A4D8F">
      <w:pPr>
        <w:spacing w:line="360" w:lineRule="auto"/>
        <w:rPr>
          <w:rFonts w:asciiTheme="minorHAnsi" w:hAnsiTheme="minorHAnsi" w:cstheme="minorHAnsi"/>
        </w:rPr>
      </w:pPr>
      <w:r w:rsidRPr="007B62BE">
        <w:rPr>
          <w:rFonts w:asciiTheme="minorHAnsi" w:hAnsiTheme="minorHAnsi" w:cstheme="minorHAnsi"/>
        </w:rPr>
        <w:t xml:space="preserve">Decision making is the translation of our objectives into action and must align </w:t>
      </w:r>
      <w:r w:rsidR="007B62BE" w:rsidRPr="007B62BE">
        <w:rPr>
          <w:rFonts w:asciiTheme="minorHAnsi" w:hAnsiTheme="minorHAnsi" w:cstheme="minorHAnsi"/>
        </w:rPr>
        <w:t>with</w:t>
      </w:r>
      <w:r w:rsidRPr="007B62BE">
        <w:rPr>
          <w:rFonts w:asciiTheme="minorHAnsi" w:hAnsiTheme="minorHAnsi" w:cstheme="minorHAnsi"/>
        </w:rPr>
        <w:t xml:space="preserve"> our organisational goals to ensure any level of effectiveness </w:t>
      </w:r>
      <w:r w:rsidR="007B62BE" w:rsidRPr="007B62BE">
        <w:rPr>
          <w:rFonts w:asciiTheme="minorHAnsi" w:hAnsiTheme="minorHAnsi" w:cstheme="minorHAnsi"/>
        </w:rPr>
        <w:t xml:space="preserve">(Ghonim et al, 2020). </w:t>
      </w:r>
      <w:r w:rsidR="007B62BE">
        <w:rPr>
          <w:rFonts w:asciiTheme="minorHAnsi" w:hAnsiTheme="minorHAnsi" w:cstheme="minorHAnsi"/>
        </w:rPr>
        <w:t xml:space="preserve">It is important for us as an organisation to make evidence-based decisions that are reliable and credible to prevent wasted time, money and resources that </w:t>
      </w:r>
      <w:r w:rsidR="000D32F5">
        <w:rPr>
          <w:rFonts w:asciiTheme="minorHAnsi" w:hAnsiTheme="minorHAnsi" w:cstheme="minorHAnsi"/>
        </w:rPr>
        <w:t>could</w:t>
      </w:r>
      <w:r w:rsidR="007B62BE">
        <w:rPr>
          <w:rFonts w:asciiTheme="minorHAnsi" w:hAnsiTheme="minorHAnsi" w:cstheme="minorHAnsi"/>
        </w:rPr>
        <w:t xml:space="preserve"> </w:t>
      </w:r>
      <w:r w:rsidR="00514F09">
        <w:rPr>
          <w:rFonts w:asciiTheme="minorHAnsi" w:hAnsiTheme="minorHAnsi" w:cstheme="minorHAnsi"/>
        </w:rPr>
        <w:t>have limited or negative effects on</w:t>
      </w:r>
      <w:r w:rsidR="007B62BE">
        <w:rPr>
          <w:rFonts w:asciiTheme="minorHAnsi" w:hAnsiTheme="minorHAnsi" w:cstheme="minorHAnsi"/>
        </w:rPr>
        <w:t xml:space="preserve"> our outcomes (CIPD, 2025</w:t>
      </w:r>
      <w:r w:rsidR="00F55DCA">
        <w:rPr>
          <w:rFonts w:asciiTheme="minorHAnsi" w:hAnsiTheme="minorHAnsi" w:cstheme="minorHAnsi"/>
        </w:rPr>
        <w:t>a</w:t>
      </w:r>
      <w:r w:rsidR="007B62BE">
        <w:rPr>
          <w:rFonts w:asciiTheme="minorHAnsi" w:hAnsiTheme="minorHAnsi" w:cstheme="minorHAnsi"/>
        </w:rPr>
        <w:t xml:space="preserve">). </w:t>
      </w:r>
      <w:r w:rsidR="00514F09">
        <w:rPr>
          <w:rFonts w:asciiTheme="minorHAnsi" w:hAnsiTheme="minorHAnsi" w:cstheme="minorHAnsi"/>
        </w:rPr>
        <w:t>One decision-making process we could use is De Bono’s Six Thinking Hat</w:t>
      </w:r>
      <w:r w:rsidR="000D32F5">
        <w:rPr>
          <w:rFonts w:asciiTheme="minorHAnsi" w:hAnsiTheme="minorHAnsi" w:cstheme="minorHAnsi"/>
        </w:rPr>
        <w:t>s</w:t>
      </w:r>
      <w:r w:rsidR="0016309C">
        <w:rPr>
          <w:rFonts w:asciiTheme="minorHAnsi" w:hAnsiTheme="minorHAnsi" w:cstheme="minorHAnsi"/>
        </w:rPr>
        <w:t xml:space="preserve"> which is provides a six-pronged framework to solving a problem (Payette and Barnes, 2017).</w:t>
      </w:r>
    </w:p>
    <w:p w14:paraId="146A07C6" w14:textId="42B8F6C5" w:rsidR="0016309C" w:rsidRDefault="0016309C" w:rsidP="001A4D8F">
      <w:pPr>
        <w:spacing w:line="360" w:lineRule="auto"/>
        <w:rPr>
          <w:rFonts w:asciiTheme="minorHAnsi" w:hAnsiTheme="minorHAnsi" w:cstheme="minorHAnsi"/>
        </w:rPr>
      </w:pPr>
    </w:p>
    <w:p w14:paraId="58E4546C" w14:textId="260440AE" w:rsidR="00844800" w:rsidRDefault="0016309C" w:rsidP="001A4D8F">
      <w:pPr>
        <w:spacing w:line="360" w:lineRule="auto"/>
        <w:rPr>
          <w:rFonts w:asciiTheme="minorHAnsi" w:hAnsiTheme="minorHAnsi" w:cstheme="minorHAnsi"/>
        </w:rPr>
      </w:pPr>
      <w:r>
        <w:rPr>
          <w:rFonts w:asciiTheme="minorHAnsi" w:hAnsiTheme="minorHAnsi" w:cstheme="minorHAnsi"/>
        </w:rPr>
        <w:t>De Bono’s</w:t>
      </w:r>
      <w:r w:rsidR="008A124A">
        <w:rPr>
          <w:rFonts w:asciiTheme="minorHAnsi" w:hAnsiTheme="minorHAnsi" w:cstheme="minorHAnsi"/>
        </w:rPr>
        <w:t xml:space="preserve"> Thinking H</w:t>
      </w:r>
      <w:r>
        <w:rPr>
          <w:rFonts w:asciiTheme="minorHAnsi" w:hAnsiTheme="minorHAnsi" w:cstheme="minorHAnsi"/>
        </w:rPr>
        <w:t xml:space="preserve">ats metaphorically represent six different approaches ranging from logical to philosophical to comprehensively consider a solution; for example, the White Hat is the information hat that gathers and considers the relevant facts and data needed whereas the Green Hat is the creativity hat to consider new and unconventional ideas and possibilities (Payette and Barnes, 2017). </w:t>
      </w:r>
      <w:r w:rsidR="000351AE">
        <w:rPr>
          <w:rFonts w:asciiTheme="minorHAnsi" w:hAnsiTheme="minorHAnsi" w:cstheme="minorHAnsi"/>
        </w:rPr>
        <w:t xml:space="preserve">By wearing multiple “hats”, we can comprehensively </w:t>
      </w:r>
      <w:r w:rsidR="00844800">
        <w:rPr>
          <w:rFonts w:asciiTheme="minorHAnsi" w:hAnsiTheme="minorHAnsi" w:cstheme="minorHAnsi"/>
        </w:rPr>
        <w:t xml:space="preserve">think about a decision from multiple angles, adopting different modes of thinking to holistically evaluate a problem, thus, leading to a more informed decision (Gupta and </w:t>
      </w:r>
      <w:proofErr w:type="spellStart"/>
      <w:r w:rsidR="00844800">
        <w:rPr>
          <w:rFonts w:asciiTheme="minorHAnsi" w:hAnsiTheme="minorHAnsi" w:cstheme="minorHAnsi"/>
        </w:rPr>
        <w:t>Bodhankar</w:t>
      </w:r>
      <w:proofErr w:type="spellEnd"/>
      <w:r w:rsidR="00844800">
        <w:rPr>
          <w:rFonts w:asciiTheme="minorHAnsi" w:hAnsiTheme="minorHAnsi" w:cstheme="minorHAnsi"/>
        </w:rPr>
        <w:t xml:space="preserve">, 2023). </w:t>
      </w:r>
      <w:r w:rsidR="00E96FE3">
        <w:rPr>
          <w:rFonts w:asciiTheme="minorHAnsi" w:hAnsiTheme="minorHAnsi" w:cstheme="minorHAnsi"/>
        </w:rPr>
        <w:t xml:space="preserve">We could make the process more collaborative through assigning </w:t>
      </w:r>
      <w:proofErr w:type="gramStart"/>
      <w:r w:rsidR="00F55DCA">
        <w:rPr>
          <w:rFonts w:asciiTheme="minorHAnsi" w:hAnsiTheme="minorHAnsi" w:cstheme="minorHAnsi"/>
        </w:rPr>
        <w:t>colleagues</w:t>
      </w:r>
      <w:proofErr w:type="gramEnd"/>
      <w:r w:rsidR="00F55DCA">
        <w:rPr>
          <w:rFonts w:asciiTheme="minorHAnsi" w:hAnsiTheme="minorHAnsi" w:cstheme="minorHAnsi"/>
        </w:rPr>
        <w:t xml:space="preserve"> </w:t>
      </w:r>
      <w:r w:rsidR="00E96FE3">
        <w:rPr>
          <w:rFonts w:asciiTheme="minorHAnsi" w:hAnsiTheme="minorHAnsi" w:cstheme="minorHAnsi"/>
        </w:rPr>
        <w:t xml:space="preserve">different hats to facilitate a diverse, wide-ranging discussion and explore others’ viewpoints through the lens of the “hats” rather than the individual (Hails, 2023). </w:t>
      </w:r>
      <w:r w:rsidR="00844800">
        <w:rPr>
          <w:rFonts w:asciiTheme="minorHAnsi" w:hAnsiTheme="minorHAnsi" w:cstheme="minorHAnsi"/>
        </w:rPr>
        <w:t xml:space="preserve">The process will enable us to think more creatively and critically and improve problem solving skills to minimise risk and enable </w:t>
      </w:r>
      <w:proofErr w:type="spellStart"/>
      <w:r w:rsidR="00844800">
        <w:rPr>
          <w:rFonts w:asciiTheme="minorHAnsi" w:hAnsiTheme="minorHAnsi" w:cstheme="minorHAnsi"/>
        </w:rPr>
        <w:t>Technivara</w:t>
      </w:r>
      <w:proofErr w:type="spellEnd"/>
      <w:r w:rsidR="00844800">
        <w:rPr>
          <w:rFonts w:asciiTheme="minorHAnsi" w:hAnsiTheme="minorHAnsi" w:cstheme="minorHAnsi"/>
        </w:rPr>
        <w:t xml:space="preserve"> to achieve its outcomes (</w:t>
      </w:r>
      <w:proofErr w:type="spellStart"/>
      <w:r w:rsidR="00844800">
        <w:rPr>
          <w:rFonts w:asciiTheme="minorHAnsi" w:hAnsiTheme="minorHAnsi" w:cstheme="minorHAnsi"/>
        </w:rPr>
        <w:t>Elbilgahy</w:t>
      </w:r>
      <w:proofErr w:type="spellEnd"/>
      <w:r w:rsidR="00844800">
        <w:rPr>
          <w:rFonts w:asciiTheme="minorHAnsi" w:hAnsiTheme="minorHAnsi" w:cstheme="minorHAnsi"/>
        </w:rPr>
        <w:t xml:space="preserve"> and </w:t>
      </w:r>
      <w:proofErr w:type="spellStart"/>
      <w:r w:rsidR="00844800">
        <w:rPr>
          <w:rFonts w:asciiTheme="minorHAnsi" w:hAnsiTheme="minorHAnsi" w:cstheme="minorHAnsi"/>
        </w:rPr>
        <w:t>Alanazi</w:t>
      </w:r>
      <w:proofErr w:type="spellEnd"/>
      <w:r w:rsidR="00844800">
        <w:rPr>
          <w:rFonts w:asciiTheme="minorHAnsi" w:hAnsiTheme="minorHAnsi" w:cstheme="minorHAnsi"/>
        </w:rPr>
        <w:t xml:space="preserve">, 2025). </w:t>
      </w:r>
    </w:p>
    <w:p w14:paraId="5DE9438F" w14:textId="58D19B7D" w:rsidR="00CA635C" w:rsidRDefault="00CA635C" w:rsidP="001A4D8F">
      <w:pPr>
        <w:spacing w:line="360" w:lineRule="auto"/>
        <w:rPr>
          <w:rFonts w:asciiTheme="minorHAnsi" w:hAnsiTheme="minorHAnsi" w:cstheme="minorHAnsi"/>
        </w:rPr>
      </w:pPr>
    </w:p>
    <w:p w14:paraId="7C4702BE" w14:textId="1FB4C4EA" w:rsidR="00CA635C" w:rsidRDefault="00CA635C" w:rsidP="001A4D8F">
      <w:pPr>
        <w:spacing w:line="360" w:lineRule="auto"/>
        <w:rPr>
          <w:rFonts w:asciiTheme="minorHAnsi" w:hAnsiTheme="minorHAnsi" w:cstheme="minorHAnsi"/>
        </w:rPr>
      </w:pPr>
      <w:r>
        <w:rPr>
          <w:rFonts w:asciiTheme="minorHAnsi" w:hAnsiTheme="minorHAnsi" w:cstheme="minorHAnsi"/>
        </w:rPr>
        <w:t>Another process we could apply in our decision-making is Action Learning</w:t>
      </w:r>
      <w:r w:rsidR="00FC0377">
        <w:rPr>
          <w:rFonts w:asciiTheme="minorHAnsi" w:hAnsiTheme="minorHAnsi" w:cstheme="minorHAnsi"/>
        </w:rPr>
        <w:t xml:space="preserve"> proposed by Reg </w:t>
      </w:r>
      <w:proofErr w:type="spellStart"/>
      <w:r w:rsidR="00FC0377">
        <w:rPr>
          <w:rFonts w:asciiTheme="minorHAnsi" w:hAnsiTheme="minorHAnsi" w:cstheme="minorHAnsi"/>
        </w:rPr>
        <w:t>Revans</w:t>
      </w:r>
      <w:proofErr w:type="spellEnd"/>
      <w:r w:rsidR="00FC0377">
        <w:rPr>
          <w:rFonts w:asciiTheme="minorHAnsi" w:hAnsiTheme="minorHAnsi" w:cstheme="minorHAnsi"/>
        </w:rPr>
        <w:t xml:space="preserve">. </w:t>
      </w:r>
      <w:proofErr w:type="spellStart"/>
      <w:r w:rsidR="00FC0377">
        <w:rPr>
          <w:rFonts w:asciiTheme="minorHAnsi" w:hAnsiTheme="minorHAnsi" w:cstheme="minorHAnsi"/>
        </w:rPr>
        <w:t>Revans</w:t>
      </w:r>
      <w:proofErr w:type="spellEnd"/>
      <w:r w:rsidR="00FC0377">
        <w:rPr>
          <w:rFonts w:asciiTheme="minorHAnsi" w:hAnsiTheme="minorHAnsi" w:cstheme="minorHAnsi"/>
        </w:rPr>
        <w:t xml:space="preserve"> (2011) summarised the process in a formula; Learning equals Programmed Knowledge and Questioning or L = P + Q. </w:t>
      </w:r>
      <w:r w:rsidR="00751121">
        <w:rPr>
          <w:rFonts w:asciiTheme="minorHAnsi" w:hAnsiTheme="minorHAnsi" w:cstheme="minorHAnsi"/>
        </w:rPr>
        <w:t xml:space="preserve">In essence, the approach is a combination of planning, questioning </w:t>
      </w:r>
      <w:r w:rsidR="0072195F">
        <w:rPr>
          <w:rFonts w:asciiTheme="minorHAnsi" w:hAnsiTheme="minorHAnsi" w:cstheme="minorHAnsi"/>
        </w:rPr>
        <w:t xml:space="preserve">our assumptions </w:t>
      </w:r>
      <w:r w:rsidR="00751121">
        <w:rPr>
          <w:rFonts w:asciiTheme="minorHAnsi" w:hAnsiTheme="minorHAnsi" w:cstheme="minorHAnsi"/>
        </w:rPr>
        <w:t>and reflection before taking action to solve a problem, often collaboratively (</w:t>
      </w:r>
      <w:proofErr w:type="spellStart"/>
      <w:r w:rsidR="00751121">
        <w:rPr>
          <w:rFonts w:asciiTheme="minorHAnsi" w:hAnsiTheme="minorHAnsi" w:cstheme="minorHAnsi"/>
        </w:rPr>
        <w:t>Revans</w:t>
      </w:r>
      <w:proofErr w:type="spellEnd"/>
      <w:r w:rsidR="00751121">
        <w:rPr>
          <w:rFonts w:asciiTheme="minorHAnsi" w:hAnsiTheme="minorHAnsi" w:cstheme="minorHAnsi"/>
        </w:rPr>
        <w:t xml:space="preserve">, 2011). </w:t>
      </w:r>
      <w:r w:rsidR="004860F7">
        <w:rPr>
          <w:rFonts w:asciiTheme="minorHAnsi" w:hAnsiTheme="minorHAnsi" w:cstheme="minorHAnsi"/>
        </w:rPr>
        <w:t xml:space="preserve">At </w:t>
      </w:r>
      <w:proofErr w:type="spellStart"/>
      <w:r w:rsidR="004860F7">
        <w:rPr>
          <w:rFonts w:asciiTheme="minorHAnsi" w:hAnsiTheme="minorHAnsi" w:cstheme="minorHAnsi"/>
        </w:rPr>
        <w:t>Technivara</w:t>
      </w:r>
      <w:proofErr w:type="spellEnd"/>
      <w:r w:rsidR="004860F7">
        <w:rPr>
          <w:rFonts w:asciiTheme="minorHAnsi" w:hAnsiTheme="minorHAnsi" w:cstheme="minorHAnsi"/>
        </w:rPr>
        <w:t xml:space="preserve">, we could assemble a group of employees from different departments and levels of hierarchy in an action learning set who can provide diverse perspectives and work together effectively to make a balanced, more informed decision (Gifford, 2005). </w:t>
      </w:r>
      <w:r w:rsidR="0081011F">
        <w:rPr>
          <w:rFonts w:asciiTheme="minorHAnsi" w:hAnsiTheme="minorHAnsi" w:cstheme="minorHAnsi"/>
        </w:rPr>
        <w:t xml:space="preserve">A cross-departmental, collaborative approach to decision-making would ensure an organisation-wide alignment problem solving to effectively implement solutions that ensure our outcomes are achieved (Leonard and Marquardt, 2010). </w:t>
      </w:r>
      <w:r w:rsidR="00E402B5">
        <w:rPr>
          <w:rFonts w:asciiTheme="minorHAnsi" w:hAnsiTheme="minorHAnsi" w:cstheme="minorHAnsi"/>
        </w:rPr>
        <w:t xml:space="preserve">As we continue to expand, the action learning process would help us to critically reflect on previous knowledge and decisions made and enhance our future decision making at an organisational level, especially during periods of organisational change we will experience (Young, 2025). </w:t>
      </w:r>
    </w:p>
    <w:p w14:paraId="74F30CA3" w14:textId="2B38BBEF" w:rsidR="006435D0" w:rsidRDefault="006435D0">
      <w:pPr>
        <w:rPr>
          <w:rFonts w:asciiTheme="minorHAnsi" w:hAnsiTheme="minorHAnsi" w:cstheme="minorHAnsi"/>
        </w:rPr>
      </w:pPr>
    </w:p>
    <w:p w14:paraId="324D3284" w14:textId="77777777" w:rsidR="000A2C76" w:rsidRDefault="000A2C76" w:rsidP="006435D0">
      <w:pPr>
        <w:pStyle w:val="BodyText"/>
        <w:ind w:left="426" w:right="283" w:hanging="426"/>
        <w:jc w:val="both"/>
        <w:rPr>
          <w:rFonts w:ascii="Trebuchet MS" w:hAnsi="Trebuchet MS"/>
        </w:rPr>
      </w:pPr>
    </w:p>
    <w:p w14:paraId="06741C71" w14:textId="7787DD99" w:rsidR="006435D0" w:rsidRDefault="006435D0" w:rsidP="006435D0">
      <w:pPr>
        <w:pStyle w:val="BodyText"/>
        <w:ind w:left="426" w:right="283" w:hanging="426"/>
        <w:jc w:val="both"/>
        <w:rPr>
          <w:rFonts w:ascii="Trebuchet MS" w:hAnsi="Trebuchet MS"/>
        </w:rPr>
      </w:pPr>
      <w:r w:rsidRPr="00C0226B">
        <w:rPr>
          <w:rFonts w:ascii="Trebuchet MS" w:hAnsi="Trebuchet MS"/>
        </w:rPr>
        <w:lastRenderedPageBreak/>
        <w:t>AC 1.5</w:t>
      </w:r>
    </w:p>
    <w:p w14:paraId="27E1A5B0" w14:textId="77777777" w:rsidR="007750CA" w:rsidRDefault="007750CA" w:rsidP="00653786">
      <w:pPr>
        <w:pStyle w:val="BodyText"/>
        <w:ind w:right="283"/>
        <w:jc w:val="both"/>
        <w:rPr>
          <w:rFonts w:ascii="Trebuchet MS" w:hAnsi="Trebuchet MS"/>
        </w:rPr>
      </w:pPr>
    </w:p>
    <w:p w14:paraId="6E43688F" w14:textId="492F9C6A" w:rsidR="00365872" w:rsidRDefault="00F55DCA" w:rsidP="001A4D8F">
      <w:pPr>
        <w:spacing w:line="360" w:lineRule="auto"/>
        <w:rPr>
          <w:rFonts w:asciiTheme="minorHAnsi" w:hAnsiTheme="minorHAnsi" w:cstheme="minorHAnsi"/>
        </w:rPr>
      </w:pPr>
      <w:r>
        <w:rPr>
          <w:rFonts w:asciiTheme="minorHAnsi" w:hAnsiTheme="minorHAnsi" w:cstheme="minorHAnsi"/>
        </w:rPr>
        <w:t xml:space="preserve">Ethical practice is vital to an organisation’s success; reputation, trust, relationships and revenue are all at risk if there is a lapse in ethics, unintentional or not (CIPD, 2025b). </w:t>
      </w:r>
      <w:r w:rsidR="007750CA">
        <w:rPr>
          <w:rFonts w:asciiTheme="minorHAnsi" w:hAnsiTheme="minorHAnsi" w:cstheme="minorHAnsi"/>
        </w:rPr>
        <w:t xml:space="preserve">We will, undoubtedly, navigate ethical dilemmas in the </w:t>
      </w:r>
      <w:r w:rsidR="00047919">
        <w:rPr>
          <w:rFonts w:asciiTheme="minorHAnsi" w:hAnsiTheme="minorHAnsi" w:cstheme="minorHAnsi"/>
        </w:rPr>
        <w:t>management of people</w:t>
      </w:r>
      <w:r w:rsidR="007750CA">
        <w:rPr>
          <w:rFonts w:asciiTheme="minorHAnsi" w:hAnsiTheme="minorHAnsi" w:cstheme="minorHAnsi"/>
        </w:rPr>
        <w:t xml:space="preserve"> </w:t>
      </w:r>
      <w:r w:rsidR="008971C9">
        <w:rPr>
          <w:rFonts w:asciiTheme="minorHAnsi" w:hAnsiTheme="minorHAnsi" w:cstheme="minorHAnsi"/>
        </w:rPr>
        <w:t xml:space="preserve">at </w:t>
      </w:r>
      <w:proofErr w:type="spellStart"/>
      <w:r w:rsidR="008971C9">
        <w:rPr>
          <w:rFonts w:asciiTheme="minorHAnsi" w:hAnsiTheme="minorHAnsi" w:cstheme="minorHAnsi"/>
        </w:rPr>
        <w:t>Technivara</w:t>
      </w:r>
      <w:proofErr w:type="spellEnd"/>
      <w:r w:rsidR="00047919">
        <w:rPr>
          <w:rFonts w:asciiTheme="minorHAnsi" w:hAnsiTheme="minorHAnsi" w:cstheme="minorHAnsi"/>
        </w:rPr>
        <w:t xml:space="preserve">, particularly as we expand and </w:t>
      </w:r>
      <w:r w:rsidR="00260EDC">
        <w:rPr>
          <w:rFonts w:asciiTheme="minorHAnsi" w:hAnsiTheme="minorHAnsi" w:cstheme="minorHAnsi"/>
        </w:rPr>
        <w:t>change</w:t>
      </w:r>
      <w:r w:rsidR="00047919">
        <w:rPr>
          <w:rFonts w:asciiTheme="minorHAnsi" w:hAnsiTheme="minorHAnsi" w:cstheme="minorHAnsi"/>
        </w:rPr>
        <w:t xml:space="preserve"> our practices,</w:t>
      </w:r>
      <w:r w:rsidR="008971C9">
        <w:rPr>
          <w:rFonts w:asciiTheme="minorHAnsi" w:hAnsiTheme="minorHAnsi" w:cstheme="minorHAnsi"/>
        </w:rPr>
        <w:t xml:space="preserve"> </w:t>
      </w:r>
      <w:r w:rsidR="007750CA">
        <w:rPr>
          <w:rFonts w:asciiTheme="minorHAnsi" w:hAnsiTheme="minorHAnsi" w:cstheme="minorHAnsi"/>
        </w:rPr>
        <w:t>therefore, it is important</w:t>
      </w:r>
      <w:r w:rsidR="00463482">
        <w:rPr>
          <w:rFonts w:asciiTheme="minorHAnsi" w:hAnsiTheme="minorHAnsi" w:cstheme="minorHAnsi"/>
        </w:rPr>
        <w:t xml:space="preserve"> that</w:t>
      </w:r>
      <w:r w:rsidR="007750CA">
        <w:rPr>
          <w:rFonts w:asciiTheme="minorHAnsi" w:hAnsiTheme="minorHAnsi" w:cstheme="minorHAnsi"/>
        </w:rPr>
        <w:t xml:space="preserve"> we exercise judgment in our decision-making that is fair and morally responsible (Clark, 2015). </w:t>
      </w:r>
      <w:r w:rsidR="002A19C1">
        <w:rPr>
          <w:rFonts w:asciiTheme="minorHAnsi" w:hAnsiTheme="minorHAnsi" w:cstheme="minorHAnsi"/>
        </w:rPr>
        <w:t>As a result</w:t>
      </w:r>
      <w:r w:rsidR="00365872">
        <w:rPr>
          <w:rFonts w:asciiTheme="minorHAnsi" w:hAnsiTheme="minorHAnsi" w:cstheme="minorHAnsi"/>
        </w:rPr>
        <w:t>, I have conducted an assessment of two ethical perspectives we could use to inform our decision-making processes; utilitarianism and deontolog</w:t>
      </w:r>
      <w:r w:rsidR="007E70B4">
        <w:rPr>
          <w:rFonts w:asciiTheme="minorHAnsi" w:hAnsiTheme="minorHAnsi" w:cstheme="minorHAnsi"/>
        </w:rPr>
        <w:t>y.</w:t>
      </w:r>
    </w:p>
    <w:p w14:paraId="32D9ECD3" w14:textId="6D5F1BC3" w:rsidR="00365872" w:rsidRDefault="00365872" w:rsidP="001A4D8F">
      <w:pPr>
        <w:spacing w:line="360" w:lineRule="auto"/>
        <w:rPr>
          <w:rFonts w:asciiTheme="minorHAnsi" w:hAnsiTheme="minorHAnsi" w:cstheme="minorHAnsi"/>
        </w:rPr>
      </w:pPr>
    </w:p>
    <w:p w14:paraId="74B9021F" w14:textId="24CD7D94" w:rsidR="00365872" w:rsidRDefault="00365872" w:rsidP="001A4D8F">
      <w:pPr>
        <w:spacing w:line="360" w:lineRule="auto"/>
        <w:rPr>
          <w:rFonts w:asciiTheme="minorHAnsi" w:hAnsiTheme="minorHAnsi" w:cstheme="minorHAnsi"/>
        </w:rPr>
      </w:pPr>
      <w:r>
        <w:rPr>
          <w:rFonts w:asciiTheme="minorHAnsi" w:hAnsiTheme="minorHAnsi" w:cstheme="minorHAnsi"/>
        </w:rPr>
        <w:t xml:space="preserve">Broadly speaking, utilitarianism is the consideration of </w:t>
      </w:r>
      <w:r w:rsidR="00904A2C">
        <w:rPr>
          <w:rFonts w:asciiTheme="minorHAnsi" w:hAnsiTheme="minorHAnsi" w:cstheme="minorHAnsi"/>
        </w:rPr>
        <w:t>the maximum amount of good</w:t>
      </w:r>
      <w:r>
        <w:rPr>
          <w:rFonts w:asciiTheme="minorHAnsi" w:hAnsiTheme="minorHAnsi" w:cstheme="minorHAnsi"/>
        </w:rPr>
        <w:t xml:space="preserve"> when </w:t>
      </w:r>
      <w:r w:rsidR="00904A2C">
        <w:rPr>
          <w:rFonts w:asciiTheme="minorHAnsi" w:hAnsiTheme="minorHAnsi" w:cstheme="minorHAnsi"/>
        </w:rPr>
        <w:t>making a decision or, as Mill (1</w:t>
      </w:r>
      <w:r w:rsidR="00EF2CA5">
        <w:rPr>
          <w:rFonts w:asciiTheme="minorHAnsi" w:hAnsiTheme="minorHAnsi" w:cstheme="minorHAnsi"/>
        </w:rPr>
        <w:t>998</w:t>
      </w:r>
      <w:r w:rsidR="00904A2C">
        <w:rPr>
          <w:rFonts w:asciiTheme="minorHAnsi" w:hAnsiTheme="minorHAnsi" w:cstheme="minorHAnsi"/>
        </w:rPr>
        <w:t xml:space="preserve">) summarised, ‘the greatest happiness for the greatest number’. </w:t>
      </w:r>
      <w:r w:rsidR="00036712">
        <w:rPr>
          <w:rFonts w:asciiTheme="minorHAnsi" w:hAnsiTheme="minorHAnsi" w:cstheme="minorHAnsi"/>
        </w:rPr>
        <w:t>Utilitarianism is a straightforward process for decision-making that focuses on the effect</w:t>
      </w:r>
      <w:r w:rsidR="00266BD1">
        <w:rPr>
          <w:rFonts w:asciiTheme="minorHAnsi" w:hAnsiTheme="minorHAnsi" w:cstheme="minorHAnsi"/>
        </w:rPr>
        <w:t xml:space="preserve">s </w:t>
      </w:r>
      <w:r w:rsidR="00036712">
        <w:rPr>
          <w:rFonts w:asciiTheme="minorHAnsi" w:hAnsiTheme="minorHAnsi" w:cstheme="minorHAnsi"/>
        </w:rPr>
        <w:t>of a</w:t>
      </w:r>
      <w:r w:rsidR="00266BD1">
        <w:rPr>
          <w:rFonts w:asciiTheme="minorHAnsi" w:hAnsiTheme="minorHAnsi" w:cstheme="minorHAnsi"/>
        </w:rPr>
        <w:t>n action taken</w:t>
      </w:r>
      <w:r w:rsidR="00036712">
        <w:rPr>
          <w:rFonts w:asciiTheme="minorHAnsi" w:hAnsiTheme="minorHAnsi" w:cstheme="minorHAnsi"/>
        </w:rPr>
        <w:t>, giving us clarity on how a decision has perhaps influenced our employees</w:t>
      </w:r>
      <w:r w:rsidR="00935DFD">
        <w:rPr>
          <w:rFonts w:asciiTheme="minorHAnsi" w:hAnsiTheme="minorHAnsi" w:cstheme="minorHAnsi"/>
        </w:rPr>
        <w:t>, customers</w:t>
      </w:r>
      <w:r w:rsidR="00036712">
        <w:rPr>
          <w:rFonts w:asciiTheme="minorHAnsi" w:hAnsiTheme="minorHAnsi" w:cstheme="minorHAnsi"/>
        </w:rPr>
        <w:t xml:space="preserve"> or external stakeholders (Singer, 2011). </w:t>
      </w:r>
      <w:r w:rsidR="002529DC">
        <w:rPr>
          <w:rFonts w:asciiTheme="minorHAnsi" w:hAnsiTheme="minorHAnsi" w:cstheme="minorHAnsi"/>
        </w:rPr>
        <w:t>Through the lens of utilitarianism, every person’s wellbeing is treated equally, which would ensure fairness in our decision-making</w:t>
      </w:r>
      <w:r w:rsidR="00935DFD">
        <w:rPr>
          <w:rFonts w:asciiTheme="minorHAnsi" w:hAnsiTheme="minorHAnsi" w:cstheme="minorHAnsi"/>
        </w:rPr>
        <w:t xml:space="preserve"> for processes such as </w:t>
      </w:r>
      <w:proofErr w:type="spellStart"/>
      <w:r w:rsidR="00935DFD">
        <w:rPr>
          <w:rFonts w:asciiTheme="minorHAnsi" w:hAnsiTheme="minorHAnsi" w:cstheme="minorHAnsi"/>
        </w:rPr>
        <w:t>as</w:t>
      </w:r>
      <w:proofErr w:type="spellEnd"/>
      <w:r w:rsidR="00935DFD">
        <w:rPr>
          <w:rFonts w:asciiTheme="minorHAnsi" w:hAnsiTheme="minorHAnsi" w:cstheme="minorHAnsi"/>
        </w:rPr>
        <w:t xml:space="preserve"> recruitment, performance management and training opportunities, </w:t>
      </w:r>
      <w:r w:rsidR="0018753F">
        <w:rPr>
          <w:rFonts w:asciiTheme="minorHAnsi" w:hAnsiTheme="minorHAnsi" w:cstheme="minorHAnsi"/>
        </w:rPr>
        <w:t xml:space="preserve">and protect us against possible cases of </w:t>
      </w:r>
      <w:r w:rsidR="00935DFD">
        <w:rPr>
          <w:rFonts w:asciiTheme="minorHAnsi" w:hAnsiTheme="minorHAnsi" w:cstheme="minorHAnsi"/>
        </w:rPr>
        <w:t>unfair</w:t>
      </w:r>
      <w:r w:rsidR="0018753F">
        <w:rPr>
          <w:rFonts w:asciiTheme="minorHAnsi" w:hAnsiTheme="minorHAnsi" w:cstheme="minorHAnsi"/>
        </w:rPr>
        <w:t xml:space="preserve"> treatment or discrimination as a business (Venkatesh, 2025). However, </w:t>
      </w:r>
      <w:r w:rsidR="00935DFD">
        <w:rPr>
          <w:rFonts w:asciiTheme="minorHAnsi" w:hAnsiTheme="minorHAnsi" w:cstheme="minorHAnsi"/>
        </w:rPr>
        <w:t xml:space="preserve">the approach of maximising good for all would not consider the needs or rights of our individual employees and </w:t>
      </w:r>
      <w:r w:rsidR="007E70B4">
        <w:rPr>
          <w:rFonts w:asciiTheme="minorHAnsi" w:hAnsiTheme="minorHAnsi" w:cstheme="minorHAnsi"/>
        </w:rPr>
        <w:t xml:space="preserve">justify morally questionable decisions for the greater good such as lying, deception or rights violations (Chappell, Meisner and MacAskill, 2023). </w:t>
      </w:r>
    </w:p>
    <w:p w14:paraId="48B8C4AE" w14:textId="735E1476" w:rsidR="007E70B4" w:rsidRDefault="007E70B4" w:rsidP="001A4D8F">
      <w:pPr>
        <w:spacing w:line="360" w:lineRule="auto"/>
        <w:rPr>
          <w:rFonts w:asciiTheme="minorHAnsi" w:hAnsiTheme="minorHAnsi" w:cstheme="minorHAnsi"/>
        </w:rPr>
      </w:pPr>
    </w:p>
    <w:p w14:paraId="7B43D71E" w14:textId="68E53DBD" w:rsidR="007E70B4" w:rsidRDefault="007E70B4" w:rsidP="001A4D8F">
      <w:pPr>
        <w:spacing w:line="360" w:lineRule="auto"/>
        <w:rPr>
          <w:rFonts w:asciiTheme="minorHAnsi" w:hAnsiTheme="minorHAnsi" w:cstheme="minorHAnsi"/>
        </w:rPr>
      </w:pPr>
      <w:r>
        <w:rPr>
          <w:rFonts w:asciiTheme="minorHAnsi" w:hAnsiTheme="minorHAnsi" w:cstheme="minorHAnsi"/>
        </w:rPr>
        <w:t>In contrast, the second ethical perspective, deontology, is more concerned with the morality of the decision itself</w:t>
      </w:r>
      <w:r w:rsidR="00F93E82">
        <w:rPr>
          <w:rFonts w:asciiTheme="minorHAnsi" w:hAnsiTheme="minorHAnsi" w:cstheme="minorHAnsi"/>
        </w:rPr>
        <w:t xml:space="preserve"> and that some actions or decisions are inherently morally right or wrong, irrespective of the consequences (Rachels and Rachels, 2003). </w:t>
      </w:r>
      <w:r w:rsidR="005D2FB3">
        <w:rPr>
          <w:rFonts w:asciiTheme="minorHAnsi" w:hAnsiTheme="minorHAnsi" w:cstheme="minorHAnsi"/>
        </w:rPr>
        <w:t xml:space="preserve">By adopting a deontological approach to ethical decision-making, we would ensure that the rights of every individual employee are respected and protected from violation, meeting our legal requirements as a business in terms of </w:t>
      </w:r>
      <w:r w:rsidR="00200A98">
        <w:rPr>
          <w:rFonts w:asciiTheme="minorHAnsi" w:hAnsiTheme="minorHAnsi" w:cstheme="minorHAnsi"/>
        </w:rPr>
        <w:t xml:space="preserve">employment law and reducing the reputational and cost risk of possible tribunals (Donaldson and Walsh, 2015). </w:t>
      </w:r>
      <w:r w:rsidR="00516CAD">
        <w:rPr>
          <w:rFonts w:asciiTheme="minorHAnsi" w:hAnsiTheme="minorHAnsi" w:cstheme="minorHAnsi"/>
        </w:rPr>
        <w:t>People practices would be conducted fairly and consistently across the organisation such as promotions, appraisals or disciplinaries, producing decisions that are equitable and ethically justifiable (</w:t>
      </w:r>
      <w:proofErr w:type="spellStart"/>
      <w:r w:rsidR="00516CAD">
        <w:rPr>
          <w:rFonts w:asciiTheme="minorHAnsi" w:hAnsiTheme="minorHAnsi" w:cstheme="minorHAnsi"/>
        </w:rPr>
        <w:t>Cropanzano</w:t>
      </w:r>
      <w:proofErr w:type="spellEnd"/>
      <w:r w:rsidR="00516CAD">
        <w:rPr>
          <w:rFonts w:asciiTheme="minorHAnsi" w:hAnsiTheme="minorHAnsi" w:cstheme="minorHAnsi"/>
        </w:rPr>
        <w:t xml:space="preserve">, Bowen and Gilliland, 2017). </w:t>
      </w:r>
      <w:r w:rsidR="00704543">
        <w:rPr>
          <w:rFonts w:asciiTheme="minorHAnsi" w:hAnsiTheme="minorHAnsi" w:cstheme="minorHAnsi"/>
        </w:rPr>
        <w:t xml:space="preserve">Deontological ethics is a rigid framework and does not </w:t>
      </w:r>
      <w:r w:rsidR="005F48D7">
        <w:rPr>
          <w:rFonts w:asciiTheme="minorHAnsi" w:hAnsiTheme="minorHAnsi" w:cstheme="minorHAnsi"/>
        </w:rPr>
        <w:t>leave much</w:t>
      </w:r>
      <w:r w:rsidR="00704543">
        <w:rPr>
          <w:rFonts w:asciiTheme="minorHAnsi" w:hAnsiTheme="minorHAnsi" w:cstheme="minorHAnsi"/>
        </w:rPr>
        <w:t xml:space="preserve"> room for nuance which could be problematic when we are faced with conflicting </w:t>
      </w:r>
      <w:r w:rsidR="005D365D">
        <w:rPr>
          <w:rFonts w:asciiTheme="minorHAnsi" w:hAnsiTheme="minorHAnsi" w:cstheme="minorHAnsi"/>
        </w:rPr>
        <w:t>duties</w:t>
      </w:r>
      <w:r w:rsidR="00704543">
        <w:rPr>
          <w:rFonts w:asciiTheme="minorHAnsi" w:hAnsiTheme="minorHAnsi" w:cstheme="minorHAnsi"/>
        </w:rPr>
        <w:t xml:space="preserve"> such as prioritising employee wellbeing or our obligations to the board and our stakeholders (Boatright, 2020</w:t>
      </w:r>
      <w:r w:rsidR="005D365D">
        <w:rPr>
          <w:rFonts w:asciiTheme="minorHAnsi" w:hAnsiTheme="minorHAnsi" w:cstheme="minorHAnsi"/>
        </w:rPr>
        <w:t xml:space="preserve">). </w:t>
      </w:r>
      <w:r w:rsidR="005479C7">
        <w:rPr>
          <w:rFonts w:asciiTheme="minorHAnsi" w:hAnsiTheme="minorHAnsi" w:cstheme="minorHAnsi"/>
        </w:rPr>
        <w:t xml:space="preserve">Furthermore, </w:t>
      </w:r>
      <w:r w:rsidR="00E12446">
        <w:rPr>
          <w:rFonts w:asciiTheme="minorHAnsi" w:hAnsiTheme="minorHAnsi" w:cstheme="minorHAnsi"/>
        </w:rPr>
        <w:t>focusing on</w:t>
      </w:r>
      <w:r w:rsidR="005479C7">
        <w:rPr>
          <w:rFonts w:asciiTheme="minorHAnsi" w:hAnsiTheme="minorHAnsi" w:cstheme="minorHAnsi"/>
        </w:rPr>
        <w:t xml:space="preserve"> decisions and </w:t>
      </w:r>
      <w:r w:rsidR="00E12446">
        <w:rPr>
          <w:rFonts w:asciiTheme="minorHAnsi" w:hAnsiTheme="minorHAnsi" w:cstheme="minorHAnsi"/>
        </w:rPr>
        <w:t>ignoring</w:t>
      </w:r>
      <w:r w:rsidR="005479C7">
        <w:rPr>
          <w:rFonts w:asciiTheme="minorHAnsi" w:hAnsiTheme="minorHAnsi" w:cstheme="minorHAnsi"/>
        </w:rPr>
        <w:t xml:space="preserve"> outcomes could result in damaging consequences from so-called ‘ethical’ decisions such as fair recruitment that </w:t>
      </w:r>
      <w:r w:rsidR="005479C7">
        <w:rPr>
          <w:rFonts w:asciiTheme="minorHAnsi" w:hAnsiTheme="minorHAnsi" w:cstheme="minorHAnsi"/>
        </w:rPr>
        <w:lastRenderedPageBreak/>
        <w:t xml:space="preserve">unintentionally excludes certain groups (Crane et al, 2019). </w:t>
      </w:r>
    </w:p>
    <w:p w14:paraId="3D7E68D5" w14:textId="35887FCF" w:rsidR="005C64CD" w:rsidRDefault="005C64CD">
      <w:pPr>
        <w:rPr>
          <w:rFonts w:asciiTheme="minorHAnsi" w:hAnsiTheme="minorHAnsi" w:cstheme="minorHAnsi"/>
        </w:rPr>
      </w:pPr>
    </w:p>
    <w:p w14:paraId="46F7A966" w14:textId="66C2D793" w:rsidR="005C64CD" w:rsidRDefault="005C64CD" w:rsidP="005C64CD">
      <w:pPr>
        <w:pStyle w:val="BodyText"/>
        <w:ind w:left="567" w:right="283" w:hanging="567"/>
        <w:jc w:val="both"/>
        <w:rPr>
          <w:rFonts w:ascii="Trebuchet MS" w:hAnsi="Trebuchet MS"/>
        </w:rPr>
      </w:pPr>
      <w:r w:rsidRPr="00C0226B">
        <w:rPr>
          <w:rFonts w:ascii="Trebuchet MS" w:hAnsi="Trebuchet MS"/>
        </w:rPr>
        <w:t>AC 3.1</w:t>
      </w:r>
    </w:p>
    <w:p w14:paraId="55F6B8CF" w14:textId="77777777" w:rsidR="00E60A5C" w:rsidRDefault="00E60A5C" w:rsidP="00FC7304">
      <w:pPr>
        <w:rPr>
          <w:rFonts w:asciiTheme="minorHAnsi" w:hAnsiTheme="minorHAnsi" w:cstheme="minorHAnsi"/>
        </w:rPr>
      </w:pPr>
    </w:p>
    <w:p w14:paraId="61288791" w14:textId="224FDFD7" w:rsidR="00631110" w:rsidRDefault="00ED7D42" w:rsidP="001A4D8F">
      <w:pPr>
        <w:spacing w:line="360" w:lineRule="auto"/>
        <w:rPr>
          <w:rFonts w:asciiTheme="minorHAnsi" w:hAnsiTheme="minorHAnsi" w:cstheme="minorHAnsi"/>
        </w:rPr>
      </w:pPr>
      <w:r>
        <w:rPr>
          <w:rFonts w:asciiTheme="minorHAnsi" w:hAnsiTheme="minorHAnsi" w:cstheme="minorHAnsi"/>
        </w:rPr>
        <w:t xml:space="preserve">The collection of an organisation’s performance data directly informs business decisions </w:t>
      </w:r>
      <w:r w:rsidR="00D7390D">
        <w:rPr>
          <w:rFonts w:asciiTheme="minorHAnsi" w:hAnsiTheme="minorHAnsi" w:cstheme="minorHAnsi"/>
        </w:rPr>
        <w:t xml:space="preserve">such as planning, budgeting and resource allocation </w:t>
      </w:r>
      <w:r>
        <w:rPr>
          <w:rFonts w:asciiTheme="minorHAnsi" w:hAnsiTheme="minorHAnsi" w:cstheme="minorHAnsi"/>
        </w:rPr>
        <w:t>and, thus, directly affects business outcomes (</w:t>
      </w:r>
      <w:proofErr w:type="spellStart"/>
      <w:r w:rsidR="00D7390D">
        <w:rPr>
          <w:rFonts w:asciiTheme="minorHAnsi" w:hAnsiTheme="minorHAnsi" w:cstheme="minorHAnsi"/>
        </w:rPr>
        <w:t>Mashovic</w:t>
      </w:r>
      <w:proofErr w:type="spellEnd"/>
      <w:r w:rsidR="00D7390D">
        <w:rPr>
          <w:rFonts w:asciiTheme="minorHAnsi" w:hAnsiTheme="minorHAnsi" w:cstheme="minorHAnsi"/>
        </w:rPr>
        <w:t xml:space="preserve">, 3028; </w:t>
      </w:r>
      <w:r>
        <w:rPr>
          <w:rFonts w:asciiTheme="minorHAnsi" w:hAnsiTheme="minorHAnsi" w:cstheme="minorHAnsi"/>
        </w:rPr>
        <w:t xml:space="preserve">CIPD, 2023). </w:t>
      </w:r>
      <w:r w:rsidR="00D7390D">
        <w:rPr>
          <w:rFonts w:asciiTheme="minorHAnsi" w:hAnsiTheme="minorHAnsi" w:cstheme="minorHAnsi"/>
        </w:rPr>
        <w:t xml:space="preserve">Financial performance can be measured through monetary terms such as revenue, profit, cash flow and return on investment (ROI) (Simons, 2000). </w:t>
      </w:r>
      <w:r w:rsidR="00631110">
        <w:rPr>
          <w:rFonts w:asciiTheme="minorHAnsi" w:hAnsiTheme="minorHAnsi" w:cstheme="minorHAnsi"/>
        </w:rPr>
        <w:t>Non-financial performance</w:t>
      </w:r>
      <w:r w:rsidR="00386372">
        <w:rPr>
          <w:rFonts w:asciiTheme="minorHAnsi" w:hAnsiTheme="minorHAnsi" w:cstheme="minorHAnsi"/>
        </w:rPr>
        <w:t>, such as customer satisfaction, KPIs and productivity rates,</w:t>
      </w:r>
      <w:r w:rsidR="00631110">
        <w:rPr>
          <w:rFonts w:asciiTheme="minorHAnsi" w:hAnsiTheme="minorHAnsi" w:cstheme="minorHAnsi"/>
        </w:rPr>
        <w:t xml:space="preserve"> ha</w:t>
      </w:r>
      <w:r w:rsidR="00386372">
        <w:rPr>
          <w:rFonts w:asciiTheme="minorHAnsi" w:hAnsiTheme="minorHAnsi" w:cstheme="minorHAnsi"/>
        </w:rPr>
        <w:t>ve</w:t>
      </w:r>
      <w:r w:rsidR="00631110">
        <w:rPr>
          <w:rFonts w:asciiTheme="minorHAnsi" w:hAnsiTheme="minorHAnsi" w:cstheme="minorHAnsi"/>
        </w:rPr>
        <w:t xml:space="preserve"> become increasingly important in recent years as </w:t>
      </w:r>
      <w:r w:rsidR="00386372">
        <w:rPr>
          <w:rFonts w:asciiTheme="minorHAnsi" w:hAnsiTheme="minorHAnsi" w:cstheme="minorHAnsi"/>
        </w:rPr>
        <w:t>they provide</w:t>
      </w:r>
      <w:r w:rsidR="00631110">
        <w:rPr>
          <w:rFonts w:asciiTheme="minorHAnsi" w:hAnsiTheme="minorHAnsi" w:cstheme="minorHAnsi"/>
        </w:rPr>
        <w:t xml:space="preserve"> </w:t>
      </w:r>
      <w:r>
        <w:rPr>
          <w:rFonts w:asciiTheme="minorHAnsi" w:hAnsiTheme="minorHAnsi" w:cstheme="minorHAnsi"/>
        </w:rPr>
        <w:t>key insights into workforce matters that ensure both the success and</w:t>
      </w:r>
      <w:r w:rsidR="00E46DB8">
        <w:rPr>
          <w:rFonts w:asciiTheme="minorHAnsi" w:hAnsiTheme="minorHAnsi" w:cstheme="minorHAnsi"/>
        </w:rPr>
        <w:t xml:space="preserve"> social</w:t>
      </w:r>
      <w:r>
        <w:rPr>
          <w:rFonts w:asciiTheme="minorHAnsi" w:hAnsiTheme="minorHAnsi" w:cstheme="minorHAnsi"/>
        </w:rPr>
        <w:t xml:space="preserve"> responsibility of an organisation’s business practice and can assist in mitigating risk (CIPD, 2023). </w:t>
      </w:r>
    </w:p>
    <w:p w14:paraId="6D4B044F" w14:textId="71F1364B" w:rsidR="00DC7057" w:rsidRDefault="00DC7057" w:rsidP="001A4D8F">
      <w:pPr>
        <w:spacing w:line="360" w:lineRule="auto"/>
        <w:rPr>
          <w:rFonts w:asciiTheme="minorHAnsi" w:hAnsiTheme="minorHAnsi" w:cstheme="minorHAnsi"/>
        </w:rPr>
      </w:pPr>
    </w:p>
    <w:p w14:paraId="4DBCD527" w14:textId="6AB57FEB" w:rsidR="00DC7057" w:rsidRDefault="00DC7057" w:rsidP="001A4D8F">
      <w:pPr>
        <w:spacing w:line="360" w:lineRule="auto"/>
        <w:rPr>
          <w:rFonts w:asciiTheme="minorHAnsi" w:hAnsiTheme="minorHAnsi" w:cstheme="minorHAnsi"/>
        </w:rPr>
      </w:pPr>
      <w:r>
        <w:rPr>
          <w:rFonts w:asciiTheme="minorHAnsi" w:hAnsiTheme="minorHAnsi" w:cstheme="minorHAnsi"/>
        </w:rPr>
        <w:t xml:space="preserve">One financial performance measure </w:t>
      </w:r>
      <w:proofErr w:type="spellStart"/>
      <w:r>
        <w:rPr>
          <w:rFonts w:asciiTheme="minorHAnsi" w:hAnsiTheme="minorHAnsi" w:cstheme="minorHAnsi"/>
        </w:rPr>
        <w:t>Technivara</w:t>
      </w:r>
      <w:proofErr w:type="spellEnd"/>
      <w:r>
        <w:rPr>
          <w:rFonts w:asciiTheme="minorHAnsi" w:hAnsiTheme="minorHAnsi" w:cstheme="minorHAnsi"/>
        </w:rPr>
        <w:t xml:space="preserve"> could use is </w:t>
      </w:r>
      <w:r w:rsidR="00AB3F6A">
        <w:rPr>
          <w:rFonts w:asciiTheme="minorHAnsi" w:hAnsiTheme="minorHAnsi" w:cstheme="minorHAnsi"/>
        </w:rPr>
        <w:t xml:space="preserve">return on investment (ROI). ROI measures the profit generated from </w:t>
      </w:r>
      <w:proofErr w:type="spellStart"/>
      <w:proofErr w:type="gramStart"/>
      <w:r w:rsidR="00AB3F6A">
        <w:rPr>
          <w:rFonts w:asciiTheme="minorHAnsi" w:hAnsiTheme="minorHAnsi" w:cstheme="minorHAnsi"/>
        </w:rPr>
        <w:t>a</w:t>
      </w:r>
      <w:proofErr w:type="spellEnd"/>
      <w:proofErr w:type="gramEnd"/>
      <w:r w:rsidR="00AB3F6A">
        <w:rPr>
          <w:rFonts w:asciiTheme="minorHAnsi" w:hAnsiTheme="minorHAnsi" w:cstheme="minorHAnsi"/>
        </w:rPr>
        <w:t xml:space="preserve"> investment versus its cost, evaluating the success and effectiveness of the investment (Fernando, 2025). </w:t>
      </w:r>
      <w:r w:rsidR="00E60A5C">
        <w:rPr>
          <w:rFonts w:asciiTheme="minorHAnsi" w:hAnsiTheme="minorHAnsi" w:cstheme="minorHAnsi"/>
        </w:rPr>
        <w:t xml:space="preserve">As we continue to grow and are looking at expansion, we can assess the performance of our investments in people management initiatives and present this to Bill and the board by using the familiar financial formula and language of ROI (Phillips and Phillips, 2016). </w:t>
      </w:r>
      <w:r w:rsidR="00083306">
        <w:rPr>
          <w:rFonts w:asciiTheme="minorHAnsi" w:hAnsiTheme="minorHAnsi" w:cstheme="minorHAnsi"/>
        </w:rPr>
        <w:t>For example, our transit</w:t>
      </w:r>
      <w:r w:rsidR="008E52DC">
        <w:rPr>
          <w:rFonts w:asciiTheme="minorHAnsi" w:hAnsiTheme="minorHAnsi" w:cstheme="minorHAnsi"/>
        </w:rPr>
        <w:t xml:space="preserve">ion from paper-based processes to a digital HR information system will, undoubtedly, require a substantial investment in the system itself and the training of staff to use the new system (Bangura, 2024). </w:t>
      </w:r>
      <w:r w:rsidR="00931D3E">
        <w:rPr>
          <w:rFonts w:asciiTheme="minorHAnsi" w:hAnsiTheme="minorHAnsi" w:cstheme="minorHAnsi"/>
        </w:rPr>
        <w:t xml:space="preserve">However, indicators such as reduced administration, errors, costs of paper printing and the improvements to data compliance would present a strong case of ROI as our processes become more efficient (Cascio and Boudreau, 2011). </w:t>
      </w:r>
      <w:r w:rsidR="00CF6AD6">
        <w:rPr>
          <w:rFonts w:asciiTheme="minorHAnsi" w:hAnsiTheme="minorHAnsi" w:cstheme="minorHAnsi"/>
        </w:rPr>
        <w:t xml:space="preserve">However, ROI only provides financial metrics and </w:t>
      </w:r>
      <w:r w:rsidR="00541C94">
        <w:rPr>
          <w:rFonts w:asciiTheme="minorHAnsi" w:hAnsiTheme="minorHAnsi" w:cstheme="minorHAnsi"/>
        </w:rPr>
        <w:t xml:space="preserve">does not consider other non-monetary factors that affect organisational performance and can result in the wrongful attribution of successful outcomes to a specific internal action rather than, possibly a variety of external contributing factors (Phillips and Phillips, 2016; </w:t>
      </w:r>
      <w:proofErr w:type="spellStart"/>
      <w:r w:rsidR="00541C94">
        <w:rPr>
          <w:rFonts w:asciiTheme="minorHAnsi" w:hAnsiTheme="minorHAnsi" w:cstheme="minorHAnsi"/>
        </w:rPr>
        <w:t>Barends</w:t>
      </w:r>
      <w:proofErr w:type="spellEnd"/>
      <w:r w:rsidR="00541C94">
        <w:rPr>
          <w:rFonts w:asciiTheme="minorHAnsi" w:hAnsiTheme="minorHAnsi" w:cstheme="minorHAnsi"/>
        </w:rPr>
        <w:t>,</w:t>
      </w:r>
      <w:r w:rsidR="00116704">
        <w:rPr>
          <w:rFonts w:asciiTheme="minorHAnsi" w:hAnsiTheme="minorHAnsi" w:cstheme="minorHAnsi"/>
        </w:rPr>
        <w:t xml:space="preserve"> Rousseau and Briner,</w:t>
      </w:r>
      <w:r w:rsidR="00541C94">
        <w:rPr>
          <w:rFonts w:asciiTheme="minorHAnsi" w:hAnsiTheme="minorHAnsi" w:cstheme="minorHAnsi"/>
        </w:rPr>
        <w:t xml:space="preserve"> 2017). </w:t>
      </w:r>
    </w:p>
    <w:p w14:paraId="4FF9431F" w14:textId="2890D38E" w:rsidR="00D315CF" w:rsidRDefault="00D315CF" w:rsidP="001A4D8F">
      <w:pPr>
        <w:spacing w:line="360" w:lineRule="auto"/>
        <w:rPr>
          <w:rFonts w:asciiTheme="minorHAnsi" w:hAnsiTheme="minorHAnsi" w:cstheme="minorHAnsi"/>
        </w:rPr>
      </w:pPr>
    </w:p>
    <w:p w14:paraId="5710B983" w14:textId="55AC452B" w:rsidR="00D315CF" w:rsidRDefault="00D315CF" w:rsidP="001A4D8F">
      <w:pPr>
        <w:spacing w:line="360" w:lineRule="auto"/>
        <w:rPr>
          <w:rFonts w:asciiTheme="minorHAnsi" w:hAnsiTheme="minorHAnsi" w:cstheme="minorHAnsi"/>
        </w:rPr>
      </w:pPr>
      <w:r>
        <w:rPr>
          <w:rFonts w:asciiTheme="minorHAnsi" w:hAnsiTheme="minorHAnsi" w:cstheme="minorHAnsi"/>
        </w:rPr>
        <w:t xml:space="preserve">On the other hand, a way we could measure non-financial performance is through customer satisfaction. By understanding how our customers perceive us and </w:t>
      </w:r>
      <w:r w:rsidR="00045503">
        <w:rPr>
          <w:rFonts w:asciiTheme="minorHAnsi" w:hAnsiTheme="minorHAnsi" w:cstheme="minorHAnsi"/>
        </w:rPr>
        <w:t xml:space="preserve">how fulfilled they are in terms of our service, we </w:t>
      </w:r>
      <w:r>
        <w:rPr>
          <w:rFonts w:asciiTheme="minorHAnsi" w:hAnsiTheme="minorHAnsi" w:cstheme="minorHAnsi"/>
        </w:rPr>
        <w:t xml:space="preserve">can better understand their future interactions with us </w:t>
      </w:r>
      <w:r w:rsidR="00045503">
        <w:rPr>
          <w:rFonts w:asciiTheme="minorHAnsi" w:hAnsiTheme="minorHAnsi" w:cstheme="minorHAnsi"/>
        </w:rPr>
        <w:t xml:space="preserve">and ensure we are customer-centric to retain their loyalty (Mittal et al, 2023). </w:t>
      </w:r>
      <w:r w:rsidR="000C0552">
        <w:rPr>
          <w:rFonts w:asciiTheme="minorHAnsi" w:hAnsiTheme="minorHAnsi" w:cstheme="minorHAnsi"/>
        </w:rPr>
        <w:t>We can also assess the satisfaction of our internal customers, our employees, through a variety of means such as surveys and focus groups to better understand the levels of employee motivation and engagement which are linked to job performance (CIPD, 2025</w:t>
      </w:r>
      <w:r w:rsidR="00D00A3D">
        <w:rPr>
          <w:rFonts w:asciiTheme="minorHAnsi" w:hAnsiTheme="minorHAnsi" w:cstheme="minorHAnsi"/>
        </w:rPr>
        <w:t>c</w:t>
      </w:r>
      <w:r w:rsidR="000C0552">
        <w:rPr>
          <w:rFonts w:asciiTheme="minorHAnsi" w:hAnsiTheme="minorHAnsi" w:cstheme="minorHAnsi"/>
        </w:rPr>
        <w:t xml:space="preserve">). </w:t>
      </w:r>
      <w:r w:rsidR="007E5E91">
        <w:rPr>
          <w:rFonts w:asciiTheme="minorHAnsi" w:hAnsiTheme="minorHAnsi" w:cstheme="minorHAnsi"/>
        </w:rPr>
        <w:t xml:space="preserve">Conversely, due to the qualitative nature of customer satisfaction, it is difficult to ascertain reliable statistics to predict future performance and the potential vagueness of the results </w:t>
      </w:r>
      <w:r w:rsidR="007E5E91">
        <w:rPr>
          <w:rFonts w:asciiTheme="minorHAnsi" w:hAnsiTheme="minorHAnsi" w:cstheme="minorHAnsi"/>
        </w:rPr>
        <w:lastRenderedPageBreak/>
        <w:t>can make them difficult to implement (</w:t>
      </w:r>
      <w:proofErr w:type="spellStart"/>
      <w:r w:rsidR="007E5E91">
        <w:rPr>
          <w:rFonts w:asciiTheme="minorHAnsi" w:hAnsiTheme="minorHAnsi" w:cstheme="minorHAnsi"/>
        </w:rPr>
        <w:t>Milost</w:t>
      </w:r>
      <w:proofErr w:type="spellEnd"/>
      <w:r w:rsidR="007E5E91">
        <w:rPr>
          <w:rFonts w:asciiTheme="minorHAnsi" w:hAnsiTheme="minorHAnsi" w:cstheme="minorHAnsi"/>
        </w:rPr>
        <w:t xml:space="preserve">, 2013; Birch-Jensen, 2015). </w:t>
      </w:r>
    </w:p>
    <w:p w14:paraId="4CE653EB" w14:textId="3B2E3B48" w:rsidR="004C3BBD" w:rsidRDefault="004C3BBD" w:rsidP="00FC7304">
      <w:pPr>
        <w:rPr>
          <w:rFonts w:asciiTheme="minorHAnsi" w:hAnsiTheme="minorHAnsi" w:cstheme="minorHAnsi"/>
        </w:rPr>
      </w:pPr>
    </w:p>
    <w:p w14:paraId="142F82CB" w14:textId="603D256E" w:rsidR="004C3BBD" w:rsidRPr="00C0226B" w:rsidRDefault="004C3BBD" w:rsidP="004C3BBD">
      <w:pPr>
        <w:pStyle w:val="BodyText"/>
        <w:ind w:left="426" w:right="283" w:hanging="426"/>
        <w:jc w:val="both"/>
        <w:rPr>
          <w:rFonts w:ascii="Trebuchet MS" w:hAnsi="Trebuchet MS"/>
        </w:rPr>
      </w:pPr>
      <w:r w:rsidRPr="00C0226B">
        <w:rPr>
          <w:rFonts w:ascii="Trebuchet MS" w:hAnsi="Trebuchet MS"/>
        </w:rPr>
        <w:t>AC 3.2</w:t>
      </w:r>
    </w:p>
    <w:p w14:paraId="77A51BFC" w14:textId="313C9648" w:rsidR="004C3BBD" w:rsidRDefault="004C3BBD" w:rsidP="00FC7304">
      <w:pPr>
        <w:rPr>
          <w:rFonts w:asciiTheme="minorHAnsi" w:hAnsiTheme="minorHAnsi" w:cstheme="minorHAnsi"/>
        </w:rPr>
      </w:pPr>
    </w:p>
    <w:p w14:paraId="7C5E1C86" w14:textId="6C35364F" w:rsidR="000E7A00" w:rsidRDefault="000E7A00" w:rsidP="001A4D8F">
      <w:pPr>
        <w:spacing w:line="360" w:lineRule="auto"/>
        <w:rPr>
          <w:rFonts w:asciiTheme="minorHAnsi" w:hAnsiTheme="minorHAnsi" w:cstheme="minorHAnsi"/>
        </w:rPr>
      </w:pPr>
      <w:r>
        <w:rPr>
          <w:rFonts w:asciiTheme="minorHAnsi" w:hAnsiTheme="minorHAnsi" w:cstheme="minorHAnsi"/>
        </w:rPr>
        <w:t>People practices have, in recent years, moved beyond the personnel administrative role of issuing contracts and processing salaries; there is now a need for organisations’ people team to adopt a holistic approach to their people practices, ensuring employees are ‘</w:t>
      </w:r>
      <w:r w:rsidR="00563642">
        <w:rPr>
          <w:rFonts w:asciiTheme="minorHAnsi" w:hAnsiTheme="minorHAnsi" w:cstheme="minorHAnsi"/>
        </w:rPr>
        <w:t xml:space="preserve">sourced and hired and engaged and </w:t>
      </w:r>
      <w:r>
        <w:rPr>
          <w:rFonts w:asciiTheme="minorHAnsi" w:hAnsiTheme="minorHAnsi" w:cstheme="minorHAnsi"/>
        </w:rPr>
        <w:t>developed and retained well’ (CIPD, 2022).</w:t>
      </w:r>
      <w:r w:rsidR="00BA035A">
        <w:rPr>
          <w:rFonts w:asciiTheme="minorHAnsi" w:hAnsiTheme="minorHAnsi" w:cstheme="minorHAnsi"/>
        </w:rPr>
        <w:t xml:space="preserve"> We as people practitioners can add value at </w:t>
      </w:r>
      <w:proofErr w:type="spellStart"/>
      <w:r w:rsidR="00BA035A">
        <w:rPr>
          <w:rFonts w:asciiTheme="minorHAnsi" w:hAnsiTheme="minorHAnsi" w:cstheme="minorHAnsi"/>
        </w:rPr>
        <w:t>Technivara</w:t>
      </w:r>
      <w:proofErr w:type="spellEnd"/>
      <w:r w:rsidR="00BA035A">
        <w:rPr>
          <w:rFonts w:asciiTheme="minorHAnsi" w:hAnsiTheme="minorHAnsi" w:cstheme="minorHAnsi"/>
        </w:rPr>
        <w:t xml:space="preserve"> in a multitude of ways from workforce planning to identify what our organisation needs in terms of labour to achieve our goals, </w:t>
      </w:r>
      <w:r w:rsidR="008B64F2">
        <w:rPr>
          <w:rFonts w:asciiTheme="minorHAnsi" w:hAnsiTheme="minorHAnsi" w:cstheme="minorHAnsi"/>
        </w:rPr>
        <w:t xml:space="preserve">fair and consistent recruitment and selection processes, support strong employee relations, ensure </w:t>
      </w:r>
      <w:proofErr w:type="spellStart"/>
      <w:r w:rsidR="008B64F2">
        <w:rPr>
          <w:rFonts w:asciiTheme="minorHAnsi" w:hAnsiTheme="minorHAnsi" w:cstheme="minorHAnsi"/>
        </w:rPr>
        <w:t>Technivara</w:t>
      </w:r>
      <w:proofErr w:type="spellEnd"/>
      <w:r w:rsidR="008B64F2">
        <w:rPr>
          <w:rFonts w:asciiTheme="minorHAnsi" w:hAnsiTheme="minorHAnsi" w:cstheme="minorHAnsi"/>
        </w:rPr>
        <w:t xml:space="preserve"> is compliant with legislation, enable employee voice and promote employee wellbeing (CIPD, 2025d; </w:t>
      </w:r>
      <w:proofErr w:type="spellStart"/>
      <w:r w:rsidR="008B64F2">
        <w:rPr>
          <w:rFonts w:asciiTheme="minorHAnsi" w:hAnsiTheme="minorHAnsi" w:cstheme="minorHAnsi"/>
        </w:rPr>
        <w:t>Paramagaru</w:t>
      </w:r>
      <w:proofErr w:type="spellEnd"/>
      <w:r w:rsidR="008B64F2">
        <w:rPr>
          <w:rFonts w:asciiTheme="minorHAnsi" w:hAnsiTheme="minorHAnsi" w:cstheme="minorHAnsi"/>
        </w:rPr>
        <w:t>, 2025).</w:t>
      </w:r>
    </w:p>
    <w:p w14:paraId="50715548" w14:textId="26E18A3E" w:rsidR="003334E2" w:rsidRDefault="003334E2" w:rsidP="001A4D8F">
      <w:pPr>
        <w:spacing w:line="360" w:lineRule="auto"/>
        <w:rPr>
          <w:rFonts w:asciiTheme="minorHAnsi" w:hAnsiTheme="minorHAnsi" w:cstheme="minorHAnsi"/>
        </w:rPr>
      </w:pPr>
    </w:p>
    <w:p w14:paraId="35813342" w14:textId="7143D31B" w:rsidR="003334E2" w:rsidRDefault="003334E2" w:rsidP="001A4D8F">
      <w:pPr>
        <w:spacing w:line="360" w:lineRule="auto"/>
        <w:rPr>
          <w:rFonts w:asciiTheme="minorHAnsi" w:hAnsiTheme="minorHAnsi" w:cstheme="minorHAnsi"/>
        </w:rPr>
      </w:pPr>
      <w:r>
        <w:rPr>
          <w:rFonts w:asciiTheme="minorHAnsi" w:hAnsiTheme="minorHAnsi" w:cstheme="minorHAnsi"/>
        </w:rPr>
        <w:t xml:space="preserve">Measuring the value of these practices can be captured in a variety of methods, two of which I have identified: </w:t>
      </w:r>
      <w:r w:rsidR="00D772FD">
        <w:rPr>
          <w:rFonts w:asciiTheme="minorHAnsi" w:hAnsiTheme="minorHAnsi" w:cstheme="minorHAnsi"/>
        </w:rPr>
        <w:t xml:space="preserve">cost-benefit analysis and </w:t>
      </w:r>
      <w:r w:rsidR="00A5726E">
        <w:rPr>
          <w:rFonts w:asciiTheme="minorHAnsi" w:hAnsiTheme="minorHAnsi" w:cstheme="minorHAnsi"/>
        </w:rPr>
        <w:t>employee surveys</w:t>
      </w:r>
      <w:r w:rsidR="008C2EFE">
        <w:rPr>
          <w:rFonts w:asciiTheme="minorHAnsi" w:hAnsiTheme="minorHAnsi" w:cstheme="minorHAnsi"/>
        </w:rPr>
        <w:t xml:space="preserve">. </w:t>
      </w:r>
      <w:r w:rsidR="0049687D">
        <w:rPr>
          <w:rFonts w:asciiTheme="minorHAnsi" w:hAnsiTheme="minorHAnsi" w:cstheme="minorHAnsi"/>
        </w:rPr>
        <w:t>A cost-benefit analysis (CBA) evaluates the effectiveness of a policy or process by measuring its financial cost and comparing whether the net benefits, monetary and non-monetary, positively outweigh its cost (</w:t>
      </w:r>
      <w:proofErr w:type="spellStart"/>
      <w:r w:rsidR="0049687D">
        <w:rPr>
          <w:rFonts w:asciiTheme="minorHAnsi" w:hAnsiTheme="minorHAnsi" w:cstheme="minorHAnsi"/>
        </w:rPr>
        <w:t>Boadway</w:t>
      </w:r>
      <w:proofErr w:type="spellEnd"/>
      <w:r w:rsidR="0049687D">
        <w:rPr>
          <w:rFonts w:asciiTheme="minorHAnsi" w:hAnsiTheme="minorHAnsi" w:cstheme="minorHAnsi"/>
        </w:rPr>
        <w:t xml:space="preserve">, 2016). We can use this method to demonstrate that any new practices we introduce that have some kind of cost attached is outweighed by the </w:t>
      </w:r>
      <w:r w:rsidR="009F30F9">
        <w:rPr>
          <w:rFonts w:asciiTheme="minorHAnsi" w:hAnsiTheme="minorHAnsi" w:cstheme="minorHAnsi"/>
        </w:rPr>
        <w:t xml:space="preserve">value of </w:t>
      </w:r>
      <w:r w:rsidR="0049687D">
        <w:rPr>
          <w:rFonts w:asciiTheme="minorHAnsi" w:hAnsiTheme="minorHAnsi" w:cstheme="minorHAnsi"/>
        </w:rPr>
        <w:t xml:space="preserve">benefits on employee wellbeing, development, engagement or morale, to name a few (Hossain, Purnima and </w:t>
      </w:r>
      <w:proofErr w:type="spellStart"/>
      <w:r w:rsidR="0049687D">
        <w:rPr>
          <w:rFonts w:asciiTheme="minorHAnsi" w:hAnsiTheme="minorHAnsi" w:cstheme="minorHAnsi"/>
        </w:rPr>
        <w:t>Sohana</w:t>
      </w:r>
      <w:proofErr w:type="spellEnd"/>
      <w:r w:rsidR="0049687D">
        <w:rPr>
          <w:rFonts w:asciiTheme="minorHAnsi" w:hAnsiTheme="minorHAnsi" w:cstheme="minorHAnsi"/>
        </w:rPr>
        <w:t xml:space="preserve">, 2025). </w:t>
      </w:r>
      <w:r w:rsidR="00B66979">
        <w:rPr>
          <w:rFonts w:asciiTheme="minorHAnsi" w:hAnsiTheme="minorHAnsi" w:cstheme="minorHAnsi"/>
        </w:rPr>
        <w:t xml:space="preserve">For example, we can measure the cost per hire in our recruitment process and compare this to the value of employee performance or productivity </w:t>
      </w:r>
      <w:r w:rsidR="00625A7C">
        <w:rPr>
          <w:rFonts w:asciiTheme="minorHAnsi" w:hAnsiTheme="minorHAnsi" w:cstheme="minorHAnsi"/>
        </w:rPr>
        <w:t>and its</w:t>
      </w:r>
      <w:r w:rsidR="00F463F0">
        <w:rPr>
          <w:rFonts w:asciiTheme="minorHAnsi" w:hAnsiTheme="minorHAnsi" w:cstheme="minorHAnsi"/>
        </w:rPr>
        <w:t xml:space="preserve"> beneficial</w:t>
      </w:r>
      <w:r w:rsidR="00625A7C">
        <w:rPr>
          <w:rFonts w:asciiTheme="minorHAnsi" w:hAnsiTheme="minorHAnsi" w:cstheme="minorHAnsi"/>
        </w:rPr>
        <w:t xml:space="preserve"> impact on our business outcomes (Cascio and Boudreau, 2011). </w:t>
      </w:r>
      <w:r w:rsidR="00B02FC1">
        <w:rPr>
          <w:rFonts w:asciiTheme="minorHAnsi" w:hAnsiTheme="minorHAnsi" w:cstheme="minorHAnsi"/>
        </w:rPr>
        <w:t xml:space="preserve">However, the </w:t>
      </w:r>
      <w:r w:rsidR="0022721E">
        <w:rPr>
          <w:rFonts w:asciiTheme="minorHAnsi" w:hAnsiTheme="minorHAnsi" w:cstheme="minorHAnsi"/>
        </w:rPr>
        <w:t>conversion</w:t>
      </w:r>
      <w:r w:rsidR="00B02FC1">
        <w:rPr>
          <w:rFonts w:asciiTheme="minorHAnsi" w:hAnsiTheme="minorHAnsi" w:cstheme="minorHAnsi"/>
        </w:rPr>
        <w:t xml:space="preserve"> of intangible benefits into monetary value is both difficult and inherently subjective; this leaves room for our analysis of impact to be potentially inaccurate or biased (</w:t>
      </w:r>
      <w:proofErr w:type="spellStart"/>
      <w:r w:rsidR="00B02FC1">
        <w:rPr>
          <w:rFonts w:asciiTheme="minorHAnsi" w:hAnsiTheme="minorHAnsi" w:cstheme="minorHAnsi"/>
        </w:rPr>
        <w:t>Flyvbjerg</w:t>
      </w:r>
      <w:proofErr w:type="spellEnd"/>
      <w:r w:rsidR="00B02FC1">
        <w:rPr>
          <w:rFonts w:asciiTheme="minorHAnsi" w:hAnsiTheme="minorHAnsi" w:cstheme="minorHAnsi"/>
        </w:rPr>
        <w:t xml:space="preserve"> and Bester, 2021). </w:t>
      </w:r>
    </w:p>
    <w:p w14:paraId="4503B7B5" w14:textId="591BD4E4" w:rsidR="00BA035A" w:rsidRDefault="00BA035A" w:rsidP="001A4D8F">
      <w:pPr>
        <w:spacing w:line="360" w:lineRule="auto"/>
        <w:rPr>
          <w:rFonts w:asciiTheme="minorHAnsi" w:hAnsiTheme="minorHAnsi" w:cstheme="minorHAnsi"/>
        </w:rPr>
      </w:pPr>
    </w:p>
    <w:p w14:paraId="6DD72583" w14:textId="24856966" w:rsidR="00A5726E" w:rsidRDefault="00895A85" w:rsidP="001A4D8F">
      <w:pPr>
        <w:spacing w:line="360" w:lineRule="auto"/>
        <w:rPr>
          <w:rFonts w:asciiTheme="minorHAnsi" w:hAnsiTheme="minorHAnsi" w:cstheme="minorHAnsi"/>
        </w:rPr>
      </w:pPr>
      <w:r>
        <w:rPr>
          <w:rFonts w:asciiTheme="minorHAnsi" w:hAnsiTheme="minorHAnsi" w:cstheme="minorHAnsi"/>
        </w:rPr>
        <w:t xml:space="preserve">The second method we could utilise is </w:t>
      </w:r>
      <w:r w:rsidR="00A5726E">
        <w:rPr>
          <w:rFonts w:asciiTheme="minorHAnsi" w:hAnsiTheme="minorHAnsi" w:cstheme="minorHAnsi"/>
        </w:rPr>
        <w:t xml:space="preserve">employee surveys </w:t>
      </w:r>
      <w:r w:rsidR="00F70129">
        <w:rPr>
          <w:rFonts w:asciiTheme="minorHAnsi" w:hAnsiTheme="minorHAnsi" w:cstheme="minorHAnsi"/>
        </w:rPr>
        <w:t xml:space="preserve">as a tool for employees to use their voice to inform us of effective people practices and interventions (Albrecht et al, 2015). By seeking our employees’ perceptions of our people practices, we can understand whether they are being implemented effectively and if they are impacting outcomes such as employee engagement, motivation </w:t>
      </w:r>
      <w:r w:rsidR="000834AD">
        <w:rPr>
          <w:rFonts w:asciiTheme="minorHAnsi" w:hAnsiTheme="minorHAnsi" w:cstheme="minorHAnsi"/>
        </w:rPr>
        <w:t>and</w:t>
      </w:r>
      <w:r w:rsidR="00F70129">
        <w:rPr>
          <w:rFonts w:asciiTheme="minorHAnsi" w:hAnsiTheme="minorHAnsi" w:cstheme="minorHAnsi"/>
        </w:rPr>
        <w:t xml:space="preserve"> performance (Carter et al, 2011; </w:t>
      </w:r>
      <w:proofErr w:type="spellStart"/>
      <w:r w:rsidR="00F70129">
        <w:rPr>
          <w:rFonts w:asciiTheme="minorHAnsi" w:hAnsiTheme="minorHAnsi" w:cstheme="minorHAnsi"/>
        </w:rPr>
        <w:t>Stirpe</w:t>
      </w:r>
      <w:proofErr w:type="spellEnd"/>
      <w:r w:rsidR="00F70129">
        <w:rPr>
          <w:rFonts w:asciiTheme="minorHAnsi" w:hAnsiTheme="minorHAnsi" w:cstheme="minorHAnsi"/>
        </w:rPr>
        <w:t xml:space="preserve">, </w:t>
      </w:r>
      <w:proofErr w:type="spellStart"/>
      <w:r w:rsidR="00F70129">
        <w:rPr>
          <w:rFonts w:asciiTheme="minorHAnsi" w:hAnsiTheme="minorHAnsi" w:cstheme="minorHAnsi"/>
        </w:rPr>
        <w:t>Profili</w:t>
      </w:r>
      <w:proofErr w:type="spellEnd"/>
      <w:r w:rsidR="00F70129">
        <w:rPr>
          <w:rFonts w:asciiTheme="minorHAnsi" w:hAnsiTheme="minorHAnsi" w:cstheme="minorHAnsi"/>
        </w:rPr>
        <w:t xml:space="preserve"> and </w:t>
      </w:r>
      <w:proofErr w:type="spellStart"/>
      <w:r w:rsidR="00F70129">
        <w:rPr>
          <w:rFonts w:asciiTheme="minorHAnsi" w:hAnsiTheme="minorHAnsi" w:cstheme="minorHAnsi"/>
        </w:rPr>
        <w:t>Sammarra</w:t>
      </w:r>
      <w:proofErr w:type="spellEnd"/>
      <w:r w:rsidR="00F70129">
        <w:rPr>
          <w:rFonts w:asciiTheme="minorHAnsi" w:hAnsiTheme="minorHAnsi" w:cstheme="minorHAnsi"/>
        </w:rPr>
        <w:t xml:space="preserve">, 2022). </w:t>
      </w:r>
      <w:r w:rsidR="00E65EA9">
        <w:rPr>
          <w:rFonts w:asciiTheme="minorHAnsi" w:hAnsiTheme="minorHAnsi" w:cstheme="minorHAnsi"/>
        </w:rPr>
        <w:t xml:space="preserve">We can ascertain whether our practices are aligned with </w:t>
      </w:r>
      <w:proofErr w:type="spellStart"/>
      <w:r w:rsidR="00E65EA9">
        <w:rPr>
          <w:rFonts w:asciiTheme="minorHAnsi" w:hAnsiTheme="minorHAnsi" w:cstheme="minorHAnsi"/>
        </w:rPr>
        <w:t>Technivara’s</w:t>
      </w:r>
      <w:proofErr w:type="spellEnd"/>
      <w:r w:rsidR="00E65EA9">
        <w:rPr>
          <w:rFonts w:asciiTheme="minorHAnsi" w:hAnsiTheme="minorHAnsi" w:cstheme="minorHAnsi"/>
        </w:rPr>
        <w:t xml:space="preserve"> organisational strategy and if they are helping or hindering the organisation in its expansion such as employee satisfaction with </w:t>
      </w:r>
      <w:proofErr w:type="spellStart"/>
      <w:r w:rsidR="00E65EA9">
        <w:rPr>
          <w:rFonts w:asciiTheme="minorHAnsi" w:hAnsiTheme="minorHAnsi" w:cstheme="minorHAnsi"/>
        </w:rPr>
        <w:t>Technivara’s</w:t>
      </w:r>
      <w:proofErr w:type="spellEnd"/>
      <w:r w:rsidR="00E65EA9">
        <w:rPr>
          <w:rFonts w:asciiTheme="minorHAnsi" w:hAnsiTheme="minorHAnsi" w:cstheme="minorHAnsi"/>
        </w:rPr>
        <w:t xml:space="preserve"> current leadership style or their perception of current policies (Wiley, 2010; Boxall and Purcell, 2016). </w:t>
      </w:r>
      <w:r w:rsidR="00CE3952">
        <w:rPr>
          <w:rFonts w:asciiTheme="minorHAnsi" w:hAnsiTheme="minorHAnsi" w:cstheme="minorHAnsi"/>
        </w:rPr>
        <w:t>Conversely, w</w:t>
      </w:r>
      <w:r w:rsidR="00152FB2">
        <w:rPr>
          <w:rFonts w:asciiTheme="minorHAnsi" w:hAnsiTheme="minorHAnsi" w:cstheme="minorHAnsi"/>
        </w:rPr>
        <w:t xml:space="preserve">e will need to consider the possibility of low response rates in surveys </w:t>
      </w:r>
      <w:r w:rsidR="00CE3952">
        <w:rPr>
          <w:rFonts w:asciiTheme="minorHAnsi" w:hAnsiTheme="minorHAnsi" w:cstheme="minorHAnsi"/>
        </w:rPr>
        <w:t xml:space="preserve">from possible employee disengagement </w:t>
      </w:r>
      <w:r w:rsidR="00152FB2">
        <w:rPr>
          <w:rFonts w:asciiTheme="minorHAnsi" w:hAnsiTheme="minorHAnsi" w:cstheme="minorHAnsi"/>
        </w:rPr>
        <w:t xml:space="preserve">which could undermine confidence in our processes and </w:t>
      </w:r>
      <w:r w:rsidR="00152FB2">
        <w:rPr>
          <w:rFonts w:asciiTheme="minorHAnsi" w:hAnsiTheme="minorHAnsi" w:cstheme="minorHAnsi"/>
        </w:rPr>
        <w:lastRenderedPageBreak/>
        <w:t xml:space="preserve">provide incomplete data that is not an accurate reflection of impact (Baruch and </w:t>
      </w:r>
      <w:proofErr w:type="spellStart"/>
      <w:r w:rsidR="00152FB2">
        <w:rPr>
          <w:rFonts w:asciiTheme="minorHAnsi" w:hAnsiTheme="minorHAnsi" w:cstheme="minorHAnsi"/>
        </w:rPr>
        <w:t>Holtom</w:t>
      </w:r>
      <w:proofErr w:type="spellEnd"/>
      <w:r w:rsidR="00152FB2">
        <w:rPr>
          <w:rFonts w:asciiTheme="minorHAnsi" w:hAnsiTheme="minorHAnsi" w:cstheme="minorHAnsi"/>
        </w:rPr>
        <w:t xml:space="preserve">, 2008; </w:t>
      </w:r>
      <w:proofErr w:type="spellStart"/>
      <w:r w:rsidR="00152FB2">
        <w:rPr>
          <w:rFonts w:asciiTheme="minorHAnsi" w:hAnsiTheme="minorHAnsi" w:cstheme="minorHAnsi"/>
        </w:rPr>
        <w:t>Anseel</w:t>
      </w:r>
      <w:proofErr w:type="spellEnd"/>
      <w:r w:rsidR="00152FB2">
        <w:rPr>
          <w:rFonts w:asciiTheme="minorHAnsi" w:hAnsiTheme="minorHAnsi" w:cstheme="minorHAnsi"/>
        </w:rPr>
        <w:t xml:space="preserve"> et al, 2010). </w:t>
      </w:r>
    </w:p>
    <w:p w14:paraId="40B7AA96" w14:textId="48C0E64B" w:rsidR="00BA035A" w:rsidRDefault="00BA035A" w:rsidP="00FC7304">
      <w:pPr>
        <w:rPr>
          <w:rFonts w:asciiTheme="minorHAnsi" w:hAnsiTheme="minorHAnsi" w:cstheme="minorHAnsi"/>
        </w:rPr>
      </w:pPr>
    </w:p>
    <w:p w14:paraId="2B4FAF34" w14:textId="24784FA1" w:rsidR="00127552" w:rsidRDefault="00127552" w:rsidP="00FC7304">
      <w:pPr>
        <w:rPr>
          <w:rFonts w:asciiTheme="minorHAnsi" w:hAnsiTheme="minorHAnsi" w:cstheme="minorHAnsi"/>
        </w:rPr>
      </w:pPr>
      <w:r>
        <w:rPr>
          <w:rFonts w:asciiTheme="minorHAnsi" w:hAnsiTheme="minorHAnsi" w:cstheme="minorHAnsi"/>
        </w:rPr>
        <w:t>Word count = 2,924</w:t>
      </w:r>
    </w:p>
    <w:p w14:paraId="33C969EC" w14:textId="73C14A49" w:rsidR="0078750B" w:rsidRDefault="0078750B" w:rsidP="00FC7304">
      <w:pPr>
        <w:rPr>
          <w:rFonts w:asciiTheme="minorHAnsi" w:hAnsiTheme="minorHAnsi" w:cstheme="minorHAnsi"/>
        </w:rPr>
      </w:pPr>
    </w:p>
    <w:p w14:paraId="5670E61A" w14:textId="77777777" w:rsidR="00127552" w:rsidRDefault="00127552" w:rsidP="00FC7304">
      <w:pPr>
        <w:rPr>
          <w:rFonts w:ascii="Trebuchet MS" w:hAnsi="Trebuchet MS" w:cstheme="minorHAnsi"/>
        </w:rPr>
      </w:pPr>
    </w:p>
    <w:p w14:paraId="594BD57E" w14:textId="369392BB" w:rsidR="0078750B" w:rsidRPr="00415588" w:rsidRDefault="0078750B" w:rsidP="00FC7304">
      <w:pPr>
        <w:rPr>
          <w:rFonts w:ascii="Trebuchet MS" w:hAnsi="Trebuchet MS" w:cstheme="minorHAnsi"/>
        </w:rPr>
      </w:pPr>
      <w:r w:rsidRPr="00415588">
        <w:rPr>
          <w:rFonts w:ascii="Trebuchet MS" w:hAnsi="Trebuchet MS" w:cstheme="minorHAnsi"/>
        </w:rPr>
        <w:t>AC 2.1</w:t>
      </w:r>
    </w:p>
    <w:p w14:paraId="7D0630F0" w14:textId="380A7198" w:rsidR="0078750B" w:rsidRDefault="0078750B" w:rsidP="00FC7304">
      <w:pPr>
        <w:rPr>
          <w:rFonts w:asciiTheme="minorHAnsi" w:hAnsiTheme="minorHAnsi" w:cstheme="minorHAnsi"/>
        </w:rPr>
      </w:pPr>
    </w:p>
    <w:p w14:paraId="0BA0D817" w14:textId="4F18011B" w:rsidR="002557C2" w:rsidRDefault="002F0BF9" w:rsidP="00FC7304">
      <w:pPr>
        <w:rPr>
          <w:rFonts w:asciiTheme="minorHAnsi" w:hAnsiTheme="minorHAnsi" w:cstheme="minorHAnsi"/>
        </w:rPr>
      </w:pPr>
      <w:r>
        <w:rPr>
          <w:rFonts w:asciiTheme="minorHAnsi" w:hAnsiTheme="minorHAnsi" w:cstheme="minorHAnsi"/>
        </w:rPr>
        <w:object w:dxaOrig="1520" w:dyaOrig="985" w14:anchorId="239B73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5" o:title=""/>
          </v:shape>
          <o:OLEObject Type="Embed" ProgID="Excel.Sheet.12" ShapeID="_x0000_i1027" DrawAspect="Icon" ObjectID="_1830847673" r:id="rId6"/>
        </w:object>
      </w:r>
    </w:p>
    <w:p w14:paraId="5E04C927" w14:textId="77777777" w:rsidR="002557C2" w:rsidRDefault="002557C2" w:rsidP="00FC7304">
      <w:pPr>
        <w:rPr>
          <w:rFonts w:asciiTheme="minorHAnsi" w:hAnsiTheme="minorHAnsi" w:cstheme="minorHAnsi"/>
        </w:rPr>
      </w:pPr>
    </w:p>
    <w:p w14:paraId="0BAC33E6" w14:textId="77777777" w:rsidR="002557C2" w:rsidRDefault="002557C2" w:rsidP="00FC7304">
      <w:pPr>
        <w:rPr>
          <w:rFonts w:asciiTheme="minorHAnsi" w:hAnsiTheme="minorHAnsi" w:cstheme="minorHAnsi"/>
        </w:rPr>
      </w:pPr>
    </w:p>
    <w:p w14:paraId="537C3971" w14:textId="77777777" w:rsidR="002557C2" w:rsidRDefault="002557C2" w:rsidP="00FC7304">
      <w:pPr>
        <w:rPr>
          <w:rFonts w:asciiTheme="minorHAnsi" w:hAnsiTheme="minorHAnsi" w:cstheme="minorHAnsi"/>
        </w:rPr>
      </w:pPr>
    </w:p>
    <w:p w14:paraId="2A5FA4BA" w14:textId="77777777" w:rsidR="002557C2" w:rsidRDefault="002557C2" w:rsidP="00FC7304">
      <w:pPr>
        <w:rPr>
          <w:rFonts w:asciiTheme="minorHAnsi" w:hAnsiTheme="minorHAnsi" w:cstheme="minorHAnsi"/>
        </w:rPr>
      </w:pPr>
    </w:p>
    <w:p w14:paraId="3DC3B245" w14:textId="1107EC8C" w:rsidR="002557C2" w:rsidRPr="00415588" w:rsidRDefault="00415588" w:rsidP="00FC7304">
      <w:pPr>
        <w:rPr>
          <w:rFonts w:ascii="Trebuchet MS" w:hAnsi="Trebuchet MS" w:cstheme="minorHAnsi"/>
        </w:rPr>
      </w:pPr>
      <w:r w:rsidRPr="00415588">
        <w:rPr>
          <w:rFonts w:ascii="Trebuchet MS" w:hAnsi="Trebuchet MS" w:cstheme="minorHAnsi"/>
        </w:rPr>
        <w:t>AC 2.2</w:t>
      </w:r>
    </w:p>
    <w:p w14:paraId="2B458286" w14:textId="77777777" w:rsidR="002557C2" w:rsidRDefault="002557C2" w:rsidP="00FC7304">
      <w:pPr>
        <w:rPr>
          <w:rFonts w:asciiTheme="minorHAnsi" w:hAnsiTheme="minorHAnsi" w:cstheme="minorHAnsi"/>
        </w:rPr>
      </w:pPr>
    </w:p>
    <w:p w14:paraId="02F1F7DC" w14:textId="4A692DCD" w:rsidR="002557C2" w:rsidRDefault="002557C2" w:rsidP="00FC7304">
      <w:pPr>
        <w:rPr>
          <w:rFonts w:asciiTheme="minorHAnsi" w:hAnsiTheme="minorHAnsi" w:cstheme="minorHAnsi"/>
        </w:rPr>
      </w:pPr>
    </w:p>
    <w:p w14:paraId="7FC41935" w14:textId="09710E83" w:rsidR="002557C2" w:rsidRDefault="002557C2" w:rsidP="00FC7304">
      <w:pPr>
        <w:rPr>
          <w:rFonts w:asciiTheme="minorHAnsi" w:hAnsiTheme="minorHAnsi" w:cstheme="minorHAnsi"/>
        </w:rPr>
      </w:pPr>
      <w:r>
        <w:rPr>
          <w:rFonts w:asciiTheme="minorHAnsi" w:hAnsiTheme="minorHAnsi" w:cstheme="minorHAnsi"/>
          <w:noProof/>
        </w:rPr>
        <w:drawing>
          <wp:anchor distT="0" distB="0" distL="114300" distR="114300" simplePos="0" relativeHeight="251658240" behindDoc="1" locked="0" layoutInCell="1" allowOverlap="1" wp14:anchorId="48908BF2" wp14:editId="2D542043">
            <wp:simplePos x="0" y="0"/>
            <wp:positionH relativeFrom="column">
              <wp:posOffset>23097</wp:posOffset>
            </wp:positionH>
            <wp:positionV relativeFrom="paragraph">
              <wp:posOffset>485</wp:posOffset>
            </wp:positionV>
            <wp:extent cx="5486400" cy="3200400"/>
            <wp:effectExtent l="0" t="0" r="0" b="0"/>
            <wp:wrapTight wrapText="bothSides">
              <wp:wrapPolygon edited="0">
                <wp:start x="0" y="0"/>
                <wp:lineTo x="0" y="21471"/>
                <wp:lineTo x="21525" y="21471"/>
                <wp:lineTo x="2152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4A2EFC39" w14:textId="514664B2" w:rsidR="002557C2" w:rsidRDefault="00CC40C9" w:rsidP="00FC7304">
      <w:pPr>
        <w:rPr>
          <w:rFonts w:asciiTheme="minorHAnsi" w:hAnsiTheme="minorHAnsi" w:cstheme="minorHAnsi"/>
        </w:rPr>
      </w:pPr>
      <w:r>
        <w:rPr>
          <w:rFonts w:asciiTheme="minorHAnsi" w:hAnsiTheme="minorHAnsi" w:cstheme="minorHAnsi"/>
          <w:noProof/>
        </w:rPr>
        <w:lastRenderedPageBreak/>
        <w:drawing>
          <wp:anchor distT="0" distB="0" distL="114300" distR="114300" simplePos="0" relativeHeight="251660288" behindDoc="1" locked="0" layoutInCell="1" allowOverlap="1" wp14:anchorId="4EC189ED" wp14:editId="3A7D1619">
            <wp:simplePos x="0" y="0"/>
            <wp:positionH relativeFrom="column">
              <wp:posOffset>15498</wp:posOffset>
            </wp:positionH>
            <wp:positionV relativeFrom="paragraph">
              <wp:posOffset>293510</wp:posOffset>
            </wp:positionV>
            <wp:extent cx="5486400" cy="3200400"/>
            <wp:effectExtent l="0" t="0" r="0" b="0"/>
            <wp:wrapTight wrapText="bothSides">
              <wp:wrapPolygon edited="0">
                <wp:start x="0" y="0"/>
                <wp:lineTo x="0" y="21471"/>
                <wp:lineTo x="21525" y="21471"/>
                <wp:lineTo x="21525"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7B003821" w14:textId="5742F843" w:rsidR="0007446A" w:rsidRDefault="0007446A" w:rsidP="00FC7304">
      <w:pPr>
        <w:rPr>
          <w:rFonts w:asciiTheme="minorHAnsi" w:hAnsiTheme="minorHAnsi" w:cstheme="minorHAnsi"/>
        </w:rPr>
      </w:pPr>
    </w:p>
    <w:p w14:paraId="20B9A80C" w14:textId="6FA6E2CD" w:rsidR="0007446A" w:rsidRDefault="0007446A" w:rsidP="00FC7304">
      <w:pPr>
        <w:rPr>
          <w:rFonts w:asciiTheme="minorHAnsi" w:hAnsiTheme="minorHAnsi" w:cstheme="minorHAnsi"/>
        </w:rPr>
      </w:pPr>
      <w:r>
        <w:rPr>
          <w:rFonts w:asciiTheme="minorHAnsi" w:hAnsiTheme="minorHAnsi" w:cstheme="minorHAnsi"/>
          <w:noProof/>
        </w:rPr>
        <w:drawing>
          <wp:anchor distT="0" distB="0" distL="114300" distR="114300" simplePos="0" relativeHeight="251659264" behindDoc="1" locked="0" layoutInCell="1" allowOverlap="1" wp14:anchorId="7057D25F" wp14:editId="3D6667F5">
            <wp:simplePos x="0" y="0"/>
            <wp:positionH relativeFrom="column">
              <wp:posOffset>-464950</wp:posOffset>
            </wp:positionH>
            <wp:positionV relativeFrom="paragraph">
              <wp:posOffset>301</wp:posOffset>
            </wp:positionV>
            <wp:extent cx="6416105" cy="3479369"/>
            <wp:effectExtent l="0" t="0" r="3810" b="6985"/>
            <wp:wrapTight wrapText="bothSides">
              <wp:wrapPolygon edited="0">
                <wp:start x="0" y="0"/>
                <wp:lineTo x="0" y="21525"/>
                <wp:lineTo x="21549" y="21525"/>
                <wp:lineTo x="21549"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36565205" w14:textId="443848F0" w:rsidR="0007446A" w:rsidRDefault="0007446A" w:rsidP="00FC7304">
      <w:pPr>
        <w:rPr>
          <w:rFonts w:asciiTheme="minorHAnsi" w:hAnsiTheme="minorHAnsi" w:cstheme="minorHAnsi"/>
        </w:rPr>
      </w:pPr>
    </w:p>
    <w:p w14:paraId="3E5302B1" w14:textId="119B2289" w:rsidR="00127552" w:rsidRDefault="00127552" w:rsidP="00FC7304">
      <w:pPr>
        <w:rPr>
          <w:rFonts w:asciiTheme="minorHAnsi" w:hAnsiTheme="minorHAnsi" w:cstheme="minorHAnsi"/>
        </w:rPr>
      </w:pPr>
    </w:p>
    <w:p w14:paraId="07889A45" w14:textId="1E92FAE5" w:rsidR="00127552" w:rsidRDefault="00127552" w:rsidP="00FC7304">
      <w:pPr>
        <w:rPr>
          <w:rFonts w:asciiTheme="minorHAnsi" w:hAnsiTheme="minorHAnsi" w:cstheme="minorHAnsi"/>
        </w:rPr>
      </w:pPr>
    </w:p>
    <w:p w14:paraId="07AFF504" w14:textId="04575B6C" w:rsidR="00127552" w:rsidRDefault="00127552" w:rsidP="00FC7304">
      <w:pPr>
        <w:rPr>
          <w:rFonts w:asciiTheme="minorHAnsi" w:hAnsiTheme="minorHAnsi" w:cstheme="minorHAnsi"/>
        </w:rPr>
      </w:pPr>
    </w:p>
    <w:p w14:paraId="265ADDDB" w14:textId="06FDE710" w:rsidR="00127552" w:rsidRDefault="00127552" w:rsidP="00FC7304">
      <w:pPr>
        <w:rPr>
          <w:rFonts w:asciiTheme="minorHAnsi" w:hAnsiTheme="minorHAnsi" w:cstheme="minorHAnsi"/>
        </w:rPr>
      </w:pPr>
    </w:p>
    <w:p w14:paraId="559615BF" w14:textId="79CD1E6B" w:rsidR="00127552" w:rsidRDefault="00127552" w:rsidP="00FC7304">
      <w:pPr>
        <w:rPr>
          <w:rFonts w:asciiTheme="minorHAnsi" w:hAnsiTheme="minorHAnsi" w:cstheme="minorHAnsi"/>
        </w:rPr>
      </w:pPr>
    </w:p>
    <w:p w14:paraId="4D14ED80" w14:textId="36E82071" w:rsidR="00127552" w:rsidRDefault="00127552" w:rsidP="00FC7304">
      <w:pPr>
        <w:rPr>
          <w:rFonts w:asciiTheme="minorHAnsi" w:hAnsiTheme="minorHAnsi" w:cstheme="minorHAnsi"/>
        </w:rPr>
      </w:pPr>
    </w:p>
    <w:p w14:paraId="023159D5" w14:textId="77777777" w:rsidR="00127552" w:rsidRDefault="00127552" w:rsidP="00FC7304">
      <w:pPr>
        <w:rPr>
          <w:rFonts w:asciiTheme="minorHAnsi" w:hAnsiTheme="minorHAnsi" w:cstheme="minorHAnsi"/>
        </w:rPr>
      </w:pPr>
    </w:p>
    <w:p w14:paraId="74433F79" w14:textId="50DF7B28" w:rsidR="003D2E76" w:rsidRPr="00C0226B" w:rsidRDefault="003D2E76" w:rsidP="003D2E76">
      <w:pPr>
        <w:contextualSpacing/>
        <w:jc w:val="both"/>
        <w:rPr>
          <w:rFonts w:ascii="Trebuchet MS" w:hAnsi="Trebuchet MS"/>
        </w:rPr>
      </w:pPr>
      <w:r w:rsidRPr="00C0226B">
        <w:rPr>
          <w:rFonts w:ascii="Trebuchet MS" w:hAnsi="Trebuchet MS"/>
        </w:rPr>
        <w:t>AC 2.3</w:t>
      </w:r>
    </w:p>
    <w:p w14:paraId="759EDDEF" w14:textId="142F86C6" w:rsidR="004B1E3C" w:rsidRDefault="004B1E3C" w:rsidP="00FC7304">
      <w:pPr>
        <w:rPr>
          <w:rFonts w:asciiTheme="minorHAnsi" w:hAnsiTheme="minorHAnsi" w:cstheme="minorHAnsi"/>
          <w:noProof/>
        </w:rPr>
      </w:pPr>
    </w:p>
    <w:p w14:paraId="7E522168" w14:textId="2297798E" w:rsidR="00A51E4F" w:rsidRDefault="00A51E4F" w:rsidP="001A4D8F">
      <w:pPr>
        <w:spacing w:line="360" w:lineRule="auto"/>
        <w:rPr>
          <w:rFonts w:asciiTheme="minorHAnsi" w:hAnsiTheme="minorHAnsi" w:cstheme="minorHAnsi"/>
          <w:noProof/>
        </w:rPr>
      </w:pPr>
      <w:r>
        <w:rPr>
          <w:rFonts w:asciiTheme="minorHAnsi" w:hAnsiTheme="minorHAnsi" w:cstheme="minorHAnsi"/>
          <w:noProof/>
        </w:rPr>
        <w:t xml:space="preserve">Following our recent learning and development (L&amp;D) employee feedback, I have evaluated the  data and considered several recommendations for future L&amp;D activities. </w:t>
      </w:r>
      <w:r w:rsidR="00F965D2">
        <w:rPr>
          <w:rFonts w:asciiTheme="minorHAnsi" w:hAnsiTheme="minorHAnsi" w:cstheme="minorHAnsi"/>
          <w:noProof/>
        </w:rPr>
        <w:t>Evaluating employees’ perceptions of our L&amp;D activities gives us vital insights into whether our training is effective and having an emperical impact on organisational performane and outcomes (</w:t>
      </w:r>
      <w:r w:rsidR="0071116B">
        <w:rPr>
          <w:rFonts w:asciiTheme="minorHAnsi" w:hAnsiTheme="minorHAnsi" w:cstheme="minorHAnsi"/>
          <w:noProof/>
        </w:rPr>
        <w:t xml:space="preserve">Santos and </w:t>
      </w:r>
      <w:r w:rsidR="00F965D2">
        <w:rPr>
          <w:rFonts w:asciiTheme="minorHAnsi" w:hAnsiTheme="minorHAnsi" w:cstheme="minorHAnsi"/>
          <w:noProof/>
        </w:rPr>
        <w:t>Stuart, 2003; Arulsamy et al, 2023).</w:t>
      </w:r>
      <w:r w:rsidR="00B8608A">
        <w:rPr>
          <w:rFonts w:asciiTheme="minorHAnsi" w:hAnsiTheme="minorHAnsi" w:cstheme="minorHAnsi"/>
          <w:noProof/>
        </w:rPr>
        <w:t xml:space="preserve"> If we are going to financially invest a substantial amount into training ready for our expansion, it is imperative that we measure the effectiveness of our L&amp;D activities to ensure they are both meaningful and profitable (Ahmetaj, 2025).</w:t>
      </w:r>
    </w:p>
    <w:p w14:paraId="0973B822" w14:textId="376BA926" w:rsidR="00434101" w:rsidRDefault="00434101" w:rsidP="001A4D8F">
      <w:pPr>
        <w:spacing w:line="360" w:lineRule="auto"/>
        <w:rPr>
          <w:rFonts w:asciiTheme="minorHAnsi" w:hAnsiTheme="minorHAnsi" w:cstheme="minorHAnsi"/>
          <w:noProof/>
        </w:rPr>
      </w:pPr>
    </w:p>
    <w:p w14:paraId="3844E482" w14:textId="371BDA03" w:rsidR="00434101" w:rsidRDefault="003514C1" w:rsidP="001A4D8F">
      <w:pPr>
        <w:spacing w:line="360" w:lineRule="auto"/>
        <w:rPr>
          <w:rFonts w:asciiTheme="minorHAnsi" w:hAnsiTheme="minorHAnsi" w:cstheme="minorHAnsi"/>
          <w:noProof/>
        </w:rPr>
      </w:pPr>
      <w:r>
        <w:rPr>
          <w:rFonts w:asciiTheme="minorHAnsi" w:hAnsiTheme="minorHAnsi" w:cstheme="minorHAnsi"/>
          <w:noProof/>
        </w:rPr>
        <w:t xml:space="preserve">Although over 90% of staff agreed that the facilitator provided clear set objectives, </w:t>
      </w:r>
      <w:r w:rsidR="00434101">
        <w:rPr>
          <w:rFonts w:asciiTheme="minorHAnsi" w:hAnsiTheme="minorHAnsi" w:cstheme="minorHAnsi"/>
          <w:noProof/>
        </w:rPr>
        <w:t xml:space="preserve">42% of employees disagreed and 35% strongly disagreed that at the end of the session, the set learning outcomes were achieved. This is an issue as employee confidence and belief in L&amp;D activities is vital for engagement </w:t>
      </w:r>
      <w:r w:rsidR="00417C2F">
        <w:rPr>
          <w:rFonts w:asciiTheme="minorHAnsi" w:hAnsiTheme="minorHAnsi" w:cstheme="minorHAnsi"/>
          <w:noProof/>
        </w:rPr>
        <w:t xml:space="preserve">and ensuring employees see validity and applicability in what they are learning (Knowles et al, 2020). </w:t>
      </w:r>
      <w:r w:rsidR="00650F73">
        <w:rPr>
          <w:rFonts w:asciiTheme="minorHAnsi" w:hAnsiTheme="minorHAnsi" w:cstheme="minorHAnsi"/>
          <w:noProof/>
        </w:rPr>
        <w:t>Furthermore, if our learning outcomes are not clear or measurable, then our L&amp;D delivery is not evidence-based and it will be difficult to evaluate the impact of our L&amp;D initiatives (Hayden, 2025</w:t>
      </w:r>
      <w:r w:rsidR="00D738C1">
        <w:rPr>
          <w:rFonts w:asciiTheme="minorHAnsi" w:hAnsiTheme="minorHAnsi" w:cstheme="minorHAnsi"/>
          <w:noProof/>
        </w:rPr>
        <w:t>a</w:t>
      </w:r>
      <w:r w:rsidR="00650F73">
        <w:rPr>
          <w:rFonts w:asciiTheme="minorHAnsi" w:hAnsiTheme="minorHAnsi" w:cstheme="minorHAnsi"/>
          <w:noProof/>
        </w:rPr>
        <w:t xml:space="preserve">). </w:t>
      </w:r>
      <w:r w:rsidR="003F0F85">
        <w:rPr>
          <w:rFonts w:asciiTheme="minorHAnsi" w:hAnsiTheme="minorHAnsi" w:cstheme="minorHAnsi"/>
          <w:noProof/>
        </w:rPr>
        <w:t xml:space="preserve">When planning our next set of training activities, I </w:t>
      </w:r>
      <w:r w:rsidR="00BB77F0">
        <w:rPr>
          <w:rFonts w:asciiTheme="minorHAnsi" w:hAnsiTheme="minorHAnsi" w:cstheme="minorHAnsi"/>
          <w:noProof/>
        </w:rPr>
        <w:t>recommend</w:t>
      </w:r>
      <w:r w:rsidR="003F0F85">
        <w:rPr>
          <w:rFonts w:asciiTheme="minorHAnsi" w:hAnsiTheme="minorHAnsi" w:cstheme="minorHAnsi"/>
          <w:noProof/>
        </w:rPr>
        <w:t xml:space="preserve"> utilising the constructive alignment approach, directly linking our activities and assessments to the intended learning outcomes (Biggs and Tang, 2011). </w:t>
      </w:r>
      <w:r w:rsidR="00BB77F0">
        <w:rPr>
          <w:rFonts w:asciiTheme="minorHAnsi" w:hAnsiTheme="minorHAnsi" w:cstheme="minorHAnsi"/>
          <w:noProof/>
        </w:rPr>
        <w:t>By providing clear, specified goals, a well designed learning activity and assessment criteria that links both, our employees will be able to create connections between the content they are learning and the outcomes they are aiming to achieve (Biggs and Tang, 2011).</w:t>
      </w:r>
      <w:r w:rsidR="00113080">
        <w:rPr>
          <w:rFonts w:asciiTheme="minorHAnsi" w:hAnsiTheme="minorHAnsi" w:cstheme="minorHAnsi"/>
          <w:noProof/>
        </w:rPr>
        <w:t xml:space="preserve"> </w:t>
      </w:r>
      <w:r w:rsidR="001E62DA">
        <w:rPr>
          <w:rFonts w:asciiTheme="minorHAnsi" w:hAnsiTheme="minorHAnsi" w:cstheme="minorHAnsi"/>
          <w:noProof/>
        </w:rPr>
        <w:t xml:space="preserve">Over half of the employees were not sure if </w:t>
      </w:r>
      <w:r w:rsidR="00986293">
        <w:rPr>
          <w:rFonts w:asciiTheme="minorHAnsi" w:hAnsiTheme="minorHAnsi" w:cstheme="minorHAnsi"/>
          <w:noProof/>
        </w:rPr>
        <w:t>they were able to employ the knowledge, skills and behaviours learnt from the training activity into their role</w:t>
      </w:r>
      <w:r w:rsidR="001E62DA">
        <w:rPr>
          <w:rFonts w:asciiTheme="minorHAnsi" w:hAnsiTheme="minorHAnsi" w:cstheme="minorHAnsi"/>
          <w:noProof/>
        </w:rPr>
        <w:t xml:space="preserve"> and none of the employees strongly agreed</w:t>
      </w:r>
      <w:r w:rsidR="00986293">
        <w:rPr>
          <w:rFonts w:asciiTheme="minorHAnsi" w:hAnsiTheme="minorHAnsi" w:cstheme="minorHAnsi"/>
          <w:noProof/>
        </w:rPr>
        <w:t xml:space="preserve">. </w:t>
      </w:r>
      <w:r w:rsidR="003D115E">
        <w:rPr>
          <w:rFonts w:asciiTheme="minorHAnsi" w:hAnsiTheme="minorHAnsi" w:cstheme="minorHAnsi"/>
          <w:noProof/>
        </w:rPr>
        <w:t xml:space="preserve">The transfer of learning from training to job performance is key to returning our investment in L&amp;D activites and to employee and overall organisational performance (Razak and Zahidi, 2024). </w:t>
      </w:r>
      <w:r w:rsidR="00986293">
        <w:rPr>
          <w:rFonts w:asciiTheme="minorHAnsi" w:hAnsiTheme="minorHAnsi" w:cstheme="minorHAnsi"/>
          <w:noProof/>
        </w:rPr>
        <w:t>Therefore,</w:t>
      </w:r>
      <w:r w:rsidR="00113080">
        <w:rPr>
          <w:rFonts w:asciiTheme="minorHAnsi" w:hAnsiTheme="minorHAnsi" w:cstheme="minorHAnsi"/>
          <w:noProof/>
        </w:rPr>
        <w:t xml:space="preserve"> we could gauge the effectiveness of our training activities </w:t>
      </w:r>
      <w:r w:rsidR="006C14A4">
        <w:rPr>
          <w:rFonts w:asciiTheme="minorHAnsi" w:hAnsiTheme="minorHAnsi" w:cstheme="minorHAnsi"/>
          <w:noProof/>
        </w:rPr>
        <w:t>and whether the intended learning has been achieved and practically applied</w:t>
      </w:r>
      <w:r w:rsidR="00113080">
        <w:rPr>
          <w:rFonts w:asciiTheme="minorHAnsi" w:hAnsiTheme="minorHAnsi" w:cstheme="minorHAnsi"/>
          <w:noProof/>
        </w:rPr>
        <w:t xml:space="preserve"> through design-focused evaluation</w:t>
      </w:r>
      <w:r w:rsidR="006C14A4">
        <w:rPr>
          <w:rFonts w:asciiTheme="minorHAnsi" w:hAnsiTheme="minorHAnsi" w:cstheme="minorHAnsi"/>
          <w:noProof/>
        </w:rPr>
        <w:t xml:space="preserve"> or Kirkpatrick’s four levels model to understand employees’ perceptions of outcomes (Smith, 2008; Hayden, 2025</w:t>
      </w:r>
      <w:r w:rsidR="00D738C1">
        <w:rPr>
          <w:rFonts w:asciiTheme="minorHAnsi" w:hAnsiTheme="minorHAnsi" w:cstheme="minorHAnsi"/>
          <w:noProof/>
        </w:rPr>
        <w:t>a</w:t>
      </w:r>
      <w:r w:rsidR="006C14A4">
        <w:rPr>
          <w:rFonts w:asciiTheme="minorHAnsi" w:hAnsiTheme="minorHAnsi" w:cstheme="minorHAnsi"/>
          <w:noProof/>
        </w:rPr>
        <w:t xml:space="preserve">).  </w:t>
      </w:r>
    </w:p>
    <w:p w14:paraId="59148697" w14:textId="5DBB7FD5" w:rsidR="00AD31A2" w:rsidRDefault="00AD31A2" w:rsidP="001A4D8F">
      <w:pPr>
        <w:spacing w:line="360" w:lineRule="auto"/>
        <w:rPr>
          <w:rFonts w:asciiTheme="minorHAnsi" w:hAnsiTheme="minorHAnsi" w:cstheme="minorHAnsi"/>
          <w:noProof/>
        </w:rPr>
      </w:pPr>
    </w:p>
    <w:p w14:paraId="7D23F7BA" w14:textId="029173BF" w:rsidR="00986293" w:rsidRDefault="00986293" w:rsidP="001A4D8F">
      <w:pPr>
        <w:spacing w:line="360" w:lineRule="auto"/>
        <w:rPr>
          <w:rFonts w:asciiTheme="minorHAnsi" w:hAnsiTheme="minorHAnsi" w:cstheme="minorHAnsi"/>
          <w:noProof/>
        </w:rPr>
      </w:pPr>
      <w:r>
        <w:rPr>
          <w:rFonts w:asciiTheme="minorHAnsi" w:hAnsiTheme="minorHAnsi" w:cstheme="minorHAnsi"/>
          <w:noProof/>
        </w:rPr>
        <w:t>33% of employees felt their learning preferences were not considered prior to the learning activity</w:t>
      </w:r>
      <w:r w:rsidR="001C1E76">
        <w:rPr>
          <w:rFonts w:asciiTheme="minorHAnsi" w:hAnsiTheme="minorHAnsi" w:cstheme="minorHAnsi"/>
          <w:noProof/>
        </w:rPr>
        <w:t>; the negative impact of this could be employee dissatisfaction or disengagement with our training activities, leading to lack of motivation and a possible dip in performance (</w:t>
      </w:r>
      <w:r w:rsidR="0078750B">
        <w:rPr>
          <w:rFonts w:asciiTheme="minorHAnsi" w:hAnsiTheme="minorHAnsi" w:cstheme="minorHAnsi"/>
          <w:noProof/>
        </w:rPr>
        <w:t>Kongphet and Phusavat, 2025).</w:t>
      </w:r>
      <w:r w:rsidR="00C31BE6">
        <w:rPr>
          <w:rFonts w:asciiTheme="minorHAnsi" w:hAnsiTheme="minorHAnsi" w:cstheme="minorHAnsi"/>
          <w:noProof/>
        </w:rPr>
        <w:t xml:space="preserve"> It is important we find a balance between meeting the learning needs of our employees and what the organisation requires in terms of skills and knowledge (Beevers and Rea, 2016).</w:t>
      </w:r>
      <w:r w:rsidR="0078750B">
        <w:rPr>
          <w:rFonts w:asciiTheme="minorHAnsi" w:hAnsiTheme="minorHAnsi" w:cstheme="minorHAnsi"/>
          <w:noProof/>
        </w:rPr>
        <w:t xml:space="preserve"> </w:t>
      </w:r>
      <w:r w:rsidR="00D7676F">
        <w:rPr>
          <w:rFonts w:asciiTheme="minorHAnsi" w:hAnsiTheme="minorHAnsi" w:cstheme="minorHAnsi"/>
          <w:noProof/>
        </w:rPr>
        <w:t xml:space="preserve">To ensure </w:t>
      </w:r>
      <w:r w:rsidR="00D7676F">
        <w:rPr>
          <w:rFonts w:asciiTheme="minorHAnsi" w:hAnsiTheme="minorHAnsi" w:cstheme="minorHAnsi"/>
          <w:noProof/>
        </w:rPr>
        <w:lastRenderedPageBreak/>
        <w:t xml:space="preserve">we include employees’ learning preferences prior to our next learning activity, I propose we conduct a learning needs analysis (LNA). </w:t>
      </w:r>
      <w:r w:rsidR="002E7D70">
        <w:rPr>
          <w:rFonts w:asciiTheme="minorHAnsi" w:hAnsiTheme="minorHAnsi" w:cstheme="minorHAnsi"/>
          <w:noProof/>
        </w:rPr>
        <w:t xml:space="preserve">Conducting an organisation-wide LNA will enable us to gather data on how our employees prefer to learn, thus, </w:t>
      </w:r>
      <w:r w:rsidR="00D738C1">
        <w:rPr>
          <w:rFonts w:asciiTheme="minorHAnsi" w:hAnsiTheme="minorHAnsi" w:cstheme="minorHAnsi"/>
          <w:noProof/>
        </w:rPr>
        <w:t>allowing us to segment employees into similar preference groups and provide tailored training opportunities that both meet their needs and the needs of the business (Hayden, 2025b).</w:t>
      </w:r>
      <w:r w:rsidR="00977B4D">
        <w:rPr>
          <w:rFonts w:asciiTheme="minorHAnsi" w:hAnsiTheme="minorHAnsi" w:cstheme="minorHAnsi"/>
          <w:noProof/>
        </w:rPr>
        <w:t xml:space="preserve"> Aligning with the learning needs and preferences of our employees ensures they are engaged, motivated and, ultimately, transferring the knowledge from the training to the workplace (Goldstein and Ford, 200</w:t>
      </w:r>
      <w:r w:rsidR="009161A5">
        <w:rPr>
          <w:rFonts w:asciiTheme="minorHAnsi" w:hAnsiTheme="minorHAnsi" w:cstheme="minorHAnsi"/>
          <w:noProof/>
        </w:rPr>
        <w:t>1</w:t>
      </w:r>
      <w:r w:rsidR="00977B4D">
        <w:rPr>
          <w:rFonts w:asciiTheme="minorHAnsi" w:hAnsiTheme="minorHAnsi" w:cstheme="minorHAnsi"/>
          <w:noProof/>
        </w:rPr>
        <w:t xml:space="preserve">; Salas et al, 2012). </w:t>
      </w:r>
      <w:r w:rsidR="00102F86">
        <w:rPr>
          <w:rFonts w:asciiTheme="minorHAnsi" w:hAnsiTheme="minorHAnsi" w:cstheme="minorHAnsi"/>
          <w:noProof/>
        </w:rPr>
        <w:t xml:space="preserve">Carrying out such a large scale analysis of the workforce runs the risk of being time consuming and expensive which we will need to consider, however, the analysis should pinpoint where we are falling short in terms of learning and performance and enable us to seek cost-effective solutions (Sleezer, Russ-Eft and Gupta, 2014). </w:t>
      </w:r>
    </w:p>
    <w:p w14:paraId="56DD766B" w14:textId="0914BB52" w:rsidR="00FB7B31" w:rsidRDefault="00FB7B31" w:rsidP="001A4D8F">
      <w:pPr>
        <w:spacing w:line="360" w:lineRule="auto"/>
        <w:rPr>
          <w:rFonts w:asciiTheme="minorHAnsi" w:hAnsiTheme="minorHAnsi" w:cstheme="minorHAnsi"/>
          <w:noProof/>
        </w:rPr>
      </w:pPr>
    </w:p>
    <w:p w14:paraId="489A135D" w14:textId="629A21DA" w:rsidR="007C254C" w:rsidRDefault="00FB7B31" w:rsidP="001A4D8F">
      <w:pPr>
        <w:spacing w:line="360" w:lineRule="auto"/>
        <w:rPr>
          <w:rFonts w:asciiTheme="minorHAnsi" w:hAnsiTheme="minorHAnsi" w:cstheme="minorHAnsi"/>
          <w:noProof/>
        </w:rPr>
      </w:pPr>
      <w:r>
        <w:rPr>
          <w:rFonts w:asciiTheme="minorHAnsi" w:hAnsiTheme="minorHAnsi" w:cstheme="minorHAnsi"/>
          <w:noProof/>
        </w:rPr>
        <w:t xml:space="preserve">64% of our employees disagreed that they were able to engage in meaningful questioning and answering on topics being discussed in the L&amp;D activity. </w:t>
      </w:r>
      <w:r w:rsidR="00542566">
        <w:rPr>
          <w:rFonts w:asciiTheme="minorHAnsi" w:hAnsiTheme="minorHAnsi" w:cstheme="minorHAnsi"/>
          <w:noProof/>
        </w:rPr>
        <w:t xml:space="preserve">This is concerning as it has been suggested through research on adult learning theory that adults learn by actively participating through interaction, discussions and reflection (Palis and Quiros, 2014). </w:t>
      </w:r>
      <w:r w:rsidR="0091573F">
        <w:rPr>
          <w:rFonts w:asciiTheme="minorHAnsi" w:hAnsiTheme="minorHAnsi" w:cstheme="minorHAnsi"/>
          <w:noProof/>
        </w:rPr>
        <w:t xml:space="preserve">Furthermore, we should be aiming to develop a culture of psychological safety where employees can safely ask questions, share opinions and develop a curious mind toward learning and development (Edmondson, 2018). </w:t>
      </w:r>
      <w:r w:rsidR="000A01D9">
        <w:rPr>
          <w:rFonts w:asciiTheme="minorHAnsi" w:hAnsiTheme="minorHAnsi" w:cstheme="minorHAnsi"/>
          <w:noProof/>
        </w:rPr>
        <w:t xml:space="preserve">More than 90% of employees agreed that the facilitator was clearly knowledgable in regards to the topics of the activity, however, there are other aspects of the facilitators’ delivery that we could improve. </w:t>
      </w:r>
      <w:r w:rsidR="009C04BD">
        <w:rPr>
          <w:rFonts w:asciiTheme="minorHAnsi" w:hAnsiTheme="minorHAnsi" w:cstheme="minorHAnsi"/>
          <w:noProof/>
        </w:rPr>
        <w:t>First</w:t>
      </w:r>
      <w:r w:rsidR="000A01D9">
        <w:rPr>
          <w:rFonts w:asciiTheme="minorHAnsi" w:hAnsiTheme="minorHAnsi" w:cstheme="minorHAnsi"/>
          <w:noProof/>
        </w:rPr>
        <w:t>ly</w:t>
      </w:r>
      <w:r w:rsidR="009C04BD">
        <w:rPr>
          <w:rFonts w:asciiTheme="minorHAnsi" w:hAnsiTheme="minorHAnsi" w:cstheme="minorHAnsi"/>
          <w:noProof/>
        </w:rPr>
        <w:t xml:space="preserve">, I recommend taking a look at our training facilitators and ensuring they have the tools and confidence to ask effective questions and guide meaningful discussions in L&amp;D sessions to prompt deeper learning as these methods have been shown to improve learners’ motivation and retention of information (Tofade, Elsner and Haines, 2013).  </w:t>
      </w:r>
      <w:r w:rsidR="000D195E">
        <w:rPr>
          <w:rFonts w:asciiTheme="minorHAnsi" w:hAnsiTheme="minorHAnsi" w:cstheme="minorHAnsi"/>
          <w:noProof/>
        </w:rPr>
        <w:t xml:space="preserve">Additionally, our training facilitators could adopt active learning methods and techniques that prompt participation and discussion from our employees in the training sessions such as think-pair-share, problem based learning and active student response (Karge et al, 2011; Norman, Fitzgerald and Kaffar, 2008). </w:t>
      </w:r>
      <w:r w:rsidR="006D47C4">
        <w:rPr>
          <w:rFonts w:asciiTheme="minorHAnsi" w:hAnsiTheme="minorHAnsi" w:cstheme="minorHAnsi"/>
          <w:noProof/>
        </w:rPr>
        <w:t xml:space="preserve">Ultimately, we want to </w:t>
      </w:r>
      <w:r w:rsidR="007725CD">
        <w:rPr>
          <w:rFonts w:asciiTheme="minorHAnsi" w:hAnsiTheme="minorHAnsi" w:cstheme="minorHAnsi"/>
          <w:noProof/>
        </w:rPr>
        <w:t>provide our employees with</w:t>
      </w:r>
      <w:r w:rsidR="007C254C">
        <w:rPr>
          <w:rFonts w:asciiTheme="minorHAnsi" w:hAnsiTheme="minorHAnsi" w:cstheme="minorHAnsi"/>
          <w:noProof/>
        </w:rPr>
        <w:t xml:space="preserve"> ample opportunity to probe and question the learning content in their L&amp;D activites </w:t>
      </w:r>
      <w:r w:rsidR="007725CD">
        <w:rPr>
          <w:rFonts w:asciiTheme="minorHAnsi" w:hAnsiTheme="minorHAnsi" w:cstheme="minorHAnsi"/>
          <w:noProof/>
        </w:rPr>
        <w:t xml:space="preserve">to develop their critical thinking skills and ensure deeper learning and engagement (Nappi, 2017). </w:t>
      </w:r>
    </w:p>
    <w:p w14:paraId="5DB284E8" w14:textId="77777777" w:rsidR="007C254C" w:rsidRDefault="007C254C" w:rsidP="001A4D8F">
      <w:pPr>
        <w:spacing w:line="360" w:lineRule="auto"/>
        <w:rPr>
          <w:rFonts w:asciiTheme="minorHAnsi" w:hAnsiTheme="minorHAnsi" w:cstheme="minorHAnsi"/>
          <w:noProof/>
        </w:rPr>
      </w:pPr>
    </w:p>
    <w:p w14:paraId="58B64DC0" w14:textId="433FF452" w:rsidR="000A2C76" w:rsidRDefault="00E44736" w:rsidP="000A2C76">
      <w:pPr>
        <w:spacing w:line="360" w:lineRule="auto"/>
        <w:rPr>
          <w:rFonts w:asciiTheme="minorHAnsi" w:hAnsiTheme="minorHAnsi" w:cstheme="minorHAnsi"/>
          <w:noProof/>
        </w:rPr>
      </w:pPr>
      <w:r>
        <w:rPr>
          <w:rFonts w:asciiTheme="minorHAnsi" w:hAnsiTheme="minorHAnsi" w:cstheme="minorHAnsi"/>
          <w:noProof/>
        </w:rPr>
        <w:t xml:space="preserve">In conclusion, the evaluation feedback has provided us with some valuable insights on how we can </w:t>
      </w:r>
      <w:r w:rsidR="006D47C4">
        <w:rPr>
          <w:rFonts w:asciiTheme="minorHAnsi" w:hAnsiTheme="minorHAnsi" w:cstheme="minorHAnsi"/>
          <w:noProof/>
        </w:rPr>
        <w:t xml:space="preserve">provide </w:t>
      </w:r>
      <w:r w:rsidR="007C254C">
        <w:rPr>
          <w:rFonts w:asciiTheme="minorHAnsi" w:hAnsiTheme="minorHAnsi" w:cstheme="minorHAnsi"/>
          <w:noProof/>
        </w:rPr>
        <w:t xml:space="preserve">more opportunities for our employees to meaningfully engage with future L&amp;D activities and walk away from them feeling they have improved their knowledge and/or skills and are equipped to </w:t>
      </w:r>
      <w:r w:rsidR="007C254C">
        <w:rPr>
          <w:rFonts w:asciiTheme="minorHAnsi" w:hAnsiTheme="minorHAnsi" w:cstheme="minorHAnsi"/>
          <w:noProof/>
        </w:rPr>
        <w:lastRenderedPageBreak/>
        <w:t xml:space="preserve">apply them in the workplace. </w:t>
      </w:r>
      <w:r w:rsidR="00EA79D7">
        <w:rPr>
          <w:rFonts w:asciiTheme="minorHAnsi" w:hAnsiTheme="minorHAnsi" w:cstheme="minorHAnsi"/>
          <w:noProof/>
        </w:rPr>
        <w:t xml:space="preserve">By understanding how our employees feel about and perceive their L&amp;D activities, we can evaluate whether the learning material is relevant, aligns with Technivara’s overall strategy and provide measurable outcomes to justify further investment in </w:t>
      </w:r>
      <w:r w:rsidR="009D4478">
        <w:rPr>
          <w:rFonts w:asciiTheme="minorHAnsi" w:hAnsiTheme="minorHAnsi" w:cstheme="minorHAnsi"/>
          <w:noProof/>
        </w:rPr>
        <w:t xml:space="preserve">our </w:t>
      </w:r>
      <w:r w:rsidR="00EA79D7">
        <w:rPr>
          <w:rFonts w:asciiTheme="minorHAnsi" w:hAnsiTheme="minorHAnsi" w:cstheme="minorHAnsi"/>
          <w:noProof/>
        </w:rPr>
        <w:t>L&amp;D</w:t>
      </w:r>
      <w:r w:rsidR="009D4478">
        <w:rPr>
          <w:rFonts w:asciiTheme="minorHAnsi" w:hAnsiTheme="minorHAnsi" w:cstheme="minorHAnsi"/>
          <w:noProof/>
        </w:rPr>
        <w:t xml:space="preserve"> provision (Hayden, 2025</w:t>
      </w:r>
      <w:r w:rsidR="0084499C">
        <w:rPr>
          <w:rFonts w:asciiTheme="minorHAnsi" w:hAnsiTheme="minorHAnsi" w:cstheme="minorHAnsi"/>
          <w:noProof/>
        </w:rPr>
        <w:t>a</w:t>
      </w:r>
      <w:r w:rsidR="009D4478">
        <w:rPr>
          <w:rFonts w:asciiTheme="minorHAnsi" w:hAnsiTheme="minorHAnsi" w:cstheme="minorHAnsi"/>
          <w:noProof/>
        </w:rPr>
        <w:t xml:space="preserve">). </w:t>
      </w:r>
    </w:p>
    <w:p w14:paraId="078CD5B8" w14:textId="40EFA4D9" w:rsidR="00170987" w:rsidRDefault="00170987" w:rsidP="000A2C76">
      <w:pPr>
        <w:spacing w:line="360" w:lineRule="auto"/>
        <w:rPr>
          <w:rFonts w:asciiTheme="minorHAnsi" w:hAnsiTheme="minorHAnsi" w:cstheme="minorHAnsi"/>
          <w:noProof/>
        </w:rPr>
      </w:pPr>
    </w:p>
    <w:p w14:paraId="4493EABB" w14:textId="02140DD0" w:rsidR="00170987" w:rsidRDefault="00170987" w:rsidP="000A2C76">
      <w:pPr>
        <w:spacing w:line="360" w:lineRule="auto"/>
        <w:rPr>
          <w:rFonts w:asciiTheme="minorHAnsi" w:hAnsiTheme="minorHAnsi" w:cstheme="minorHAnsi"/>
          <w:noProof/>
        </w:rPr>
      </w:pPr>
      <w:r>
        <w:rPr>
          <w:rFonts w:asciiTheme="minorHAnsi" w:hAnsiTheme="minorHAnsi" w:cstheme="minorHAnsi"/>
          <w:noProof/>
        </w:rPr>
        <w:t>Word count = 933</w:t>
      </w:r>
    </w:p>
    <w:p w14:paraId="56629112" w14:textId="707C6D3A" w:rsidR="00170987" w:rsidRDefault="00170987" w:rsidP="000A2C76">
      <w:pPr>
        <w:spacing w:line="360" w:lineRule="auto"/>
        <w:rPr>
          <w:rFonts w:asciiTheme="minorHAnsi" w:hAnsiTheme="minorHAnsi" w:cstheme="minorHAnsi"/>
          <w:noProof/>
        </w:rPr>
      </w:pPr>
      <w:r>
        <w:rPr>
          <w:rFonts w:asciiTheme="minorHAnsi" w:hAnsiTheme="minorHAnsi" w:cstheme="minorHAnsi"/>
          <w:noProof/>
        </w:rPr>
        <w:t>Total word count = 3,857</w:t>
      </w:r>
    </w:p>
    <w:p w14:paraId="1A8910E8" w14:textId="175A58B2" w:rsidR="00170987" w:rsidRDefault="00170987" w:rsidP="000A2C76">
      <w:pPr>
        <w:spacing w:line="360" w:lineRule="auto"/>
        <w:rPr>
          <w:rFonts w:asciiTheme="minorHAnsi" w:hAnsiTheme="minorHAnsi" w:cstheme="minorHAnsi"/>
          <w:noProof/>
        </w:rPr>
      </w:pPr>
    </w:p>
    <w:p w14:paraId="2C0D09BB" w14:textId="77777777" w:rsidR="00170987" w:rsidRDefault="00170987" w:rsidP="000A2C76">
      <w:pPr>
        <w:spacing w:line="360" w:lineRule="auto"/>
        <w:rPr>
          <w:rFonts w:asciiTheme="minorHAnsi" w:hAnsiTheme="minorHAnsi" w:cstheme="minorHAnsi"/>
          <w:noProof/>
        </w:rPr>
      </w:pPr>
    </w:p>
    <w:p w14:paraId="763B1A65" w14:textId="77777777" w:rsidR="00170987" w:rsidRDefault="00170987" w:rsidP="000A2C76">
      <w:pPr>
        <w:spacing w:line="360" w:lineRule="auto"/>
        <w:rPr>
          <w:rFonts w:asciiTheme="minorHAnsi" w:hAnsiTheme="minorHAnsi" w:cstheme="minorHAnsi"/>
          <w:noProof/>
        </w:rPr>
      </w:pPr>
    </w:p>
    <w:p w14:paraId="79FC55C0" w14:textId="77777777" w:rsidR="00170987" w:rsidRDefault="00170987" w:rsidP="000A2C76">
      <w:pPr>
        <w:spacing w:line="360" w:lineRule="auto"/>
        <w:rPr>
          <w:rFonts w:asciiTheme="minorHAnsi" w:hAnsiTheme="minorHAnsi" w:cstheme="minorHAnsi"/>
          <w:noProof/>
        </w:rPr>
      </w:pPr>
    </w:p>
    <w:p w14:paraId="29CF0C90" w14:textId="77777777" w:rsidR="00170987" w:rsidRDefault="00170987" w:rsidP="000A2C76">
      <w:pPr>
        <w:spacing w:line="360" w:lineRule="auto"/>
        <w:rPr>
          <w:rFonts w:asciiTheme="minorHAnsi" w:hAnsiTheme="minorHAnsi" w:cstheme="minorHAnsi"/>
          <w:noProof/>
        </w:rPr>
      </w:pPr>
    </w:p>
    <w:p w14:paraId="359A343F" w14:textId="77777777" w:rsidR="00170987" w:rsidRDefault="00170987" w:rsidP="000A2C76">
      <w:pPr>
        <w:spacing w:line="360" w:lineRule="auto"/>
        <w:rPr>
          <w:rFonts w:asciiTheme="minorHAnsi" w:hAnsiTheme="minorHAnsi" w:cstheme="minorHAnsi"/>
          <w:noProof/>
        </w:rPr>
      </w:pPr>
    </w:p>
    <w:p w14:paraId="7B89492E" w14:textId="77777777" w:rsidR="00170987" w:rsidRDefault="00170987" w:rsidP="000A2C76">
      <w:pPr>
        <w:spacing w:line="360" w:lineRule="auto"/>
        <w:rPr>
          <w:rFonts w:asciiTheme="minorHAnsi" w:hAnsiTheme="minorHAnsi" w:cstheme="minorHAnsi"/>
          <w:noProof/>
        </w:rPr>
      </w:pPr>
    </w:p>
    <w:p w14:paraId="33A6A223" w14:textId="77777777" w:rsidR="00170987" w:rsidRDefault="00170987" w:rsidP="000A2C76">
      <w:pPr>
        <w:spacing w:line="360" w:lineRule="auto"/>
        <w:rPr>
          <w:rFonts w:asciiTheme="minorHAnsi" w:hAnsiTheme="minorHAnsi" w:cstheme="minorHAnsi"/>
          <w:noProof/>
        </w:rPr>
      </w:pPr>
    </w:p>
    <w:p w14:paraId="122F9DB3" w14:textId="77777777" w:rsidR="00170987" w:rsidRDefault="00170987" w:rsidP="000A2C76">
      <w:pPr>
        <w:spacing w:line="360" w:lineRule="auto"/>
        <w:rPr>
          <w:rFonts w:asciiTheme="minorHAnsi" w:hAnsiTheme="minorHAnsi" w:cstheme="minorHAnsi"/>
          <w:noProof/>
        </w:rPr>
      </w:pPr>
    </w:p>
    <w:p w14:paraId="69CA6117" w14:textId="77777777" w:rsidR="00170987" w:rsidRDefault="00170987" w:rsidP="000A2C76">
      <w:pPr>
        <w:spacing w:line="360" w:lineRule="auto"/>
        <w:rPr>
          <w:rFonts w:asciiTheme="minorHAnsi" w:hAnsiTheme="minorHAnsi" w:cstheme="minorHAnsi"/>
          <w:noProof/>
        </w:rPr>
      </w:pPr>
    </w:p>
    <w:p w14:paraId="37BC0771" w14:textId="77777777" w:rsidR="00170987" w:rsidRDefault="00170987" w:rsidP="000A2C76">
      <w:pPr>
        <w:spacing w:line="360" w:lineRule="auto"/>
        <w:rPr>
          <w:rFonts w:asciiTheme="minorHAnsi" w:hAnsiTheme="minorHAnsi" w:cstheme="minorHAnsi"/>
          <w:noProof/>
        </w:rPr>
      </w:pPr>
    </w:p>
    <w:p w14:paraId="2F1DF0C0" w14:textId="77777777" w:rsidR="00170987" w:rsidRDefault="00170987" w:rsidP="000A2C76">
      <w:pPr>
        <w:spacing w:line="360" w:lineRule="auto"/>
        <w:rPr>
          <w:rFonts w:asciiTheme="minorHAnsi" w:hAnsiTheme="minorHAnsi" w:cstheme="minorHAnsi"/>
          <w:noProof/>
        </w:rPr>
      </w:pPr>
    </w:p>
    <w:p w14:paraId="4C2C6C74" w14:textId="77777777" w:rsidR="00170987" w:rsidRDefault="00170987" w:rsidP="000A2C76">
      <w:pPr>
        <w:spacing w:line="360" w:lineRule="auto"/>
        <w:rPr>
          <w:rFonts w:asciiTheme="minorHAnsi" w:hAnsiTheme="minorHAnsi" w:cstheme="minorHAnsi"/>
          <w:noProof/>
        </w:rPr>
      </w:pPr>
    </w:p>
    <w:p w14:paraId="2266F485" w14:textId="77777777" w:rsidR="00170987" w:rsidRDefault="00170987" w:rsidP="000A2C76">
      <w:pPr>
        <w:spacing w:line="360" w:lineRule="auto"/>
        <w:rPr>
          <w:rFonts w:asciiTheme="minorHAnsi" w:hAnsiTheme="minorHAnsi" w:cstheme="minorHAnsi"/>
          <w:noProof/>
        </w:rPr>
      </w:pPr>
    </w:p>
    <w:p w14:paraId="60695CF5" w14:textId="77777777" w:rsidR="00170987" w:rsidRDefault="00170987" w:rsidP="000A2C76">
      <w:pPr>
        <w:spacing w:line="360" w:lineRule="auto"/>
        <w:rPr>
          <w:rFonts w:asciiTheme="minorHAnsi" w:hAnsiTheme="minorHAnsi" w:cstheme="minorHAnsi"/>
          <w:noProof/>
        </w:rPr>
      </w:pPr>
    </w:p>
    <w:p w14:paraId="79FF7BEF" w14:textId="77777777" w:rsidR="00170987" w:rsidRDefault="00170987" w:rsidP="000A2C76">
      <w:pPr>
        <w:spacing w:line="360" w:lineRule="auto"/>
        <w:rPr>
          <w:rFonts w:asciiTheme="minorHAnsi" w:hAnsiTheme="minorHAnsi" w:cstheme="minorHAnsi"/>
          <w:noProof/>
        </w:rPr>
      </w:pPr>
    </w:p>
    <w:p w14:paraId="6897EE75" w14:textId="77777777" w:rsidR="00170987" w:rsidRDefault="00170987" w:rsidP="000A2C76">
      <w:pPr>
        <w:spacing w:line="360" w:lineRule="auto"/>
        <w:rPr>
          <w:rFonts w:asciiTheme="minorHAnsi" w:hAnsiTheme="minorHAnsi" w:cstheme="minorHAnsi"/>
          <w:noProof/>
        </w:rPr>
      </w:pPr>
    </w:p>
    <w:p w14:paraId="547B9075" w14:textId="77777777" w:rsidR="00170987" w:rsidRDefault="00170987" w:rsidP="000A2C76">
      <w:pPr>
        <w:spacing w:line="360" w:lineRule="auto"/>
        <w:rPr>
          <w:rFonts w:asciiTheme="minorHAnsi" w:hAnsiTheme="minorHAnsi" w:cstheme="minorHAnsi"/>
          <w:noProof/>
        </w:rPr>
      </w:pPr>
    </w:p>
    <w:p w14:paraId="781773B6" w14:textId="77777777" w:rsidR="00170987" w:rsidRDefault="00170987" w:rsidP="000A2C76">
      <w:pPr>
        <w:spacing w:line="360" w:lineRule="auto"/>
        <w:rPr>
          <w:rFonts w:asciiTheme="minorHAnsi" w:hAnsiTheme="minorHAnsi" w:cstheme="minorHAnsi"/>
          <w:noProof/>
        </w:rPr>
      </w:pPr>
    </w:p>
    <w:p w14:paraId="5B186CFB" w14:textId="77777777" w:rsidR="00170987" w:rsidRDefault="00170987" w:rsidP="000A2C76">
      <w:pPr>
        <w:spacing w:line="360" w:lineRule="auto"/>
        <w:rPr>
          <w:rFonts w:asciiTheme="minorHAnsi" w:hAnsiTheme="minorHAnsi" w:cstheme="minorHAnsi"/>
          <w:noProof/>
        </w:rPr>
      </w:pPr>
    </w:p>
    <w:p w14:paraId="1C09DDF3" w14:textId="77777777" w:rsidR="00170987" w:rsidRDefault="00170987" w:rsidP="000A2C76">
      <w:pPr>
        <w:spacing w:line="360" w:lineRule="auto"/>
        <w:rPr>
          <w:rFonts w:asciiTheme="minorHAnsi" w:hAnsiTheme="minorHAnsi" w:cstheme="minorHAnsi"/>
          <w:noProof/>
        </w:rPr>
      </w:pPr>
    </w:p>
    <w:p w14:paraId="76929C22" w14:textId="77777777" w:rsidR="00170987" w:rsidRDefault="00170987" w:rsidP="000A2C76">
      <w:pPr>
        <w:spacing w:line="360" w:lineRule="auto"/>
        <w:rPr>
          <w:rFonts w:asciiTheme="minorHAnsi" w:hAnsiTheme="minorHAnsi" w:cstheme="minorHAnsi"/>
          <w:noProof/>
        </w:rPr>
      </w:pPr>
    </w:p>
    <w:p w14:paraId="5A7EEE0E" w14:textId="77777777" w:rsidR="00170987" w:rsidRDefault="00170987" w:rsidP="000A2C76">
      <w:pPr>
        <w:spacing w:line="360" w:lineRule="auto"/>
        <w:rPr>
          <w:rFonts w:asciiTheme="minorHAnsi" w:hAnsiTheme="minorHAnsi" w:cstheme="minorHAnsi"/>
          <w:noProof/>
        </w:rPr>
      </w:pPr>
    </w:p>
    <w:p w14:paraId="7C482502" w14:textId="77777777" w:rsidR="00170987" w:rsidRDefault="00170987" w:rsidP="000A2C76">
      <w:pPr>
        <w:spacing w:line="360" w:lineRule="auto"/>
        <w:rPr>
          <w:rFonts w:asciiTheme="minorHAnsi" w:hAnsiTheme="minorHAnsi" w:cstheme="minorHAnsi"/>
          <w:noProof/>
        </w:rPr>
      </w:pPr>
    </w:p>
    <w:p w14:paraId="5B48E4F3" w14:textId="77777777" w:rsidR="00170987" w:rsidRDefault="00170987" w:rsidP="000A2C76">
      <w:pPr>
        <w:spacing w:line="360" w:lineRule="auto"/>
        <w:rPr>
          <w:rFonts w:asciiTheme="minorHAnsi" w:hAnsiTheme="minorHAnsi" w:cstheme="minorHAnsi"/>
          <w:noProof/>
        </w:rPr>
      </w:pPr>
    </w:p>
    <w:p w14:paraId="645ECB6A" w14:textId="77777777" w:rsidR="00170987" w:rsidRDefault="00170987" w:rsidP="000A2C76">
      <w:pPr>
        <w:spacing w:line="360" w:lineRule="auto"/>
        <w:rPr>
          <w:rFonts w:asciiTheme="minorHAnsi" w:hAnsiTheme="minorHAnsi" w:cstheme="minorHAnsi"/>
          <w:noProof/>
        </w:rPr>
      </w:pPr>
    </w:p>
    <w:p w14:paraId="08DEFBDF" w14:textId="77777777" w:rsidR="00170987" w:rsidRDefault="00170987" w:rsidP="000A2C76">
      <w:pPr>
        <w:spacing w:line="360" w:lineRule="auto"/>
        <w:rPr>
          <w:rFonts w:asciiTheme="minorHAnsi" w:hAnsiTheme="minorHAnsi" w:cstheme="minorHAnsi"/>
          <w:noProof/>
        </w:rPr>
      </w:pPr>
    </w:p>
    <w:p w14:paraId="0A9940D9" w14:textId="0B77AAC5" w:rsidR="004E6078" w:rsidRDefault="004E6078" w:rsidP="000A2C76">
      <w:pPr>
        <w:spacing w:line="360" w:lineRule="auto"/>
        <w:rPr>
          <w:rFonts w:asciiTheme="minorHAnsi" w:hAnsiTheme="minorHAnsi" w:cstheme="minorHAnsi"/>
          <w:noProof/>
        </w:rPr>
      </w:pPr>
      <w:r>
        <w:rPr>
          <w:rFonts w:asciiTheme="minorHAnsi" w:hAnsiTheme="minorHAnsi" w:cstheme="minorHAnsi"/>
          <w:noProof/>
        </w:rPr>
        <w:lastRenderedPageBreak/>
        <w:t>References</w:t>
      </w:r>
    </w:p>
    <w:p w14:paraId="40EE2998" w14:textId="77777777" w:rsidR="004E6078" w:rsidRDefault="004E6078" w:rsidP="004E6078">
      <w:pPr>
        <w:rPr>
          <w:rFonts w:cstheme="minorHAnsi"/>
          <w:color w:val="222222"/>
          <w:shd w:val="clear" w:color="auto" w:fill="FFFFFF"/>
        </w:rPr>
      </w:pPr>
    </w:p>
    <w:p w14:paraId="127A4360" w14:textId="3A393D37"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Ahmetaj</w:t>
      </w:r>
      <w:proofErr w:type="spellEnd"/>
      <w:r w:rsidRPr="004E6078">
        <w:rPr>
          <w:rFonts w:asciiTheme="minorHAnsi" w:hAnsiTheme="minorHAnsi" w:cstheme="minorHAnsi"/>
          <w:color w:val="222222"/>
          <w:shd w:val="clear" w:color="auto" w:fill="FFFFFF"/>
        </w:rPr>
        <w:t xml:space="preserve">, G. (2025) </w:t>
      </w:r>
      <w:r w:rsidRPr="004E6078">
        <w:rPr>
          <w:rFonts w:asciiTheme="minorHAnsi" w:hAnsiTheme="minorHAnsi" w:cstheme="minorHAnsi"/>
          <w:i/>
          <w:iCs/>
          <w:color w:val="222222"/>
          <w:shd w:val="clear" w:color="auto" w:fill="FFFFFF"/>
        </w:rPr>
        <w:t xml:space="preserve">Why businesses need to start measuring L&amp;D success. </w:t>
      </w:r>
      <w:r w:rsidRPr="004E6078">
        <w:rPr>
          <w:rFonts w:asciiTheme="minorHAnsi" w:hAnsiTheme="minorHAnsi" w:cstheme="minorHAnsi"/>
          <w:color w:val="222222"/>
          <w:shd w:val="clear" w:color="auto" w:fill="FFFFFF"/>
        </w:rPr>
        <w:t xml:space="preserve">Available at: </w:t>
      </w:r>
      <w:hyperlink r:id="rId10" w:history="1">
        <w:r w:rsidRPr="004E6078">
          <w:rPr>
            <w:rStyle w:val="Hyperlink"/>
            <w:rFonts w:asciiTheme="minorHAnsi" w:hAnsiTheme="minorHAnsi" w:cstheme="minorHAnsi"/>
            <w:shd w:val="clear" w:color="auto" w:fill="FFFFFF"/>
          </w:rPr>
          <w:t>https://www.peoplemanagement.co.uk/article/1906372/why-businesses-need-start-measuring-l-d-success</w:t>
        </w:r>
      </w:hyperlink>
      <w:r w:rsidRPr="004E6078">
        <w:rPr>
          <w:rStyle w:val="Hyperlink"/>
          <w:rFonts w:asciiTheme="minorHAnsi" w:hAnsiTheme="minorHAnsi" w:cstheme="minorHAnsi"/>
          <w:color w:val="auto"/>
          <w:u w:val="none"/>
          <w:shd w:val="clear" w:color="auto" w:fill="FFFFFF"/>
        </w:rPr>
        <w:t xml:space="preserve"> (Accessed: 18 January 2026).</w:t>
      </w:r>
    </w:p>
    <w:p w14:paraId="7B6F9685" w14:textId="77777777" w:rsidR="004E6078" w:rsidRDefault="004E6078" w:rsidP="004E6078">
      <w:pPr>
        <w:spacing w:line="360" w:lineRule="auto"/>
        <w:rPr>
          <w:rFonts w:asciiTheme="minorHAnsi" w:hAnsiTheme="minorHAnsi" w:cstheme="minorHAnsi"/>
          <w:lang w:eastAsia="en-GB"/>
        </w:rPr>
      </w:pPr>
    </w:p>
    <w:p w14:paraId="777774B1" w14:textId="794F8A0A"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Armstrong, M. (2022) </w:t>
      </w:r>
      <w:r w:rsidRPr="004E6078">
        <w:rPr>
          <w:rFonts w:asciiTheme="minorHAnsi" w:hAnsiTheme="minorHAnsi" w:cstheme="minorHAnsi"/>
          <w:i/>
          <w:iCs/>
          <w:lang w:eastAsia="en-GB"/>
        </w:rPr>
        <w:t>Armstrong’s handbook of learning and development: a guide to the theory and practice of L&amp;D</w:t>
      </w:r>
      <w:r w:rsidRPr="004E6078">
        <w:rPr>
          <w:rFonts w:asciiTheme="minorHAnsi" w:hAnsiTheme="minorHAnsi" w:cstheme="minorHAnsi"/>
          <w:lang w:eastAsia="en-GB"/>
        </w:rPr>
        <w:t>. Kogan Page.</w:t>
      </w:r>
    </w:p>
    <w:p w14:paraId="0C17267C" w14:textId="77777777" w:rsidR="004E6078" w:rsidRDefault="004E6078" w:rsidP="004E6078">
      <w:pPr>
        <w:spacing w:line="360" w:lineRule="auto"/>
        <w:rPr>
          <w:rFonts w:asciiTheme="minorHAnsi" w:hAnsiTheme="minorHAnsi" w:cstheme="minorHAnsi"/>
          <w:lang w:eastAsia="en-GB"/>
        </w:rPr>
      </w:pPr>
    </w:p>
    <w:p w14:paraId="3CC49AB2" w14:textId="02EE53F2"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Armstrong, M. and Taylor, S. (2014) </w:t>
      </w:r>
      <w:r w:rsidRPr="004E6078">
        <w:rPr>
          <w:rFonts w:asciiTheme="minorHAnsi" w:hAnsiTheme="minorHAnsi" w:cstheme="minorHAnsi"/>
          <w:i/>
          <w:iCs/>
          <w:lang w:eastAsia="en-GB"/>
        </w:rPr>
        <w:t>Armstrong’s handbook of human resource management practice</w:t>
      </w:r>
      <w:r w:rsidRPr="004E6078">
        <w:rPr>
          <w:rFonts w:asciiTheme="minorHAnsi" w:hAnsiTheme="minorHAnsi" w:cstheme="minorHAnsi"/>
          <w:lang w:eastAsia="en-GB"/>
        </w:rPr>
        <w:t xml:space="preserve">. 13th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Kogan Page.</w:t>
      </w:r>
    </w:p>
    <w:p w14:paraId="0BBC0094" w14:textId="77777777" w:rsidR="004E6078" w:rsidRDefault="004E6078" w:rsidP="004E6078">
      <w:pPr>
        <w:spacing w:line="360" w:lineRule="auto"/>
        <w:rPr>
          <w:rFonts w:asciiTheme="minorHAnsi" w:hAnsiTheme="minorHAnsi" w:cstheme="minorHAnsi"/>
          <w:lang w:eastAsia="en-GB"/>
        </w:rPr>
      </w:pPr>
    </w:p>
    <w:p w14:paraId="5D6F63D2" w14:textId="6F2C2608"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Armstrong, M. (2016) </w:t>
      </w:r>
      <w:r w:rsidRPr="004E6078">
        <w:rPr>
          <w:rFonts w:asciiTheme="minorHAnsi" w:hAnsiTheme="minorHAnsi" w:cstheme="minorHAnsi"/>
          <w:i/>
          <w:iCs/>
          <w:lang w:eastAsia="en-GB"/>
        </w:rPr>
        <w:t>Armstrong’s handbook of management and leadership for HR: developing effective people skills for better leadership and management.</w:t>
      </w:r>
      <w:r w:rsidRPr="004E6078">
        <w:rPr>
          <w:rFonts w:asciiTheme="minorHAnsi" w:hAnsiTheme="minorHAnsi" w:cstheme="minorHAnsi"/>
          <w:lang w:eastAsia="en-GB"/>
        </w:rPr>
        <w:t xml:space="preserve"> 4th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Kogan Page.</w:t>
      </w:r>
    </w:p>
    <w:p w14:paraId="2776112E" w14:textId="77777777" w:rsidR="004E6078" w:rsidRDefault="004E6078" w:rsidP="004E6078">
      <w:pPr>
        <w:spacing w:line="360" w:lineRule="auto"/>
        <w:rPr>
          <w:rFonts w:asciiTheme="minorHAnsi" w:hAnsiTheme="minorHAnsi" w:cstheme="minorHAnsi"/>
          <w:color w:val="222222"/>
          <w:shd w:val="clear" w:color="auto" w:fill="FFFFFF"/>
        </w:rPr>
      </w:pPr>
    </w:p>
    <w:p w14:paraId="1555623B" w14:textId="466EE5E3" w:rsidR="004E6078" w:rsidRPr="004E6078" w:rsidRDefault="004E6078" w:rsidP="004E6078">
      <w:pPr>
        <w:spacing w:line="360" w:lineRule="auto"/>
        <w:rPr>
          <w:rFonts w:asciiTheme="minorHAnsi" w:hAnsiTheme="minorHAnsi" w:cstheme="minorHAnsi"/>
        </w:rPr>
      </w:pPr>
      <w:proofErr w:type="spellStart"/>
      <w:r w:rsidRPr="004E6078">
        <w:rPr>
          <w:rFonts w:asciiTheme="minorHAnsi" w:hAnsiTheme="minorHAnsi" w:cstheme="minorHAnsi"/>
          <w:color w:val="222222"/>
          <w:shd w:val="clear" w:color="auto" w:fill="FFFFFF"/>
        </w:rPr>
        <w:t>Arulsamy</w:t>
      </w:r>
      <w:proofErr w:type="spellEnd"/>
      <w:r w:rsidRPr="004E6078">
        <w:rPr>
          <w:rFonts w:asciiTheme="minorHAnsi" w:hAnsiTheme="minorHAnsi" w:cstheme="minorHAnsi"/>
          <w:color w:val="222222"/>
          <w:shd w:val="clear" w:color="auto" w:fill="FFFFFF"/>
        </w:rPr>
        <w:t xml:space="preserve">, A., Singh, I., Kumar, S., Panchal, J. and Bajaj, K. (2023) ‘Employee Training and Development Enhancing Employee Performance – A Study’, </w:t>
      </w:r>
      <w:proofErr w:type="spellStart"/>
      <w:r w:rsidRPr="004E6078">
        <w:rPr>
          <w:rFonts w:asciiTheme="minorHAnsi" w:hAnsiTheme="minorHAnsi" w:cstheme="minorHAnsi"/>
          <w:i/>
          <w:iCs/>
          <w:color w:val="222222"/>
          <w:shd w:val="clear" w:color="auto" w:fill="FFFFFF"/>
        </w:rPr>
        <w:t>Samdarshi</w:t>
      </w:r>
      <w:proofErr w:type="spellEnd"/>
      <w:r w:rsidRPr="004E6078">
        <w:rPr>
          <w:rFonts w:asciiTheme="minorHAnsi" w:hAnsiTheme="minorHAnsi" w:cstheme="minorHAnsi"/>
          <w:i/>
          <w:iCs/>
          <w:color w:val="222222"/>
          <w:shd w:val="clear" w:color="auto" w:fill="FFFFFF"/>
        </w:rPr>
        <w:t xml:space="preserve">, </w:t>
      </w:r>
      <w:r w:rsidRPr="004E6078">
        <w:rPr>
          <w:rFonts w:asciiTheme="minorHAnsi" w:hAnsiTheme="minorHAnsi" w:cstheme="minorHAnsi"/>
          <w:color w:val="222222"/>
          <w:shd w:val="clear" w:color="auto" w:fill="FFFFFF"/>
        </w:rPr>
        <w:t xml:space="preserve">16(3), pp. 406-416. Available at: </w:t>
      </w:r>
      <w:hyperlink r:id="rId11" w:history="1">
        <w:r w:rsidRPr="004E6078">
          <w:rPr>
            <w:rStyle w:val="Hyperlink"/>
            <w:rFonts w:asciiTheme="minorHAnsi" w:hAnsiTheme="minorHAnsi" w:cstheme="minorHAnsi"/>
          </w:rPr>
          <w:t>https://www.researchgate.net/publication/373775939</w:t>
        </w:r>
      </w:hyperlink>
    </w:p>
    <w:p w14:paraId="30E57E62" w14:textId="77777777" w:rsidR="004E6078" w:rsidRDefault="004E6078" w:rsidP="004E6078">
      <w:pPr>
        <w:spacing w:line="360" w:lineRule="auto"/>
        <w:rPr>
          <w:rFonts w:asciiTheme="minorHAnsi" w:hAnsiTheme="minorHAnsi" w:cstheme="minorHAnsi"/>
          <w:kern w:val="36"/>
          <w:lang w:eastAsia="en-GB"/>
        </w:rPr>
      </w:pPr>
    </w:p>
    <w:p w14:paraId="07A63D57" w14:textId="777DD1C6" w:rsidR="004E6078" w:rsidRPr="004E6078" w:rsidRDefault="004E6078" w:rsidP="004E6078">
      <w:pPr>
        <w:spacing w:line="360" w:lineRule="auto"/>
        <w:rPr>
          <w:rFonts w:asciiTheme="minorHAnsi" w:hAnsiTheme="minorHAnsi" w:cstheme="minorHAnsi"/>
          <w:kern w:val="36"/>
          <w:lang w:eastAsia="en-GB"/>
        </w:rPr>
      </w:pPr>
      <w:r w:rsidRPr="004E6078">
        <w:rPr>
          <w:rFonts w:asciiTheme="minorHAnsi" w:hAnsiTheme="minorHAnsi" w:cstheme="minorHAnsi"/>
          <w:kern w:val="36"/>
          <w:lang w:eastAsia="en-GB"/>
        </w:rPr>
        <w:t>Bangura, S. (2024) ‘Human Resource Information System (</w:t>
      </w:r>
      <w:proofErr w:type="spellStart"/>
      <w:r w:rsidRPr="004E6078">
        <w:rPr>
          <w:rFonts w:asciiTheme="minorHAnsi" w:hAnsiTheme="minorHAnsi" w:cstheme="minorHAnsi"/>
          <w:kern w:val="36"/>
          <w:lang w:eastAsia="en-GB"/>
        </w:rPr>
        <w:t>Hris</w:t>
      </w:r>
      <w:proofErr w:type="spellEnd"/>
      <w:r w:rsidRPr="004E6078">
        <w:rPr>
          <w:rFonts w:asciiTheme="minorHAnsi" w:hAnsiTheme="minorHAnsi" w:cstheme="minorHAnsi"/>
          <w:kern w:val="36"/>
          <w:lang w:eastAsia="en-GB"/>
        </w:rPr>
        <w:t xml:space="preserve">): navigating the implementation, challenges, and benefits’, </w:t>
      </w:r>
      <w:r w:rsidRPr="004E6078">
        <w:rPr>
          <w:rFonts w:asciiTheme="minorHAnsi" w:hAnsiTheme="minorHAnsi" w:cstheme="minorHAnsi"/>
          <w:i/>
          <w:iCs/>
          <w:kern w:val="36"/>
          <w:lang w:eastAsia="en-GB"/>
        </w:rPr>
        <w:t>International Journal of Business &amp; Management Studies</w:t>
      </w:r>
      <w:r w:rsidRPr="004E6078">
        <w:rPr>
          <w:rFonts w:asciiTheme="minorHAnsi" w:hAnsiTheme="minorHAnsi" w:cstheme="minorHAnsi"/>
          <w:kern w:val="36"/>
          <w:lang w:eastAsia="en-GB"/>
        </w:rPr>
        <w:t xml:space="preserve">, 5(10), pp.25-32. Available at: </w:t>
      </w:r>
      <w:hyperlink r:id="rId12" w:tgtFrame="_blank" w:history="1">
        <w:r w:rsidRPr="004E6078">
          <w:rPr>
            <w:rStyle w:val="Hyperlink"/>
            <w:rFonts w:asciiTheme="minorHAnsi" w:hAnsiTheme="minorHAnsi" w:cstheme="minorHAnsi"/>
            <w:bdr w:val="none" w:sz="0" w:space="0" w:color="auto" w:frame="1"/>
            <w:shd w:val="clear" w:color="auto" w:fill="FFFFFF"/>
          </w:rPr>
          <w:t>10.56734/</w:t>
        </w:r>
        <w:proofErr w:type="gramStart"/>
        <w:r w:rsidRPr="004E6078">
          <w:rPr>
            <w:rStyle w:val="Hyperlink"/>
            <w:rFonts w:asciiTheme="minorHAnsi" w:hAnsiTheme="minorHAnsi" w:cstheme="minorHAnsi"/>
            <w:bdr w:val="none" w:sz="0" w:space="0" w:color="auto" w:frame="1"/>
            <w:shd w:val="clear" w:color="auto" w:fill="FFFFFF"/>
          </w:rPr>
          <w:t>ijbms.v</w:t>
        </w:r>
        <w:proofErr w:type="gramEnd"/>
        <w:r w:rsidRPr="004E6078">
          <w:rPr>
            <w:rStyle w:val="Hyperlink"/>
            <w:rFonts w:asciiTheme="minorHAnsi" w:hAnsiTheme="minorHAnsi" w:cstheme="minorHAnsi"/>
            <w:bdr w:val="none" w:sz="0" w:space="0" w:color="auto" w:frame="1"/>
            <w:shd w:val="clear" w:color="auto" w:fill="FFFFFF"/>
          </w:rPr>
          <w:t>5n10a3</w:t>
        </w:r>
      </w:hyperlink>
    </w:p>
    <w:p w14:paraId="5E59F758" w14:textId="77777777" w:rsidR="004E6078" w:rsidRDefault="004E6078" w:rsidP="004E6078">
      <w:pPr>
        <w:spacing w:line="360" w:lineRule="auto"/>
        <w:rPr>
          <w:rFonts w:asciiTheme="minorHAnsi" w:hAnsiTheme="minorHAnsi" w:cstheme="minorHAnsi"/>
          <w:bdr w:val="none" w:sz="0" w:space="0" w:color="auto" w:frame="1"/>
          <w:lang w:eastAsia="en-GB"/>
        </w:rPr>
      </w:pPr>
    </w:p>
    <w:p w14:paraId="0F8BE629" w14:textId="6F2E4D57" w:rsidR="004E6078" w:rsidRPr="004E6078" w:rsidRDefault="004E6078" w:rsidP="004E6078">
      <w:pPr>
        <w:spacing w:line="360" w:lineRule="auto"/>
        <w:rPr>
          <w:rFonts w:asciiTheme="minorHAnsi" w:hAnsiTheme="minorHAnsi" w:cstheme="minorHAnsi"/>
          <w:bdr w:val="none" w:sz="0" w:space="0" w:color="auto" w:frame="1"/>
          <w:lang w:eastAsia="en-GB"/>
        </w:rPr>
      </w:pPr>
      <w:proofErr w:type="spellStart"/>
      <w:r w:rsidRPr="004E6078">
        <w:rPr>
          <w:rFonts w:asciiTheme="minorHAnsi" w:hAnsiTheme="minorHAnsi" w:cstheme="minorHAnsi"/>
          <w:bdr w:val="none" w:sz="0" w:space="0" w:color="auto" w:frame="1"/>
          <w:lang w:eastAsia="en-GB"/>
        </w:rPr>
        <w:t>Barends</w:t>
      </w:r>
      <w:proofErr w:type="spellEnd"/>
      <w:r w:rsidRPr="004E6078">
        <w:rPr>
          <w:rFonts w:asciiTheme="minorHAnsi" w:hAnsiTheme="minorHAnsi" w:cstheme="minorHAnsi"/>
          <w:bdr w:val="none" w:sz="0" w:space="0" w:color="auto" w:frame="1"/>
          <w:lang w:eastAsia="en-GB"/>
        </w:rPr>
        <w:t xml:space="preserve">, E. and Rousseau, D. (2018) </w:t>
      </w:r>
      <w:r w:rsidRPr="004E6078">
        <w:rPr>
          <w:rFonts w:asciiTheme="minorHAnsi" w:hAnsiTheme="minorHAnsi" w:cstheme="minorHAnsi"/>
          <w:i/>
          <w:iCs/>
          <w:bdr w:val="none" w:sz="0" w:space="0" w:color="auto" w:frame="1"/>
          <w:lang w:eastAsia="en-GB"/>
        </w:rPr>
        <w:t>Evidence-Based Management: How to Use Evidence to Make Better Organizational Decisions.</w:t>
      </w:r>
      <w:r w:rsidRPr="004E6078">
        <w:rPr>
          <w:rFonts w:asciiTheme="minorHAnsi" w:hAnsiTheme="minorHAnsi" w:cstheme="minorHAnsi"/>
          <w:bdr w:val="none" w:sz="0" w:space="0" w:color="auto" w:frame="1"/>
          <w:lang w:eastAsia="en-GB"/>
        </w:rPr>
        <w:t xml:space="preserve"> Kogan Page.</w:t>
      </w:r>
    </w:p>
    <w:p w14:paraId="19F50AE0" w14:textId="77777777" w:rsidR="004E6078" w:rsidRDefault="004E6078" w:rsidP="004E6078">
      <w:pPr>
        <w:spacing w:line="360" w:lineRule="auto"/>
        <w:rPr>
          <w:rFonts w:asciiTheme="minorHAnsi" w:hAnsiTheme="minorHAnsi" w:cstheme="minorHAnsi"/>
        </w:rPr>
      </w:pPr>
    </w:p>
    <w:p w14:paraId="0509652D" w14:textId="3C72C4CF" w:rsidR="004E6078" w:rsidRPr="004E6078" w:rsidRDefault="004E6078" w:rsidP="004E6078">
      <w:pPr>
        <w:spacing w:line="360" w:lineRule="auto"/>
        <w:rPr>
          <w:rFonts w:asciiTheme="minorHAnsi" w:hAnsiTheme="minorHAnsi" w:cstheme="minorHAnsi"/>
        </w:rPr>
      </w:pPr>
      <w:proofErr w:type="spellStart"/>
      <w:r w:rsidRPr="004E6078">
        <w:rPr>
          <w:rFonts w:asciiTheme="minorHAnsi" w:hAnsiTheme="minorHAnsi" w:cstheme="minorHAnsi"/>
        </w:rPr>
        <w:t>Barends</w:t>
      </w:r>
      <w:proofErr w:type="spellEnd"/>
      <w:r w:rsidRPr="004E6078">
        <w:rPr>
          <w:rFonts w:asciiTheme="minorHAnsi" w:hAnsiTheme="minorHAnsi" w:cstheme="minorHAnsi"/>
        </w:rPr>
        <w:t xml:space="preserve">, E., Rousseau, D. and Briner, R. (2017) </w:t>
      </w:r>
      <w:r w:rsidRPr="004E6078">
        <w:rPr>
          <w:rStyle w:val="Emphasis"/>
          <w:rFonts w:asciiTheme="minorHAnsi" w:hAnsiTheme="minorHAnsi" w:cstheme="minorHAnsi"/>
        </w:rPr>
        <w:t>Evidence-Based Management: How to Use Evidence to Make Better Organizational Decisions</w:t>
      </w:r>
      <w:r w:rsidRPr="004E6078">
        <w:rPr>
          <w:rFonts w:asciiTheme="minorHAnsi" w:hAnsiTheme="minorHAnsi" w:cstheme="minorHAnsi"/>
        </w:rPr>
        <w:t>. Kogan Page.</w:t>
      </w:r>
    </w:p>
    <w:p w14:paraId="18C9CBA5" w14:textId="77777777" w:rsidR="004E6078" w:rsidRDefault="004E6078" w:rsidP="004E6078">
      <w:pPr>
        <w:spacing w:line="360" w:lineRule="auto"/>
        <w:rPr>
          <w:rFonts w:asciiTheme="minorHAnsi" w:hAnsiTheme="minorHAnsi" w:cstheme="minorHAnsi"/>
          <w:color w:val="222222"/>
          <w:shd w:val="clear" w:color="auto" w:fill="FFFFFF"/>
        </w:rPr>
      </w:pPr>
    </w:p>
    <w:p w14:paraId="547B1E40" w14:textId="68AEE666"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Beevers</w:t>
      </w:r>
      <w:proofErr w:type="spellEnd"/>
      <w:r w:rsidRPr="004E6078">
        <w:rPr>
          <w:rFonts w:asciiTheme="minorHAnsi" w:hAnsiTheme="minorHAnsi" w:cstheme="minorHAnsi"/>
          <w:color w:val="222222"/>
          <w:shd w:val="clear" w:color="auto" w:fill="FFFFFF"/>
        </w:rPr>
        <w:t>, K. and Rea, A. (2016) </w:t>
      </w:r>
      <w:r w:rsidRPr="004E6078">
        <w:rPr>
          <w:rFonts w:asciiTheme="minorHAnsi" w:hAnsiTheme="minorHAnsi" w:cstheme="minorHAnsi"/>
          <w:i/>
          <w:iCs/>
          <w:color w:val="222222"/>
          <w:shd w:val="clear" w:color="auto" w:fill="FFFFFF"/>
        </w:rPr>
        <w:t>Learning and development practice in the workplace</w:t>
      </w:r>
      <w:r w:rsidRPr="004E6078">
        <w:rPr>
          <w:rFonts w:asciiTheme="minorHAnsi" w:hAnsiTheme="minorHAnsi" w:cstheme="minorHAnsi"/>
          <w:color w:val="222222"/>
          <w:shd w:val="clear" w:color="auto" w:fill="FFFFFF"/>
        </w:rPr>
        <w:t>. 3</w:t>
      </w:r>
      <w:r w:rsidRPr="004E6078">
        <w:rPr>
          <w:rFonts w:asciiTheme="minorHAnsi" w:hAnsiTheme="minorHAnsi" w:cstheme="minorHAnsi"/>
          <w:color w:val="222222"/>
          <w:shd w:val="clear" w:color="auto" w:fill="FFFFFF"/>
          <w:vertAlign w:val="superscript"/>
        </w:rPr>
        <w:t>rd</w:t>
      </w:r>
      <w:r w:rsidRPr="004E6078">
        <w:rPr>
          <w:rFonts w:asciiTheme="minorHAnsi" w:hAnsiTheme="minorHAnsi" w:cstheme="minorHAnsi"/>
          <w:color w:val="222222"/>
          <w:shd w:val="clear" w:color="auto" w:fill="FFFFFF"/>
        </w:rPr>
        <w:t xml:space="preserve"> </w:t>
      </w:r>
      <w:proofErr w:type="spellStart"/>
      <w:r w:rsidRPr="004E6078">
        <w:rPr>
          <w:rFonts w:asciiTheme="minorHAnsi" w:hAnsiTheme="minorHAnsi" w:cstheme="minorHAnsi"/>
          <w:color w:val="222222"/>
          <w:shd w:val="clear" w:color="auto" w:fill="FFFFFF"/>
        </w:rPr>
        <w:t>edn</w:t>
      </w:r>
      <w:proofErr w:type="spellEnd"/>
      <w:r w:rsidRPr="004E6078">
        <w:rPr>
          <w:rFonts w:asciiTheme="minorHAnsi" w:hAnsiTheme="minorHAnsi" w:cstheme="minorHAnsi"/>
          <w:color w:val="222222"/>
          <w:shd w:val="clear" w:color="auto" w:fill="FFFFFF"/>
        </w:rPr>
        <w:t>. Kogan Page.</w:t>
      </w:r>
    </w:p>
    <w:p w14:paraId="6FD62CA4" w14:textId="77777777" w:rsidR="004E6078" w:rsidRDefault="004E6078" w:rsidP="004E6078">
      <w:pPr>
        <w:spacing w:line="360" w:lineRule="auto"/>
        <w:rPr>
          <w:rFonts w:asciiTheme="minorHAnsi" w:hAnsiTheme="minorHAnsi" w:cstheme="minorHAnsi"/>
          <w:color w:val="222222"/>
          <w:shd w:val="clear" w:color="auto" w:fill="FFFFFF"/>
        </w:rPr>
      </w:pPr>
    </w:p>
    <w:p w14:paraId="12447237" w14:textId="109644B2"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 xml:space="preserve">Biggs, J. and Tang, C. (2011) </w:t>
      </w:r>
      <w:r w:rsidRPr="004E6078">
        <w:rPr>
          <w:rFonts w:asciiTheme="minorHAnsi" w:hAnsiTheme="minorHAnsi" w:cstheme="minorHAnsi"/>
          <w:i/>
          <w:iCs/>
          <w:color w:val="222222"/>
          <w:shd w:val="clear" w:color="auto" w:fill="FFFFFF"/>
        </w:rPr>
        <w:t xml:space="preserve">Teaching for Quality Learning at University: What the Student Does. </w:t>
      </w:r>
      <w:r w:rsidRPr="004E6078">
        <w:rPr>
          <w:rFonts w:asciiTheme="minorHAnsi" w:hAnsiTheme="minorHAnsi" w:cstheme="minorHAnsi"/>
          <w:color w:val="222222"/>
          <w:shd w:val="clear" w:color="auto" w:fill="FFFFFF"/>
        </w:rPr>
        <w:t>4</w:t>
      </w:r>
      <w:r w:rsidRPr="004E6078">
        <w:rPr>
          <w:rFonts w:asciiTheme="minorHAnsi" w:hAnsiTheme="minorHAnsi" w:cstheme="minorHAnsi"/>
          <w:color w:val="222222"/>
          <w:shd w:val="clear" w:color="auto" w:fill="FFFFFF"/>
          <w:vertAlign w:val="superscript"/>
        </w:rPr>
        <w:t>th</w:t>
      </w:r>
      <w:r w:rsidRPr="004E6078">
        <w:rPr>
          <w:rFonts w:asciiTheme="minorHAnsi" w:hAnsiTheme="minorHAnsi" w:cstheme="minorHAnsi"/>
          <w:color w:val="222222"/>
          <w:shd w:val="clear" w:color="auto" w:fill="FFFFFF"/>
        </w:rPr>
        <w:t xml:space="preserve"> </w:t>
      </w:r>
      <w:proofErr w:type="spellStart"/>
      <w:r w:rsidRPr="004E6078">
        <w:rPr>
          <w:rFonts w:asciiTheme="minorHAnsi" w:hAnsiTheme="minorHAnsi" w:cstheme="minorHAnsi"/>
          <w:color w:val="222222"/>
          <w:shd w:val="clear" w:color="auto" w:fill="FFFFFF"/>
        </w:rPr>
        <w:t>edn</w:t>
      </w:r>
      <w:proofErr w:type="spellEnd"/>
      <w:r w:rsidRPr="004E6078">
        <w:rPr>
          <w:rFonts w:asciiTheme="minorHAnsi" w:hAnsiTheme="minorHAnsi" w:cstheme="minorHAnsi"/>
          <w:color w:val="222222"/>
          <w:shd w:val="clear" w:color="auto" w:fill="FFFFFF"/>
        </w:rPr>
        <w:t>. Open University Press.</w:t>
      </w:r>
    </w:p>
    <w:p w14:paraId="48963376" w14:textId="77777777" w:rsidR="004E6078" w:rsidRDefault="004E6078" w:rsidP="004E6078">
      <w:pPr>
        <w:spacing w:line="360" w:lineRule="auto"/>
        <w:rPr>
          <w:rFonts w:asciiTheme="minorHAnsi" w:hAnsiTheme="minorHAnsi" w:cstheme="minorHAnsi"/>
          <w:color w:val="222222"/>
          <w:shd w:val="clear" w:color="auto" w:fill="FFFFFF"/>
        </w:rPr>
      </w:pPr>
    </w:p>
    <w:p w14:paraId="66DE7036" w14:textId="067B7077"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lastRenderedPageBreak/>
        <w:t>Birch-Jensen, A. (2015) </w:t>
      </w:r>
      <w:r w:rsidRPr="004E6078">
        <w:rPr>
          <w:rFonts w:asciiTheme="minorHAnsi" w:hAnsiTheme="minorHAnsi" w:cstheme="minorHAnsi"/>
          <w:i/>
          <w:iCs/>
          <w:color w:val="222222"/>
          <w:shd w:val="clear" w:color="auto" w:fill="FFFFFF"/>
        </w:rPr>
        <w:t>Exploring the current utilization of non-financial performance measurements with a focus on customer satisfaction measurements</w:t>
      </w:r>
      <w:r w:rsidRPr="004E6078">
        <w:rPr>
          <w:rFonts w:asciiTheme="minorHAnsi" w:hAnsiTheme="minorHAnsi" w:cstheme="minorHAnsi"/>
          <w:color w:val="222222"/>
          <w:shd w:val="clear" w:color="auto" w:fill="FFFFFF"/>
        </w:rPr>
        <w:t xml:space="preserve">. PhD thesis. Chalmers University of Technology. Available at: </w:t>
      </w:r>
      <w:hyperlink r:id="rId13" w:history="1">
        <w:r w:rsidRPr="004E6078">
          <w:rPr>
            <w:rStyle w:val="Hyperlink"/>
            <w:rFonts w:asciiTheme="minorHAnsi" w:hAnsiTheme="minorHAnsi" w:cstheme="minorHAnsi"/>
            <w:shd w:val="clear" w:color="auto" w:fill="FFFFFF"/>
          </w:rPr>
          <w:t>https://publications.lib.chalmers.se/records/fulltext/231876/231876.pdf</w:t>
        </w:r>
      </w:hyperlink>
      <w:r w:rsidRPr="004E6078">
        <w:rPr>
          <w:rFonts w:asciiTheme="minorHAnsi" w:hAnsiTheme="minorHAnsi" w:cstheme="minorHAnsi"/>
          <w:color w:val="222222"/>
          <w:shd w:val="clear" w:color="auto" w:fill="FFFFFF"/>
        </w:rPr>
        <w:t xml:space="preserve"> (Accessed: 10 January 2026).</w:t>
      </w:r>
    </w:p>
    <w:p w14:paraId="6C6EBFA3" w14:textId="77777777" w:rsidR="004E6078" w:rsidRDefault="004E6078" w:rsidP="004E6078">
      <w:pPr>
        <w:spacing w:line="360" w:lineRule="auto"/>
        <w:rPr>
          <w:rFonts w:asciiTheme="minorHAnsi" w:hAnsiTheme="minorHAnsi" w:cstheme="minorHAnsi"/>
          <w:color w:val="222222"/>
          <w:shd w:val="clear" w:color="auto" w:fill="FFFFFF"/>
        </w:rPr>
      </w:pPr>
    </w:p>
    <w:p w14:paraId="7E83A559" w14:textId="40F0340A"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Boadway</w:t>
      </w:r>
      <w:proofErr w:type="spellEnd"/>
      <w:r w:rsidRPr="004E6078">
        <w:rPr>
          <w:rFonts w:asciiTheme="minorHAnsi" w:hAnsiTheme="minorHAnsi" w:cstheme="minorHAnsi"/>
          <w:color w:val="222222"/>
          <w:shd w:val="clear" w:color="auto" w:fill="FFFFFF"/>
        </w:rPr>
        <w:t xml:space="preserve">, R. (2016) ‘Cost-Benefit Analysis’, in M. Adler and M. </w:t>
      </w:r>
      <w:proofErr w:type="spellStart"/>
      <w:r w:rsidRPr="004E6078">
        <w:rPr>
          <w:rFonts w:asciiTheme="minorHAnsi" w:hAnsiTheme="minorHAnsi" w:cstheme="minorHAnsi"/>
          <w:color w:val="222222"/>
          <w:shd w:val="clear" w:color="auto" w:fill="FFFFFF"/>
        </w:rPr>
        <w:t>Fleurbaey</w:t>
      </w:r>
      <w:proofErr w:type="spellEnd"/>
      <w:r w:rsidRPr="004E6078">
        <w:rPr>
          <w:rFonts w:asciiTheme="minorHAnsi" w:hAnsiTheme="minorHAnsi" w:cstheme="minorHAnsi"/>
          <w:color w:val="222222"/>
          <w:shd w:val="clear" w:color="auto" w:fill="FFFFFF"/>
        </w:rPr>
        <w:t xml:space="preserve"> (eds) </w:t>
      </w:r>
      <w:r w:rsidRPr="004E6078">
        <w:rPr>
          <w:rFonts w:asciiTheme="minorHAnsi" w:hAnsiTheme="minorHAnsi" w:cstheme="minorHAnsi"/>
          <w:i/>
          <w:iCs/>
          <w:color w:val="222222"/>
          <w:shd w:val="clear" w:color="auto" w:fill="FFFFFF"/>
        </w:rPr>
        <w:t>The Oxford Handbook of Well-Being and Public Policy</w:t>
      </w:r>
      <w:r w:rsidRPr="004E6078">
        <w:rPr>
          <w:rFonts w:asciiTheme="minorHAnsi" w:hAnsiTheme="minorHAnsi" w:cstheme="minorHAnsi"/>
          <w:color w:val="222222"/>
          <w:shd w:val="clear" w:color="auto" w:fill="FFFFFF"/>
        </w:rPr>
        <w:t>. Oxford University Press, pp. 47-81.</w:t>
      </w:r>
    </w:p>
    <w:p w14:paraId="6CEE89C9" w14:textId="77777777" w:rsidR="004E6078" w:rsidRDefault="004E6078" w:rsidP="004E6078">
      <w:pPr>
        <w:spacing w:line="360" w:lineRule="auto"/>
        <w:rPr>
          <w:rFonts w:asciiTheme="minorHAnsi" w:hAnsiTheme="minorHAnsi" w:cstheme="minorHAnsi"/>
        </w:rPr>
      </w:pPr>
    </w:p>
    <w:p w14:paraId="1B6B5074" w14:textId="6FBAD0F0"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Boatright, J. (2020) </w:t>
      </w:r>
      <w:r w:rsidRPr="004E6078">
        <w:rPr>
          <w:rStyle w:val="Emphasis"/>
          <w:rFonts w:asciiTheme="minorHAnsi" w:hAnsiTheme="minorHAnsi" w:cstheme="minorHAnsi"/>
        </w:rPr>
        <w:t>Ethics and the conduct of business</w:t>
      </w:r>
      <w:r w:rsidRPr="004E6078">
        <w:rPr>
          <w:rFonts w:asciiTheme="minorHAnsi" w:hAnsiTheme="minorHAnsi" w:cstheme="minorHAnsi"/>
        </w:rPr>
        <w:t xml:space="preserve">. 9th </w:t>
      </w:r>
      <w:proofErr w:type="spellStart"/>
      <w:r w:rsidRPr="004E6078">
        <w:rPr>
          <w:rFonts w:asciiTheme="minorHAnsi" w:hAnsiTheme="minorHAnsi" w:cstheme="minorHAnsi"/>
        </w:rPr>
        <w:t>edn</w:t>
      </w:r>
      <w:proofErr w:type="spellEnd"/>
      <w:r w:rsidRPr="004E6078">
        <w:rPr>
          <w:rFonts w:asciiTheme="minorHAnsi" w:hAnsiTheme="minorHAnsi" w:cstheme="minorHAnsi"/>
        </w:rPr>
        <w:t>. Pearson.</w:t>
      </w:r>
    </w:p>
    <w:p w14:paraId="377DCAD6" w14:textId="77777777" w:rsidR="004E6078" w:rsidRDefault="004E6078" w:rsidP="004E6078">
      <w:pPr>
        <w:spacing w:line="360" w:lineRule="auto"/>
        <w:rPr>
          <w:rFonts w:asciiTheme="minorHAnsi" w:hAnsiTheme="minorHAnsi" w:cstheme="minorHAnsi"/>
          <w:lang w:eastAsia="en-GB"/>
        </w:rPr>
      </w:pPr>
    </w:p>
    <w:p w14:paraId="7EFA3533" w14:textId="1628D4F0"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Boxall, P. and Purcell, J. (2016) </w:t>
      </w:r>
      <w:r w:rsidRPr="004E6078">
        <w:rPr>
          <w:rFonts w:asciiTheme="minorHAnsi" w:hAnsiTheme="minorHAnsi" w:cstheme="minorHAnsi"/>
          <w:i/>
          <w:iCs/>
          <w:lang w:eastAsia="en-GB"/>
        </w:rPr>
        <w:t>Strategy and human resource management</w:t>
      </w:r>
      <w:r w:rsidRPr="004E6078">
        <w:rPr>
          <w:rFonts w:asciiTheme="minorHAnsi" w:hAnsiTheme="minorHAnsi" w:cstheme="minorHAnsi"/>
          <w:lang w:eastAsia="en-GB"/>
        </w:rPr>
        <w:t xml:space="preserve">. 4th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Palgrave Macmillan.</w:t>
      </w:r>
    </w:p>
    <w:p w14:paraId="4BB7B93D" w14:textId="77777777" w:rsidR="004E6078" w:rsidRDefault="004E6078" w:rsidP="004E6078">
      <w:pPr>
        <w:spacing w:line="360" w:lineRule="auto"/>
        <w:rPr>
          <w:rFonts w:asciiTheme="minorHAnsi" w:hAnsiTheme="minorHAnsi" w:cstheme="minorHAnsi"/>
          <w:lang w:eastAsia="en-GB"/>
        </w:rPr>
      </w:pPr>
    </w:p>
    <w:p w14:paraId="5FD7D52B" w14:textId="6FDB50CD" w:rsidR="004E6078" w:rsidRPr="004E6078" w:rsidRDefault="004E6078" w:rsidP="004E6078">
      <w:pPr>
        <w:spacing w:line="360" w:lineRule="auto"/>
        <w:rPr>
          <w:rStyle w:val="Hyperlink"/>
          <w:rFonts w:asciiTheme="minorHAnsi" w:eastAsia="Times New Roman" w:hAnsiTheme="minorHAnsi" w:cstheme="minorHAnsi"/>
          <w:color w:val="auto"/>
          <w:u w:val="none"/>
          <w:lang w:eastAsia="en-GB"/>
        </w:rPr>
      </w:pPr>
      <w:proofErr w:type="spellStart"/>
      <w:r w:rsidRPr="004E6078">
        <w:rPr>
          <w:rFonts w:asciiTheme="minorHAnsi" w:hAnsiTheme="minorHAnsi" w:cstheme="minorHAnsi"/>
          <w:lang w:eastAsia="en-GB"/>
        </w:rPr>
        <w:t>Browes</w:t>
      </w:r>
      <w:proofErr w:type="spellEnd"/>
      <w:r w:rsidRPr="004E6078">
        <w:rPr>
          <w:rFonts w:asciiTheme="minorHAnsi" w:hAnsiTheme="minorHAnsi" w:cstheme="minorHAnsi"/>
          <w:lang w:eastAsia="en-GB"/>
        </w:rPr>
        <w:t xml:space="preserve">, E. (2021) </w:t>
      </w:r>
      <w:r w:rsidRPr="004E6078">
        <w:rPr>
          <w:rFonts w:asciiTheme="minorHAnsi" w:hAnsiTheme="minorHAnsi" w:cstheme="minorHAnsi"/>
          <w:i/>
          <w:iCs/>
          <w:lang w:eastAsia="en-GB"/>
        </w:rPr>
        <w:t>Masterclass: how to use pulse surveys effectively</w:t>
      </w:r>
      <w:r w:rsidRPr="004E6078">
        <w:rPr>
          <w:rFonts w:asciiTheme="minorHAnsi" w:hAnsiTheme="minorHAnsi" w:cstheme="minorHAnsi"/>
          <w:lang w:eastAsia="en-GB"/>
        </w:rPr>
        <w:t xml:space="preserve">. Available at: </w:t>
      </w:r>
      <w:hyperlink r:id="rId14" w:history="1">
        <w:r w:rsidRPr="004E6078">
          <w:rPr>
            <w:rStyle w:val="Hyperlink"/>
            <w:rFonts w:asciiTheme="minorHAnsi" w:eastAsia="Times New Roman" w:hAnsiTheme="minorHAnsi" w:cstheme="minorHAnsi"/>
            <w:lang w:eastAsia="en-GB"/>
          </w:rPr>
          <w:t>https://www.peoplemanagement.co.uk/article/1741217/masterclass-how-to-use-pulse-surveys-effectively</w:t>
        </w:r>
      </w:hyperlink>
      <w:r w:rsidRPr="004E6078">
        <w:rPr>
          <w:rStyle w:val="Hyperlink"/>
          <w:rFonts w:asciiTheme="minorHAnsi" w:eastAsia="Times New Roman" w:hAnsiTheme="minorHAnsi" w:cstheme="minorHAnsi"/>
          <w:lang w:eastAsia="en-GB"/>
        </w:rPr>
        <w:t xml:space="preserve"> </w:t>
      </w:r>
      <w:r w:rsidRPr="004E6078">
        <w:rPr>
          <w:rStyle w:val="Hyperlink"/>
          <w:rFonts w:asciiTheme="minorHAnsi" w:eastAsia="Times New Roman" w:hAnsiTheme="minorHAnsi" w:cstheme="minorHAnsi"/>
          <w:color w:val="auto"/>
          <w:u w:val="none"/>
          <w:lang w:eastAsia="en-GB"/>
        </w:rPr>
        <w:t>(Accessed: 31 December 2025).</w:t>
      </w:r>
    </w:p>
    <w:p w14:paraId="55B58019" w14:textId="77777777" w:rsidR="004E6078" w:rsidRDefault="004E6078" w:rsidP="004E6078">
      <w:pPr>
        <w:spacing w:line="360" w:lineRule="auto"/>
        <w:rPr>
          <w:rFonts w:asciiTheme="minorHAnsi" w:hAnsiTheme="minorHAnsi" w:cstheme="minorHAnsi"/>
          <w:kern w:val="36"/>
          <w:lang w:eastAsia="en-GB"/>
        </w:rPr>
      </w:pPr>
    </w:p>
    <w:p w14:paraId="7619C555" w14:textId="624A413C" w:rsidR="004E6078" w:rsidRPr="004E6078" w:rsidRDefault="004E6078" w:rsidP="004E6078">
      <w:pPr>
        <w:spacing w:line="360" w:lineRule="auto"/>
        <w:rPr>
          <w:rStyle w:val="Hyperlink"/>
          <w:rFonts w:asciiTheme="minorHAnsi" w:hAnsiTheme="minorHAnsi" w:cstheme="minorHAnsi"/>
          <w:color w:val="auto"/>
          <w:kern w:val="36"/>
          <w:u w:val="none"/>
          <w:lang w:eastAsia="en-GB"/>
        </w:rPr>
      </w:pPr>
      <w:r w:rsidRPr="004E6078">
        <w:rPr>
          <w:rFonts w:asciiTheme="minorHAnsi" w:hAnsiTheme="minorHAnsi" w:cstheme="minorHAnsi"/>
          <w:kern w:val="36"/>
          <w:lang w:eastAsia="en-GB"/>
        </w:rPr>
        <w:t xml:space="preserve">Carter A., Hirsh, W., Mercer, M. and Reilly, P. (2011) </w:t>
      </w:r>
      <w:r w:rsidRPr="004E6078">
        <w:rPr>
          <w:rFonts w:asciiTheme="minorHAnsi" w:hAnsiTheme="minorHAnsi" w:cstheme="minorHAnsi"/>
          <w:i/>
          <w:iCs/>
          <w:kern w:val="36"/>
          <w:lang w:eastAsia="en-GB"/>
        </w:rPr>
        <w:t>Obtaining Customer Feedback on HR: Finding out what managers and employees think of HR services and the HR function.</w:t>
      </w:r>
      <w:r w:rsidRPr="004E6078">
        <w:rPr>
          <w:rFonts w:asciiTheme="minorHAnsi" w:hAnsiTheme="minorHAnsi" w:cstheme="minorHAnsi"/>
          <w:kern w:val="36"/>
          <w:lang w:eastAsia="en-GB"/>
        </w:rPr>
        <w:t xml:space="preserve"> Institute for Employment Studies. Available at: </w:t>
      </w:r>
      <w:hyperlink r:id="rId15" w:history="1">
        <w:r w:rsidRPr="004E6078">
          <w:rPr>
            <w:rStyle w:val="Hyperlink"/>
            <w:rFonts w:asciiTheme="minorHAnsi" w:eastAsia="Times New Roman" w:hAnsiTheme="minorHAnsi" w:cstheme="minorHAnsi"/>
            <w:kern w:val="36"/>
            <w:lang w:eastAsia="en-GB"/>
          </w:rPr>
          <w:t>https://www.employment-studies.co.uk/system/files/resources/files/479.pdf</w:t>
        </w:r>
      </w:hyperlink>
      <w:r w:rsidRPr="004E6078">
        <w:rPr>
          <w:rFonts w:asciiTheme="minorHAnsi" w:hAnsiTheme="minorHAnsi" w:cstheme="minorHAnsi"/>
          <w:color w:val="333333"/>
          <w:kern w:val="36"/>
          <w:lang w:eastAsia="en-GB"/>
        </w:rPr>
        <w:t xml:space="preserve"> </w:t>
      </w:r>
      <w:r w:rsidRPr="004E6078">
        <w:rPr>
          <w:rFonts w:asciiTheme="minorHAnsi" w:hAnsiTheme="minorHAnsi" w:cstheme="minorHAnsi"/>
          <w:kern w:val="36"/>
          <w:lang w:eastAsia="en-GB"/>
        </w:rPr>
        <w:t>(Accessed: 11 January 2026).</w:t>
      </w:r>
    </w:p>
    <w:p w14:paraId="29AF6503" w14:textId="77777777" w:rsidR="004E6078" w:rsidRDefault="004E6078" w:rsidP="004E6078">
      <w:pPr>
        <w:spacing w:line="360" w:lineRule="auto"/>
        <w:rPr>
          <w:rFonts w:asciiTheme="minorHAnsi" w:hAnsiTheme="minorHAnsi" w:cstheme="minorHAnsi"/>
          <w:shd w:val="clear" w:color="auto" w:fill="FFFFFF"/>
        </w:rPr>
      </w:pPr>
    </w:p>
    <w:p w14:paraId="55B4519A" w14:textId="0565B3CD" w:rsidR="004E6078" w:rsidRPr="004E6078" w:rsidRDefault="004E6078" w:rsidP="004E6078">
      <w:pPr>
        <w:spacing w:line="360" w:lineRule="auto"/>
        <w:rPr>
          <w:rStyle w:val="Hyperlink"/>
          <w:rFonts w:asciiTheme="minorHAnsi" w:hAnsiTheme="minorHAnsi" w:cstheme="minorHAnsi"/>
          <w:color w:val="auto"/>
          <w:u w:val="none"/>
          <w:shd w:val="clear" w:color="auto" w:fill="FFFFFF"/>
        </w:rPr>
      </w:pPr>
      <w:r w:rsidRPr="004E6078">
        <w:rPr>
          <w:rFonts w:asciiTheme="minorHAnsi" w:hAnsiTheme="minorHAnsi" w:cstheme="minorHAnsi"/>
          <w:shd w:val="clear" w:color="auto" w:fill="FFFFFF"/>
        </w:rPr>
        <w:t xml:space="preserve">Cascio, W. and Boudreau, J. (2011) </w:t>
      </w:r>
      <w:r w:rsidRPr="004E6078">
        <w:rPr>
          <w:rFonts w:asciiTheme="minorHAnsi" w:hAnsiTheme="minorHAnsi" w:cstheme="minorHAnsi"/>
          <w:i/>
          <w:iCs/>
          <w:shd w:val="clear" w:color="auto" w:fill="FFFFFF"/>
        </w:rPr>
        <w:t>Investing in People: Financial Impact of Human Resource Initiatives</w:t>
      </w:r>
      <w:r w:rsidRPr="004E6078">
        <w:rPr>
          <w:rFonts w:asciiTheme="minorHAnsi" w:hAnsiTheme="minorHAnsi" w:cstheme="minorHAnsi"/>
          <w:shd w:val="clear" w:color="auto" w:fill="FFFFFF"/>
        </w:rPr>
        <w:t>. Pearson Education.</w:t>
      </w:r>
    </w:p>
    <w:p w14:paraId="7B974500" w14:textId="77777777" w:rsidR="004E6078" w:rsidRDefault="004E6078" w:rsidP="004E6078">
      <w:pPr>
        <w:spacing w:line="360" w:lineRule="auto"/>
        <w:rPr>
          <w:rFonts w:asciiTheme="minorHAnsi" w:hAnsiTheme="minorHAnsi" w:cstheme="minorHAnsi"/>
        </w:rPr>
      </w:pPr>
    </w:p>
    <w:p w14:paraId="01AB6760" w14:textId="48C2FE01" w:rsidR="004E6078" w:rsidRPr="004E6078" w:rsidRDefault="004E6078" w:rsidP="004E6078">
      <w:pPr>
        <w:spacing w:line="360" w:lineRule="auto"/>
        <w:rPr>
          <w:rStyle w:val="Hyperlink"/>
          <w:rFonts w:asciiTheme="minorHAnsi" w:hAnsiTheme="minorHAnsi" w:cstheme="minorHAnsi"/>
          <w:color w:val="auto"/>
          <w:u w:val="none"/>
        </w:rPr>
      </w:pPr>
      <w:r w:rsidRPr="004E6078">
        <w:rPr>
          <w:rFonts w:asciiTheme="minorHAnsi" w:hAnsiTheme="minorHAnsi" w:cstheme="minorHAnsi"/>
        </w:rPr>
        <w:t xml:space="preserve">Cascio, W. and Boudreau, J. (2016) </w:t>
      </w:r>
      <w:r w:rsidRPr="004E6078">
        <w:rPr>
          <w:rStyle w:val="Emphasis"/>
          <w:rFonts w:asciiTheme="minorHAnsi" w:hAnsiTheme="minorHAnsi" w:cstheme="minorHAnsi"/>
        </w:rPr>
        <w:t>The Search for Global Competence: From International HR to Talent Management</w:t>
      </w:r>
      <w:r w:rsidRPr="004E6078">
        <w:rPr>
          <w:rFonts w:asciiTheme="minorHAnsi" w:hAnsiTheme="minorHAnsi" w:cstheme="minorHAnsi"/>
        </w:rPr>
        <w:t>. Cambridge University Press.</w:t>
      </w:r>
    </w:p>
    <w:p w14:paraId="0ED4719B" w14:textId="77777777" w:rsidR="004E6078" w:rsidRDefault="004E6078" w:rsidP="004E6078">
      <w:pPr>
        <w:spacing w:line="360" w:lineRule="auto"/>
        <w:rPr>
          <w:rFonts w:asciiTheme="minorHAnsi" w:hAnsiTheme="minorHAnsi" w:cstheme="minorHAnsi"/>
        </w:rPr>
      </w:pPr>
    </w:p>
    <w:p w14:paraId="27A98CF7" w14:textId="753F0CA1" w:rsidR="004E6078" w:rsidRPr="004E6078" w:rsidRDefault="004E6078" w:rsidP="004E6078">
      <w:pPr>
        <w:spacing w:line="360" w:lineRule="auto"/>
        <w:rPr>
          <w:rStyle w:val="Hyperlink"/>
          <w:rFonts w:asciiTheme="minorHAnsi" w:hAnsiTheme="minorHAnsi" w:cstheme="minorHAnsi"/>
          <w:color w:val="auto"/>
          <w:u w:val="none"/>
        </w:rPr>
      </w:pPr>
      <w:r w:rsidRPr="004E6078">
        <w:rPr>
          <w:rFonts w:asciiTheme="minorHAnsi" w:hAnsiTheme="minorHAnsi" w:cstheme="minorHAnsi"/>
        </w:rPr>
        <w:t xml:space="preserve">Chappell, R., Meissner, D. and </w:t>
      </w:r>
      <w:proofErr w:type="spellStart"/>
      <w:r w:rsidRPr="004E6078">
        <w:rPr>
          <w:rFonts w:asciiTheme="minorHAnsi" w:hAnsiTheme="minorHAnsi" w:cstheme="minorHAnsi"/>
        </w:rPr>
        <w:t>MackAskill</w:t>
      </w:r>
      <w:proofErr w:type="spellEnd"/>
      <w:r w:rsidRPr="004E6078">
        <w:rPr>
          <w:rFonts w:asciiTheme="minorHAnsi" w:hAnsiTheme="minorHAnsi" w:cstheme="minorHAnsi"/>
        </w:rPr>
        <w:t xml:space="preserve">, W. (2023) </w:t>
      </w:r>
      <w:r w:rsidRPr="004E6078">
        <w:rPr>
          <w:rFonts w:asciiTheme="minorHAnsi" w:hAnsiTheme="minorHAnsi" w:cstheme="minorHAnsi"/>
          <w:i/>
          <w:iCs/>
        </w:rPr>
        <w:t>An Introduction to Utilitarianism: From Theory to Practice</w:t>
      </w:r>
      <w:r w:rsidRPr="004E6078">
        <w:rPr>
          <w:rFonts w:asciiTheme="minorHAnsi" w:hAnsiTheme="minorHAnsi" w:cstheme="minorHAnsi"/>
        </w:rPr>
        <w:t>. Hackett Publishing.</w:t>
      </w:r>
    </w:p>
    <w:p w14:paraId="1715C8E7" w14:textId="77777777" w:rsidR="004E6078" w:rsidRDefault="004E6078" w:rsidP="004E6078">
      <w:pPr>
        <w:spacing w:line="360" w:lineRule="auto"/>
        <w:rPr>
          <w:rFonts w:asciiTheme="minorHAnsi" w:hAnsiTheme="minorHAnsi" w:cstheme="minorHAnsi"/>
          <w:lang w:eastAsia="en-GB"/>
        </w:rPr>
      </w:pPr>
    </w:p>
    <w:p w14:paraId="2E91B753" w14:textId="5A094124" w:rsidR="004E6078" w:rsidRPr="004E6078" w:rsidRDefault="004E6078" w:rsidP="004E6078">
      <w:pPr>
        <w:spacing w:line="360" w:lineRule="auto"/>
        <w:rPr>
          <w:rFonts w:asciiTheme="minorHAnsi" w:hAnsiTheme="minorHAnsi" w:cstheme="minorHAnsi"/>
          <w:lang w:eastAsia="en-GB"/>
        </w:rPr>
      </w:pPr>
      <w:proofErr w:type="spellStart"/>
      <w:r w:rsidRPr="004E6078">
        <w:rPr>
          <w:rFonts w:asciiTheme="minorHAnsi" w:hAnsiTheme="minorHAnsi" w:cstheme="minorHAnsi"/>
          <w:lang w:eastAsia="en-GB"/>
        </w:rPr>
        <w:t>Cholteeva</w:t>
      </w:r>
      <w:proofErr w:type="spellEnd"/>
      <w:r w:rsidRPr="004E6078">
        <w:rPr>
          <w:rFonts w:asciiTheme="minorHAnsi" w:hAnsiTheme="minorHAnsi" w:cstheme="minorHAnsi"/>
          <w:lang w:eastAsia="en-GB"/>
        </w:rPr>
        <w:t xml:space="preserve">, Y. (2022) </w:t>
      </w:r>
      <w:r w:rsidRPr="004E6078">
        <w:rPr>
          <w:rFonts w:asciiTheme="minorHAnsi" w:hAnsiTheme="minorHAnsi" w:cstheme="minorHAnsi"/>
          <w:i/>
          <w:iCs/>
          <w:lang w:eastAsia="en-GB"/>
        </w:rPr>
        <w:t>Just two fifths of employers conduct annual engagement surveys, report shows.</w:t>
      </w:r>
      <w:r w:rsidRPr="004E6078">
        <w:rPr>
          <w:rFonts w:asciiTheme="minorHAnsi" w:hAnsiTheme="minorHAnsi" w:cstheme="minorHAnsi"/>
          <w:lang w:eastAsia="en-GB"/>
        </w:rPr>
        <w:t xml:space="preserve"> Available at: </w:t>
      </w:r>
      <w:hyperlink r:id="rId16" w:history="1">
        <w:r w:rsidRPr="004E6078">
          <w:rPr>
            <w:rStyle w:val="Hyperlink"/>
            <w:rFonts w:asciiTheme="minorHAnsi" w:eastAsia="Times New Roman" w:hAnsiTheme="minorHAnsi" w:cstheme="minorHAnsi"/>
            <w:lang w:eastAsia="en-GB"/>
          </w:rPr>
          <w:t>https://www.peoplemanagement.co.uk/article/1807911/just-two-fifths-employers-conduct-annual-engagement-surveys-report-shows</w:t>
        </w:r>
      </w:hyperlink>
      <w:r w:rsidRPr="004E6078">
        <w:rPr>
          <w:rFonts w:asciiTheme="minorHAnsi" w:hAnsiTheme="minorHAnsi" w:cstheme="minorHAnsi"/>
          <w:color w:val="3A3A3A"/>
          <w:lang w:eastAsia="en-GB"/>
        </w:rPr>
        <w:t xml:space="preserve"> </w:t>
      </w:r>
      <w:r w:rsidRPr="004E6078">
        <w:rPr>
          <w:rFonts w:asciiTheme="minorHAnsi" w:hAnsiTheme="minorHAnsi" w:cstheme="minorHAnsi"/>
          <w:lang w:eastAsia="en-GB"/>
        </w:rPr>
        <w:t>(Accessed: 31 December 2025).</w:t>
      </w:r>
    </w:p>
    <w:p w14:paraId="2732C298" w14:textId="77777777" w:rsidR="004E6078" w:rsidRPr="004E6078" w:rsidRDefault="004E6078" w:rsidP="004E6078">
      <w:pPr>
        <w:spacing w:line="360" w:lineRule="auto"/>
        <w:rPr>
          <w:rFonts w:asciiTheme="minorHAnsi" w:hAnsiTheme="minorHAnsi" w:cstheme="minorHAnsi"/>
          <w:kern w:val="36"/>
          <w:lang w:eastAsia="en-GB"/>
        </w:rPr>
      </w:pPr>
      <w:r w:rsidRPr="004E6078">
        <w:rPr>
          <w:rFonts w:asciiTheme="minorHAnsi" w:hAnsiTheme="minorHAnsi" w:cstheme="minorHAnsi"/>
          <w:color w:val="333333"/>
          <w:kern w:val="36"/>
          <w:lang w:eastAsia="en-GB"/>
        </w:rPr>
        <w:lastRenderedPageBreak/>
        <w:t xml:space="preserve">CIPD. (2019) </w:t>
      </w:r>
      <w:r w:rsidRPr="004E6078">
        <w:rPr>
          <w:rFonts w:asciiTheme="minorHAnsi" w:hAnsiTheme="minorHAnsi" w:cstheme="minorHAnsi"/>
          <w:i/>
          <w:iCs/>
          <w:kern w:val="36"/>
          <w:lang w:eastAsia="en-GB"/>
        </w:rPr>
        <w:t>Critical thinking.</w:t>
      </w:r>
      <w:r w:rsidRPr="004E6078">
        <w:rPr>
          <w:rFonts w:asciiTheme="minorHAnsi" w:hAnsiTheme="minorHAnsi" w:cstheme="minorHAnsi"/>
          <w:kern w:val="36"/>
          <w:lang w:eastAsia="en-GB"/>
        </w:rPr>
        <w:t xml:space="preserve"> [Podcast]. 5 November. Available at: </w:t>
      </w:r>
      <w:hyperlink r:id="rId17" w:history="1">
        <w:r w:rsidRPr="004E6078">
          <w:rPr>
            <w:rStyle w:val="Hyperlink"/>
            <w:rFonts w:asciiTheme="minorHAnsi" w:eastAsia="Times New Roman" w:hAnsiTheme="minorHAnsi" w:cstheme="minorHAnsi"/>
            <w:kern w:val="36"/>
            <w:lang w:eastAsia="en-GB"/>
          </w:rPr>
          <w:t>https://www.cipd.org/uk/knowledge/podcasts/critical-thinking/</w:t>
        </w:r>
      </w:hyperlink>
      <w:r w:rsidRPr="004E6078">
        <w:rPr>
          <w:rFonts w:asciiTheme="minorHAnsi" w:hAnsiTheme="minorHAnsi" w:cstheme="minorHAnsi"/>
          <w:kern w:val="36"/>
          <w:lang w:eastAsia="en-GB"/>
        </w:rPr>
        <w:t xml:space="preserve"> (Accessed: 31 December 2025).</w:t>
      </w:r>
    </w:p>
    <w:p w14:paraId="6EE91FCA" w14:textId="77777777" w:rsidR="004E6078" w:rsidRDefault="004E6078" w:rsidP="004E6078">
      <w:pPr>
        <w:spacing w:line="360" w:lineRule="auto"/>
        <w:rPr>
          <w:rFonts w:asciiTheme="minorHAnsi" w:hAnsiTheme="minorHAnsi" w:cstheme="minorHAnsi"/>
        </w:rPr>
      </w:pPr>
    </w:p>
    <w:p w14:paraId="61601A15" w14:textId="39C8FEF0"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CIPD. (2023) </w:t>
      </w:r>
      <w:r w:rsidRPr="004E6078">
        <w:rPr>
          <w:rFonts w:asciiTheme="minorHAnsi" w:hAnsiTheme="minorHAnsi" w:cstheme="minorHAnsi"/>
          <w:i/>
          <w:iCs/>
        </w:rPr>
        <w:t xml:space="preserve">Effective workforce reporting: Improving people data for business leaders. </w:t>
      </w:r>
      <w:r w:rsidRPr="004E6078">
        <w:rPr>
          <w:rFonts w:asciiTheme="minorHAnsi" w:hAnsiTheme="minorHAnsi" w:cstheme="minorHAnsi"/>
        </w:rPr>
        <w:t>Chartered Institute of Personnel and Development.</w:t>
      </w:r>
    </w:p>
    <w:p w14:paraId="383F31A7" w14:textId="77777777" w:rsidR="004E6078" w:rsidRDefault="004E6078" w:rsidP="004E6078">
      <w:pPr>
        <w:spacing w:line="360" w:lineRule="auto"/>
        <w:rPr>
          <w:rFonts w:asciiTheme="minorHAnsi" w:hAnsiTheme="minorHAnsi" w:cstheme="minorHAnsi"/>
          <w:lang w:eastAsia="en-GB"/>
        </w:rPr>
      </w:pPr>
    </w:p>
    <w:p w14:paraId="3ED581CD" w14:textId="00758A17"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CIPD (2025a) </w:t>
      </w:r>
      <w:r w:rsidRPr="004E6078">
        <w:rPr>
          <w:rFonts w:asciiTheme="minorHAnsi" w:hAnsiTheme="minorHAnsi" w:cstheme="minorHAnsi"/>
          <w:i/>
          <w:iCs/>
          <w:lang w:eastAsia="en-GB"/>
        </w:rPr>
        <w:t>SWOT analysis</w:t>
      </w:r>
      <w:r w:rsidRPr="004E6078">
        <w:rPr>
          <w:rFonts w:asciiTheme="minorHAnsi" w:hAnsiTheme="minorHAnsi" w:cstheme="minorHAnsi"/>
          <w:lang w:eastAsia="en-GB"/>
        </w:rPr>
        <w:t xml:space="preserve">. Available at: </w:t>
      </w:r>
      <w:hyperlink r:id="rId18" w:history="1">
        <w:r w:rsidRPr="004E6078">
          <w:rPr>
            <w:rStyle w:val="Hyperlink"/>
            <w:rFonts w:asciiTheme="minorHAnsi" w:eastAsia="Times New Roman" w:hAnsiTheme="minorHAnsi" w:cstheme="minorHAnsi"/>
            <w:lang w:eastAsia="en-GB"/>
          </w:rPr>
          <w:t>https://www.cipd.org/en/knowledge/factsheets/swot-analysis-factsheet/</w:t>
        </w:r>
      </w:hyperlink>
      <w:r w:rsidRPr="004E6078">
        <w:rPr>
          <w:rFonts w:asciiTheme="minorHAnsi" w:hAnsiTheme="minorHAnsi" w:cstheme="minorHAnsi"/>
          <w:lang w:eastAsia="en-GB"/>
        </w:rPr>
        <w:t xml:space="preserve"> (Accessed: 31 December 2025).</w:t>
      </w:r>
    </w:p>
    <w:p w14:paraId="770CCFF0" w14:textId="77777777" w:rsidR="004E6078" w:rsidRDefault="004E6078" w:rsidP="004E6078">
      <w:pPr>
        <w:spacing w:line="360" w:lineRule="auto"/>
        <w:rPr>
          <w:rFonts w:asciiTheme="minorHAnsi" w:hAnsiTheme="minorHAnsi" w:cstheme="minorHAnsi"/>
          <w:lang w:eastAsia="en-GB"/>
        </w:rPr>
      </w:pPr>
    </w:p>
    <w:p w14:paraId="1FE17E13" w14:textId="3014F64B"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CIPD. (2025b) </w:t>
      </w:r>
      <w:r w:rsidRPr="004E6078">
        <w:rPr>
          <w:rFonts w:asciiTheme="minorHAnsi" w:hAnsiTheme="minorHAnsi" w:cstheme="minorHAnsi"/>
          <w:i/>
          <w:iCs/>
          <w:lang w:eastAsia="en-GB"/>
        </w:rPr>
        <w:t xml:space="preserve">Ethical practice and the role of people professionals. </w:t>
      </w:r>
      <w:r w:rsidRPr="004E6078">
        <w:rPr>
          <w:rFonts w:asciiTheme="minorHAnsi" w:hAnsiTheme="minorHAnsi" w:cstheme="minorHAnsi"/>
          <w:lang w:eastAsia="en-GB"/>
        </w:rPr>
        <w:t xml:space="preserve">Available at: </w:t>
      </w:r>
      <w:hyperlink r:id="rId19" w:history="1">
        <w:r w:rsidRPr="004E6078">
          <w:rPr>
            <w:rStyle w:val="Hyperlink"/>
            <w:rFonts w:asciiTheme="minorHAnsi" w:eastAsia="Times New Roman" w:hAnsiTheme="minorHAnsi" w:cstheme="minorHAnsi"/>
            <w:lang w:eastAsia="en-GB"/>
          </w:rPr>
          <w:t>https://www.cipd.org/uk/knowledge/factsheets/ethics-role-hr-factsheet/</w:t>
        </w:r>
      </w:hyperlink>
      <w:r w:rsidRPr="004E6078">
        <w:rPr>
          <w:rFonts w:asciiTheme="minorHAnsi" w:hAnsiTheme="minorHAnsi" w:cstheme="minorHAnsi"/>
          <w:lang w:eastAsia="en-GB"/>
        </w:rPr>
        <w:t xml:space="preserve"> (Accessed: 4</w:t>
      </w:r>
      <w:r w:rsidRPr="004E6078">
        <w:rPr>
          <w:rFonts w:asciiTheme="minorHAnsi" w:hAnsiTheme="minorHAnsi" w:cstheme="minorHAnsi"/>
          <w:vertAlign w:val="superscript"/>
          <w:lang w:eastAsia="en-GB"/>
        </w:rPr>
        <w:t>th</w:t>
      </w:r>
      <w:r w:rsidRPr="004E6078">
        <w:rPr>
          <w:rFonts w:asciiTheme="minorHAnsi" w:hAnsiTheme="minorHAnsi" w:cstheme="minorHAnsi"/>
          <w:lang w:eastAsia="en-GB"/>
        </w:rPr>
        <w:t xml:space="preserve"> January 2026).</w:t>
      </w:r>
    </w:p>
    <w:p w14:paraId="1D26AA76" w14:textId="77777777" w:rsidR="004E6078" w:rsidRDefault="004E6078" w:rsidP="004E6078">
      <w:pPr>
        <w:spacing w:line="360" w:lineRule="auto"/>
        <w:rPr>
          <w:rFonts w:asciiTheme="minorHAnsi" w:hAnsiTheme="minorHAnsi" w:cstheme="minorHAnsi"/>
          <w:color w:val="222222"/>
          <w:shd w:val="clear" w:color="auto" w:fill="FFFFFF"/>
        </w:rPr>
      </w:pPr>
    </w:p>
    <w:p w14:paraId="28AE6842" w14:textId="41921B1B"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 xml:space="preserve">CIPD. (2025c) </w:t>
      </w:r>
      <w:r w:rsidRPr="004E6078">
        <w:rPr>
          <w:rFonts w:asciiTheme="minorHAnsi" w:hAnsiTheme="minorHAnsi" w:cstheme="minorHAnsi"/>
          <w:i/>
          <w:iCs/>
          <w:color w:val="222222"/>
          <w:shd w:val="clear" w:color="auto" w:fill="FFFFFF"/>
        </w:rPr>
        <w:t>Employee engagement and motivation.</w:t>
      </w:r>
      <w:r w:rsidRPr="004E6078">
        <w:rPr>
          <w:rFonts w:asciiTheme="minorHAnsi" w:hAnsiTheme="minorHAnsi" w:cstheme="minorHAnsi"/>
          <w:color w:val="222222"/>
          <w:shd w:val="clear" w:color="auto" w:fill="FFFFFF"/>
        </w:rPr>
        <w:t xml:space="preserve"> Available at: </w:t>
      </w:r>
      <w:hyperlink r:id="rId20" w:history="1">
        <w:r w:rsidRPr="004E6078">
          <w:rPr>
            <w:rStyle w:val="Hyperlink"/>
            <w:rFonts w:asciiTheme="minorHAnsi" w:hAnsiTheme="minorHAnsi" w:cstheme="minorHAnsi"/>
            <w:shd w:val="clear" w:color="auto" w:fill="FFFFFF"/>
          </w:rPr>
          <w:t>https://www.cipd.org/uk/knowledge/factsheets/engagement-factsheet/</w:t>
        </w:r>
      </w:hyperlink>
      <w:r w:rsidRPr="004E6078">
        <w:rPr>
          <w:rFonts w:asciiTheme="minorHAnsi" w:hAnsiTheme="minorHAnsi" w:cstheme="minorHAnsi"/>
          <w:color w:val="222222"/>
          <w:shd w:val="clear" w:color="auto" w:fill="FFFFFF"/>
        </w:rPr>
        <w:t xml:space="preserve"> (Accessed: 10 January 2026).</w:t>
      </w:r>
    </w:p>
    <w:p w14:paraId="3D08B015" w14:textId="77777777" w:rsidR="004E6078" w:rsidRDefault="004E6078" w:rsidP="004E6078">
      <w:pPr>
        <w:spacing w:line="360" w:lineRule="auto"/>
        <w:rPr>
          <w:rFonts w:asciiTheme="minorHAnsi" w:hAnsiTheme="minorHAnsi" w:cstheme="minorHAnsi"/>
          <w:color w:val="222222"/>
          <w:shd w:val="clear" w:color="auto" w:fill="FFFFFF"/>
        </w:rPr>
      </w:pPr>
    </w:p>
    <w:p w14:paraId="45E27F26" w14:textId="6F662790"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 xml:space="preserve">CIPD. (2025d) </w:t>
      </w:r>
      <w:r w:rsidRPr="004E6078">
        <w:rPr>
          <w:rFonts w:asciiTheme="minorHAnsi" w:hAnsiTheme="minorHAnsi" w:cstheme="minorHAnsi"/>
          <w:i/>
          <w:iCs/>
          <w:color w:val="222222"/>
          <w:shd w:val="clear" w:color="auto" w:fill="FFFFFF"/>
        </w:rPr>
        <w:t>The Profession Map</w:t>
      </w:r>
      <w:r w:rsidRPr="004E6078">
        <w:rPr>
          <w:rFonts w:asciiTheme="minorHAnsi" w:hAnsiTheme="minorHAnsi" w:cstheme="minorHAnsi"/>
          <w:color w:val="222222"/>
          <w:shd w:val="clear" w:color="auto" w:fill="FFFFFF"/>
        </w:rPr>
        <w:t xml:space="preserve">. Available at: </w:t>
      </w:r>
      <w:hyperlink r:id="rId21" w:history="1">
        <w:r w:rsidRPr="004E6078">
          <w:rPr>
            <w:rStyle w:val="Hyperlink"/>
            <w:rFonts w:asciiTheme="minorHAnsi" w:hAnsiTheme="minorHAnsi" w:cstheme="minorHAnsi"/>
            <w:shd w:val="clear" w:color="auto" w:fill="FFFFFF"/>
          </w:rPr>
          <w:t>https://www.cipd.org/globalassets/media/comms/the-people-profession/profession-map-pdfs/full-standards-download-a4-updaterefreshnov2025.pdf</w:t>
        </w:r>
      </w:hyperlink>
      <w:r w:rsidRPr="004E6078">
        <w:rPr>
          <w:rFonts w:asciiTheme="minorHAnsi" w:hAnsiTheme="minorHAnsi" w:cstheme="minorHAnsi"/>
          <w:color w:val="222222"/>
          <w:shd w:val="clear" w:color="auto" w:fill="FFFFFF"/>
        </w:rPr>
        <w:t xml:space="preserve"> (Accessed: 11 January 2026).</w:t>
      </w:r>
    </w:p>
    <w:p w14:paraId="71ED09E8" w14:textId="77777777" w:rsidR="004E6078" w:rsidRDefault="004E6078" w:rsidP="004E6078">
      <w:pPr>
        <w:spacing w:line="360" w:lineRule="auto"/>
        <w:rPr>
          <w:rFonts w:asciiTheme="minorHAnsi" w:hAnsiTheme="minorHAnsi" w:cstheme="minorHAnsi"/>
          <w:lang w:eastAsia="en-GB"/>
        </w:rPr>
      </w:pPr>
    </w:p>
    <w:p w14:paraId="1D34A01C" w14:textId="2F396A86"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Clark, S. (2015) </w:t>
      </w:r>
      <w:r w:rsidRPr="004E6078">
        <w:rPr>
          <w:rFonts w:asciiTheme="minorHAnsi" w:hAnsiTheme="minorHAnsi" w:cstheme="minorHAnsi"/>
          <w:i/>
          <w:iCs/>
          <w:lang w:eastAsia="en-GB"/>
        </w:rPr>
        <w:t>Ethical decision-making: Eight perspectives on workplace dilemmas</w:t>
      </w:r>
      <w:r w:rsidRPr="004E6078">
        <w:rPr>
          <w:rFonts w:asciiTheme="minorHAnsi" w:hAnsiTheme="minorHAnsi" w:cstheme="minorHAnsi"/>
          <w:lang w:eastAsia="en-GB"/>
        </w:rPr>
        <w:t xml:space="preserve">. Available at: </w:t>
      </w:r>
      <w:hyperlink r:id="rId22" w:history="1">
        <w:r w:rsidRPr="004E6078">
          <w:rPr>
            <w:rStyle w:val="Hyperlink"/>
            <w:rFonts w:asciiTheme="minorHAnsi" w:eastAsia="Times New Roman" w:hAnsiTheme="minorHAnsi" w:cstheme="minorHAnsi"/>
            <w:lang w:eastAsia="en-GB"/>
          </w:rPr>
          <w:t>https://www.cipd.org/globalassets/media/comms/the-people-profession/profession-map-pdfs/ethical-decision-making-2015-eight-perspectives-on-workplace-dilemmas_tcm29-9564.pdf</w:t>
        </w:r>
      </w:hyperlink>
      <w:r w:rsidRPr="004E6078">
        <w:rPr>
          <w:rStyle w:val="Hyperlink"/>
          <w:rFonts w:asciiTheme="minorHAnsi" w:eastAsia="Times New Roman" w:hAnsiTheme="minorHAnsi" w:cstheme="minorHAnsi"/>
          <w:lang w:eastAsia="en-GB"/>
        </w:rPr>
        <w:t xml:space="preserve"> </w:t>
      </w:r>
      <w:r w:rsidRPr="004E6078">
        <w:rPr>
          <w:rStyle w:val="Hyperlink"/>
          <w:rFonts w:asciiTheme="minorHAnsi" w:eastAsia="Times New Roman" w:hAnsiTheme="minorHAnsi" w:cstheme="minorHAnsi"/>
          <w:color w:val="auto"/>
          <w:u w:val="none"/>
          <w:lang w:eastAsia="en-GB"/>
        </w:rPr>
        <w:t>(Accessed: 4</w:t>
      </w:r>
      <w:r w:rsidRPr="004E6078">
        <w:rPr>
          <w:rStyle w:val="Hyperlink"/>
          <w:rFonts w:asciiTheme="minorHAnsi" w:eastAsia="Times New Roman" w:hAnsiTheme="minorHAnsi" w:cstheme="minorHAnsi"/>
          <w:color w:val="auto"/>
          <w:u w:val="none"/>
          <w:vertAlign w:val="superscript"/>
          <w:lang w:eastAsia="en-GB"/>
        </w:rPr>
        <w:t>th</w:t>
      </w:r>
      <w:r w:rsidRPr="004E6078">
        <w:rPr>
          <w:rStyle w:val="Hyperlink"/>
          <w:rFonts w:asciiTheme="minorHAnsi" w:eastAsia="Times New Roman" w:hAnsiTheme="minorHAnsi" w:cstheme="minorHAnsi"/>
          <w:color w:val="auto"/>
          <w:u w:val="none"/>
          <w:lang w:eastAsia="en-GB"/>
        </w:rPr>
        <w:t xml:space="preserve"> January 2026).</w:t>
      </w:r>
    </w:p>
    <w:p w14:paraId="39E5C7BB" w14:textId="77777777" w:rsidR="004E6078" w:rsidRDefault="004E6078" w:rsidP="004E6078">
      <w:pPr>
        <w:spacing w:line="360" w:lineRule="auto"/>
        <w:rPr>
          <w:rFonts w:asciiTheme="minorHAnsi" w:hAnsiTheme="minorHAnsi" w:cstheme="minorHAnsi"/>
          <w:kern w:val="36"/>
          <w:lang w:eastAsia="en-GB"/>
        </w:rPr>
      </w:pPr>
    </w:p>
    <w:p w14:paraId="06EF1AB5" w14:textId="2DA1F94D" w:rsidR="004E6078" w:rsidRPr="004E6078" w:rsidRDefault="004E6078" w:rsidP="004E6078">
      <w:pPr>
        <w:spacing w:line="360" w:lineRule="auto"/>
        <w:rPr>
          <w:rFonts w:asciiTheme="minorHAnsi" w:hAnsiTheme="minorHAnsi" w:cstheme="minorHAnsi"/>
          <w:kern w:val="36"/>
          <w:lang w:eastAsia="en-GB"/>
        </w:rPr>
      </w:pPr>
      <w:r w:rsidRPr="004E6078">
        <w:rPr>
          <w:rFonts w:asciiTheme="minorHAnsi" w:hAnsiTheme="minorHAnsi" w:cstheme="minorHAnsi"/>
          <w:kern w:val="36"/>
          <w:lang w:eastAsia="en-GB"/>
        </w:rPr>
        <w:t xml:space="preserve">Cottrell, S (2019) </w:t>
      </w:r>
      <w:r w:rsidRPr="004E6078">
        <w:rPr>
          <w:rFonts w:asciiTheme="minorHAnsi" w:hAnsiTheme="minorHAnsi" w:cstheme="minorHAnsi"/>
          <w:i/>
          <w:iCs/>
          <w:kern w:val="36"/>
          <w:lang w:eastAsia="en-GB"/>
        </w:rPr>
        <w:t>The Study Skills Handbook</w:t>
      </w:r>
      <w:r w:rsidRPr="004E6078">
        <w:rPr>
          <w:rFonts w:asciiTheme="minorHAnsi" w:hAnsiTheme="minorHAnsi" w:cstheme="minorHAnsi"/>
          <w:kern w:val="36"/>
          <w:lang w:eastAsia="en-GB"/>
        </w:rPr>
        <w:t xml:space="preserve">. 5th </w:t>
      </w:r>
      <w:proofErr w:type="spellStart"/>
      <w:r w:rsidRPr="004E6078">
        <w:rPr>
          <w:rFonts w:asciiTheme="minorHAnsi" w:hAnsiTheme="minorHAnsi" w:cstheme="minorHAnsi"/>
          <w:kern w:val="36"/>
          <w:lang w:eastAsia="en-GB"/>
        </w:rPr>
        <w:t>edn</w:t>
      </w:r>
      <w:proofErr w:type="spellEnd"/>
      <w:r w:rsidRPr="004E6078">
        <w:rPr>
          <w:rFonts w:asciiTheme="minorHAnsi" w:hAnsiTheme="minorHAnsi" w:cstheme="minorHAnsi"/>
          <w:kern w:val="36"/>
          <w:lang w:eastAsia="en-GB"/>
        </w:rPr>
        <w:t>. Red Globe Press.</w:t>
      </w:r>
    </w:p>
    <w:p w14:paraId="18D7091E" w14:textId="77777777" w:rsidR="004E6078" w:rsidRDefault="004E6078" w:rsidP="004E6078">
      <w:pPr>
        <w:spacing w:line="360" w:lineRule="auto"/>
        <w:rPr>
          <w:rFonts w:asciiTheme="minorHAnsi" w:hAnsiTheme="minorHAnsi" w:cstheme="minorHAnsi"/>
          <w:lang w:eastAsia="en-GB"/>
        </w:rPr>
      </w:pPr>
    </w:p>
    <w:p w14:paraId="1DE03EA3" w14:textId="3F2C12B9"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Cottrell, S. (2023) </w:t>
      </w:r>
      <w:r w:rsidRPr="004E6078">
        <w:rPr>
          <w:rFonts w:asciiTheme="minorHAnsi" w:hAnsiTheme="minorHAnsi" w:cstheme="minorHAnsi"/>
          <w:i/>
          <w:iCs/>
          <w:lang w:eastAsia="en-GB"/>
        </w:rPr>
        <w:t>Critical thinking skills: effective analysis, argument and reflection</w:t>
      </w:r>
      <w:r w:rsidRPr="004E6078">
        <w:rPr>
          <w:rFonts w:asciiTheme="minorHAnsi" w:hAnsiTheme="minorHAnsi" w:cstheme="minorHAnsi"/>
          <w:lang w:eastAsia="en-GB"/>
        </w:rPr>
        <w:t xml:space="preserve">. 4th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Bloomsbury Academic.</w:t>
      </w:r>
    </w:p>
    <w:p w14:paraId="79F63060" w14:textId="77777777" w:rsidR="004E6078" w:rsidRDefault="004E6078" w:rsidP="004E6078">
      <w:pPr>
        <w:spacing w:line="360" w:lineRule="auto"/>
        <w:rPr>
          <w:rFonts w:asciiTheme="minorHAnsi" w:hAnsiTheme="minorHAnsi" w:cstheme="minorHAnsi"/>
        </w:rPr>
      </w:pPr>
    </w:p>
    <w:p w14:paraId="3ECFC57D" w14:textId="0C85896F"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Crane, A., Matten, D., </w:t>
      </w:r>
      <w:proofErr w:type="spellStart"/>
      <w:r w:rsidRPr="004E6078">
        <w:rPr>
          <w:rFonts w:asciiTheme="minorHAnsi" w:hAnsiTheme="minorHAnsi" w:cstheme="minorHAnsi"/>
        </w:rPr>
        <w:t>Glozer</w:t>
      </w:r>
      <w:proofErr w:type="spellEnd"/>
      <w:r w:rsidRPr="004E6078">
        <w:rPr>
          <w:rFonts w:asciiTheme="minorHAnsi" w:hAnsiTheme="minorHAnsi" w:cstheme="minorHAnsi"/>
        </w:rPr>
        <w:t xml:space="preserve">, S., and Spence, L. (2019) </w:t>
      </w:r>
      <w:r w:rsidRPr="004E6078">
        <w:rPr>
          <w:rStyle w:val="Emphasis"/>
          <w:rFonts w:asciiTheme="minorHAnsi" w:hAnsiTheme="minorHAnsi" w:cstheme="minorHAnsi"/>
        </w:rPr>
        <w:t>Business ethics</w:t>
      </w:r>
      <w:r w:rsidRPr="004E6078">
        <w:rPr>
          <w:rFonts w:asciiTheme="minorHAnsi" w:hAnsiTheme="minorHAnsi" w:cstheme="minorHAnsi"/>
        </w:rPr>
        <w:t xml:space="preserve">. 5th </w:t>
      </w:r>
      <w:proofErr w:type="spellStart"/>
      <w:r w:rsidRPr="004E6078">
        <w:rPr>
          <w:rFonts w:asciiTheme="minorHAnsi" w:hAnsiTheme="minorHAnsi" w:cstheme="minorHAnsi"/>
        </w:rPr>
        <w:t>edn</w:t>
      </w:r>
      <w:proofErr w:type="spellEnd"/>
      <w:r w:rsidRPr="004E6078">
        <w:rPr>
          <w:rFonts w:asciiTheme="minorHAnsi" w:hAnsiTheme="minorHAnsi" w:cstheme="minorHAnsi"/>
        </w:rPr>
        <w:t>. Oxford University Press.</w:t>
      </w:r>
    </w:p>
    <w:p w14:paraId="5903117E" w14:textId="77777777" w:rsidR="004E6078" w:rsidRDefault="004E6078" w:rsidP="004E6078">
      <w:pPr>
        <w:spacing w:line="360" w:lineRule="auto"/>
        <w:rPr>
          <w:rFonts w:asciiTheme="minorHAnsi" w:hAnsiTheme="minorHAnsi" w:cstheme="minorHAnsi"/>
        </w:rPr>
      </w:pPr>
    </w:p>
    <w:p w14:paraId="43D810D2" w14:textId="48B850E6" w:rsidR="004E6078" w:rsidRPr="004E6078" w:rsidRDefault="004E6078" w:rsidP="004E6078">
      <w:pPr>
        <w:spacing w:line="360" w:lineRule="auto"/>
        <w:rPr>
          <w:rFonts w:asciiTheme="minorHAnsi" w:hAnsiTheme="minorHAnsi" w:cstheme="minorHAnsi"/>
        </w:rPr>
      </w:pPr>
      <w:proofErr w:type="spellStart"/>
      <w:r w:rsidRPr="004E6078">
        <w:rPr>
          <w:rFonts w:asciiTheme="minorHAnsi" w:hAnsiTheme="minorHAnsi" w:cstheme="minorHAnsi"/>
        </w:rPr>
        <w:lastRenderedPageBreak/>
        <w:t>Cropanzano</w:t>
      </w:r>
      <w:proofErr w:type="spellEnd"/>
      <w:r w:rsidRPr="004E6078">
        <w:rPr>
          <w:rFonts w:asciiTheme="minorHAnsi" w:hAnsiTheme="minorHAnsi" w:cstheme="minorHAnsi"/>
        </w:rPr>
        <w:t>, R., Bowen, D., and Gilliland, S. (2017) ‘</w:t>
      </w:r>
      <w:r w:rsidRPr="004E6078">
        <w:rPr>
          <w:rStyle w:val="Emphasis"/>
          <w:rFonts w:asciiTheme="minorHAnsi" w:hAnsiTheme="minorHAnsi" w:cstheme="minorHAnsi"/>
        </w:rPr>
        <w:t>The management of organizational justice</w:t>
      </w:r>
      <w:r w:rsidRPr="004E6078">
        <w:rPr>
          <w:rFonts w:asciiTheme="minorHAnsi" w:hAnsiTheme="minorHAnsi" w:cstheme="minorHAnsi"/>
        </w:rPr>
        <w:t xml:space="preserve">.’, </w:t>
      </w:r>
      <w:r w:rsidRPr="00150D07">
        <w:rPr>
          <w:rStyle w:val="Strong"/>
          <w:rFonts w:asciiTheme="minorHAnsi" w:hAnsiTheme="minorHAnsi" w:cstheme="minorHAnsi"/>
          <w:b w:val="0"/>
          <w:bCs w:val="0"/>
          <w:i/>
          <w:iCs/>
        </w:rPr>
        <w:t>Academy of Management Perspectives</w:t>
      </w:r>
      <w:r w:rsidRPr="004E6078">
        <w:rPr>
          <w:rFonts w:asciiTheme="minorHAnsi" w:hAnsiTheme="minorHAnsi" w:cstheme="minorHAnsi"/>
        </w:rPr>
        <w:t xml:space="preserve">, 21(4), pp. 24-48. Available at: </w:t>
      </w:r>
      <w:hyperlink r:id="rId23" w:history="1">
        <w:r w:rsidRPr="004E6078">
          <w:rPr>
            <w:rStyle w:val="Hyperlink"/>
            <w:rFonts w:asciiTheme="minorHAnsi" w:hAnsiTheme="minorHAnsi" w:cstheme="minorHAnsi"/>
          </w:rPr>
          <w:t>https://doi.org/10.5465/amp.2007.27895338</w:t>
        </w:r>
      </w:hyperlink>
    </w:p>
    <w:p w14:paraId="2E26540E" w14:textId="77777777" w:rsidR="004E6078" w:rsidRDefault="004E6078" w:rsidP="004E6078">
      <w:pPr>
        <w:spacing w:line="360" w:lineRule="auto"/>
        <w:rPr>
          <w:rFonts w:asciiTheme="minorHAnsi" w:hAnsiTheme="minorHAnsi" w:cstheme="minorHAnsi"/>
        </w:rPr>
      </w:pPr>
    </w:p>
    <w:p w14:paraId="530A1BE8" w14:textId="0991819F" w:rsidR="004E6078" w:rsidRPr="004E6078" w:rsidRDefault="004E6078" w:rsidP="004E6078">
      <w:pPr>
        <w:spacing w:line="360" w:lineRule="auto"/>
        <w:rPr>
          <w:rStyle w:val="Hyperlink"/>
          <w:rFonts w:asciiTheme="minorHAnsi" w:hAnsiTheme="minorHAnsi" w:cstheme="minorHAnsi"/>
        </w:rPr>
      </w:pPr>
      <w:r w:rsidRPr="004E6078">
        <w:rPr>
          <w:rFonts w:asciiTheme="minorHAnsi" w:hAnsiTheme="minorHAnsi" w:cstheme="minorHAnsi"/>
        </w:rPr>
        <w:t>Donaldson, T. and Walsh, J. (2015) ‘</w:t>
      </w:r>
      <w:r w:rsidRPr="004E6078">
        <w:rPr>
          <w:rStyle w:val="Emphasis"/>
          <w:rFonts w:asciiTheme="minorHAnsi" w:hAnsiTheme="minorHAnsi" w:cstheme="minorHAnsi"/>
        </w:rPr>
        <w:t>Toward a theory of business</w:t>
      </w:r>
      <w:r w:rsidRPr="004E6078">
        <w:rPr>
          <w:rFonts w:asciiTheme="minorHAnsi" w:hAnsiTheme="minorHAnsi" w:cstheme="minorHAnsi"/>
        </w:rPr>
        <w:t xml:space="preserve">’, </w:t>
      </w:r>
      <w:r w:rsidRPr="00150D07">
        <w:rPr>
          <w:rStyle w:val="Strong"/>
          <w:rFonts w:asciiTheme="minorHAnsi" w:hAnsiTheme="minorHAnsi" w:cstheme="minorHAnsi"/>
          <w:b w:val="0"/>
          <w:bCs w:val="0"/>
          <w:i/>
          <w:iCs/>
        </w:rPr>
        <w:t>Research in Organizational Behaviour</w:t>
      </w:r>
      <w:r w:rsidRPr="00150D07">
        <w:rPr>
          <w:rFonts w:asciiTheme="minorHAnsi" w:hAnsiTheme="minorHAnsi" w:cstheme="minorHAnsi"/>
          <w:b/>
          <w:bCs/>
          <w:i/>
          <w:iCs/>
        </w:rPr>
        <w:t>,</w:t>
      </w:r>
      <w:r w:rsidRPr="004E6078">
        <w:rPr>
          <w:rFonts w:asciiTheme="minorHAnsi" w:hAnsiTheme="minorHAnsi" w:cstheme="minorHAnsi"/>
        </w:rPr>
        <w:t xml:space="preserve"> 35, pp. 181–207. Available at: </w:t>
      </w:r>
      <w:hyperlink r:id="rId24" w:history="1">
        <w:r w:rsidRPr="004E6078">
          <w:rPr>
            <w:rStyle w:val="Hyperlink"/>
            <w:rFonts w:asciiTheme="minorHAnsi" w:hAnsiTheme="minorHAnsi" w:cstheme="minorHAnsi"/>
          </w:rPr>
          <w:t>https://doi.org/10.1016/j.riob.2015.10.002</w:t>
        </w:r>
      </w:hyperlink>
    </w:p>
    <w:p w14:paraId="5913F162" w14:textId="77777777" w:rsidR="004E6078" w:rsidRDefault="004E6078" w:rsidP="004E6078">
      <w:pPr>
        <w:spacing w:line="360" w:lineRule="auto"/>
        <w:rPr>
          <w:rFonts w:asciiTheme="minorHAnsi" w:hAnsiTheme="minorHAnsi" w:cstheme="minorHAnsi"/>
          <w:color w:val="222222"/>
          <w:shd w:val="clear" w:color="auto" w:fill="FFFFFF"/>
        </w:rPr>
      </w:pPr>
    </w:p>
    <w:p w14:paraId="45DD8865" w14:textId="0F7365C5"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Edmondson, A. (2018) </w:t>
      </w:r>
      <w:r w:rsidRPr="004E6078">
        <w:rPr>
          <w:rFonts w:asciiTheme="minorHAnsi" w:hAnsiTheme="minorHAnsi" w:cstheme="minorHAnsi"/>
          <w:i/>
          <w:iCs/>
          <w:color w:val="222222"/>
          <w:shd w:val="clear" w:color="auto" w:fill="FFFFFF"/>
        </w:rPr>
        <w:t>The fearless organization: Creating psychological safety in the workplace for learning, innovation, and growth</w:t>
      </w:r>
      <w:r w:rsidRPr="004E6078">
        <w:rPr>
          <w:rFonts w:asciiTheme="minorHAnsi" w:hAnsiTheme="minorHAnsi" w:cstheme="minorHAnsi"/>
          <w:color w:val="222222"/>
          <w:shd w:val="clear" w:color="auto" w:fill="FFFFFF"/>
        </w:rPr>
        <w:t>. Wiley.</w:t>
      </w:r>
    </w:p>
    <w:p w14:paraId="066AF7CD" w14:textId="77777777" w:rsidR="004E6078" w:rsidRDefault="004E6078" w:rsidP="004E6078">
      <w:pPr>
        <w:spacing w:line="360" w:lineRule="auto"/>
        <w:rPr>
          <w:rFonts w:asciiTheme="minorHAnsi" w:hAnsiTheme="minorHAnsi" w:cstheme="minorHAnsi"/>
          <w:lang w:eastAsia="en-GB"/>
        </w:rPr>
      </w:pPr>
    </w:p>
    <w:p w14:paraId="5EC660DB" w14:textId="15E5E3C7" w:rsidR="004E6078" w:rsidRPr="004E6078" w:rsidRDefault="004E6078" w:rsidP="004E6078">
      <w:pPr>
        <w:spacing w:line="360" w:lineRule="auto"/>
        <w:rPr>
          <w:rFonts w:asciiTheme="minorHAnsi" w:hAnsiTheme="minorHAnsi" w:cstheme="minorHAnsi"/>
          <w:lang w:eastAsia="en-GB"/>
        </w:rPr>
      </w:pPr>
      <w:proofErr w:type="spellStart"/>
      <w:r w:rsidRPr="004E6078">
        <w:rPr>
          <w:rFonts w:asciiTheme="minorHAnsi" w:hAnsiTheme="minorHAnsi" w:cstheme="minorHAnsi"/>
          <w:lang w:eastAsia="en-GB"/>
        </w:rPr>
        <w:t>Elbilgahy</w:t>
      </w:r>
      <w:proofErr w:type="spellEnd"/>
      <w:r w:rsidRPr="004E6078">
        <w:rPr>
          <w:rFonts w:asciiTheme="minorHAnsi" w:hAnsiTheme="minorHAnsi" w:cstheme="minorHAnsi"/>
          <w:lang w:eastAsia="en-GB"/>
        </w:rPr>
        <w:t xml:space="preserve">, A. and </w:t>
      </w:r>
      <w:proofErr w:type="spellStart"/>
      <w:r w:rsidRPr="004E6078">
        <w:rPr>
          <w:rFonts w:asciiTheme="minorHAnsi" w:hAnsiTheme="minorHAnsi" w:cstheme="minorHAnsi"/>
          <w:lang w:eastAsia="en-GB"/>
        </w:rPr>
        <w:t>Alanazi</w:t>
      </w:r>
      <w:proofErr w:type="spellEnd"/>
      <w:r w:rsidRPr="004E6078">
        <w:rPr>
          <w:rFonts w:asciiTheme="minorHAnsi" w:hAnsiTheme="minorHAnsi" w:cstheme="minorHAnsi"/>
          <w:lang w:eastAsia="en-GB"/>
        </w:rPr>
        <w:t xml:space="preserve">, F. (2025) ‘Effect of applying six thinking hats teaching method for development through life span course on </w:t>
      </w:r>
      <w:proofErr w:type="gramStart"/>
      <w:r w:rsidRPr="004E6078">
        <w:rPr>
          <w:rFonts w:asciiTheme="minorHAnsi" w:hAnsiTheme="minorHAnsi" w:cstheme="minorHAnsi"/>
          <w:lang w:eastAsia="en-GB"/>
        </w:rPr>
        <w:t>students</w:t>
      </w:r>
      <w:proofErr w:type="gramEnd"/>
      <w:r w:rsidRPr="004E6078">
        <w:rPr>
          <w:rFonts w:asciiTheme="minorHAnsi" w:hAnsiTheme="minorHAnsi" w:cstheme="minorHAnsi"/>
          <w:lang w:eastAsia="en-GB"/>
        </w:rPr>
        <w:t xml:space="preserve"> opinion and critical thinking skills’, </w:t>
      </w:r>
      <w:r w:rsidRPr="004E6078">
        <w:rPr>
          <w:rFonts w:asciiTheme="minorHAnsi" w:hAnsiTheme="minorHAnsi" w:cstheme="minorHAnsi"/>
          <w:i/>
          <w:iCs/>
          <w:lang w:eastAsia="en-GB"/>
        </w:rPr>
        <w:t xml:space="preserve">BMC </w:t>
      </w:r>
      <w:r w:rsidR="00AA0914">
        <w:rPr>
          <w:rFonts w:asciiTheme="minorHAnsi" w:hAnsiTheme="minorHAnsi" w:cstheme="minorHAnsi"/>
          <w:i/>
          <w:iCs/>
          <w:lang w:eastAsia="en-GB"/>
        </w:rPr>
        <w:t>M</w:t>
      </w:r>
      <w:r w:rsidRPr="004E6078">
        <w:rPr>
          <w:rFonts w:asciiTheme="minorHAnsi" w:hAnsiTheme="minorHAnsi" w:cstheme="minorHAnsi"/>
          <w:i/>
          <w:iCs/>
          <w:lang w:eastAsia="en-GB"/>
        </w:rPr>
        <w:t xml:space="preserve">edical </w:t>
      </w:r>
      <w:r w:rsidR="00AA0914">
        <w:rPr>
          <w:rFonts w:asciiTheme="minorHAnsi" w:hAnsiTheme="minorHAnsi" w:cstheme="minorHAnsi"/>
          <w:i/>
          <w:iCs/>
          <w:lang w:eastAsia="en-GB"/>
        </w:rPr>
        <w:t>E</w:t>
      </w:r>
      <w:r w:rsidRPr="004E6078">
        <w:rPr>
          <w:rFonts w:asciiTheme="minorHAnsi" w:hAnsiTheme="minorHAnsi" w:cstheme="minorHAnsi"/>
          <w:i/>
          <w:iCs/>
          <w:lang w:eastAsia="en-GB"/>
        </w:rPr>
        <w:t>ducation</w:t>
      </w:r>
      <w:r w:rsidRPr="004E6078">
        <w:rPr>
          <w:rFonts w:asciiTheme="minorHAnsi" w:hAnsiTheme="minorHAnsi" w:cstheme="minorHAnsi"/>
          <w:lang w:eastAsia="en-GB"/>
        </w:rPr>
        <w:t xml:space="preserve">, 25(1), pp. 884. Available at: </w:t>
      </w:r>
      <w:hyperlink r:id="rId25" w:history="1">
        <w:r w:rsidRPr="004E6078">
          <w:rPr>
            <w:rStyle w:val="Hyperlink"/>
            <w:rFonts w:asciiTheme="minorHAnsi" w:eastAsia="Times New Roman" w:hAnsiTheme="minorHAnsi" w:cstheme="minorHAnsi"/>
            <w:lang w:eastAsia="en-GB"/>
          </w:rPr>
          <w:t>https://doi.org/10.1186/s12909-025-07362-w</w:t>
        </w:r>
      </w:hyperlink>
    </w:p>
    <w:p w14:paraId="353620B6" w14:textId="77777777" w:rsidR="004E6078" w:rsidRDefault="004E6078" w:rsidP="004E6078">
      <w:pPr>
        <w:spacing w:line="360" w:lineRule="auto"/>
        <w:rPr>
          <w:rFonts w:asciiTheme="minorHAnsi" w:hAnsiTheme="minorHAnsi" w:cstheme="minorHAnsi"/>
        </w:rPr>
      </w:pPr>
    </w:p>
    <w:p w14:paraId="7B7EAD69" w14:textId="50B119C3"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Fernando, J. (2025) </w:t>
      </w:r>
      <w:r w:rsidRPr="004E6078">
        <w:rPr>
          <w:rFonts w:asciiTheme="minorHAnsi" w:hAnsiTheme="minorHAnsi" w:cstheme="minorHAnsi"/>
          <w:i/>
          <w:iCs/>
        </w:rPr>
        <w:t xml:space="preserve">What is Return on Investment (ROI) and How to Calculate It. </w:t>
      </w:r>
      <w:r w:rsidRPr="004E6078">
        <w:rPr>
          <w:rFonts w:asciiTheme="minorHAnsi" w:hAnsiTheme="minorHAnsi" w:cstheme="minorHAnsi"/>
        </w:rPr>
        <w:t xml:space="preserve">Available at: </w:t>
      </w:r>
      <w:hyperlink r:id="rId26" w:history="1">
        <w:r w:rsidRPr="004E6078">
          <w:rPr>
            <w:rStyle w:val="Hyperlink"/>
            <w:rFonts w:asciiTheme="minorHAnsi" w:hAnsiTheme="minorHAnsi" w:cstheme="minorHAnsi"/>
          </w:rPr>
          <w:t>https://www.investopedia.com/terms/r/returnoninvestment.asp</w:t>
        </w:r>
      </w:hyperlink>
      <w:r w:rsidRPr="004E6078">
        <w:rPr>
          <w:rFonts w:asciiTheme="minorHAnsi" w:hAnsiTheme="minorHAnsi" w:cstheme="minorHAnsi"/>
        </w:rPr>
        <w:t xml:space="preserve"> (Accessed: 10 January 2025).</w:t>
      </w:r>
    </w:p>
    <w:p w14:paraId="09E2B2AA" w14:textId="77777777" w:rsidR="004E6078" w:rsidRDefault="004E6078" w:rsidP="004E6078">
      <w:pPr>
        <w:spacing w:line="360" w:lineRule="auto"/>
        <w:rPr>
          <w:rFonts w:asciiTheme="minorHAnsi" w:hAnsiTheme="minorHAnsi" w:cstheme="minorHAnsi"/>
          <w:shd w:val="clear" w:color="auto" w:fill="FFFFFF"/>
        </w:rPr>
      </w:pPr>
    </w:p>
    <w:p w14:paraId="45CF9F03" w14:textId="7891BBE8" w:rsidR="004E6078" w:rsidRPr="004E6078" w:rsidRDefault="004E6078" w:rsidP="004E6078">
      <w:pPr>
        <w:spacing w:line="360" w:lineRule="auto"/>
        <w:rPr>
          <w:rFonts w:asciiTheme="minorHAnsi" w:hAnsiTheme="minorHAnsi" w:cstheme="minorHAnsi"/>
          <w:shd w:val="clear" w:color="auto" w:fill="FFFFFF"/>
        </w:rPr>
      </w:pPr>
      <w:r w:rsidRPr="004E6078">
        <w:rPr>
          <w:rFonts w:asciiTheme="minorHAnsi" w:hAnsiTheme="minorHAnsi" w:cstheme="minorHAnsi"/>
          <w:shd w:val="clear" w:color="auto" w:fill="FFFFFF"/>
        </w:rPr>
        <w:t>Fisher, A. (2021) ‘What critical thinking is’, in J. Blair (ed) </w:t>
      </w:r>
      <w:r w:rsidRPr="004E6078">
        <w:rPr>
          <w:rFonts w:asciiTheme="minorHAnsi" w:hAnsiTheme="minorHAnsi" w:cstheme="minorHAnsi"/>
          <w:i/>
          <w:iCs/>
          <w:shd w:val="clear" w:color="auto" w:fill="FFFFFF"/>
        </w:rPr>
        <w:t>Studies in Critical Thinking</w:t>
      </w:r>
      <w:r w:rsidRPr="004E6078">
        <w:rPr>
          <w:rFonts w:asciiTheme="minorHAnsi" w:hAnsiTheme="minorHAnsi" w:cstheme="minorHAnsi"/>
          <w:shd w:val="clear" w:color="auto" w:fill="FFFFFF"/>
        </w:rPr>
        <w:t>. University of Windsor, pp. 7-29.</w:t>
      </w:r>
    </w:p>
    <w:p w14:paraId="0FD37870" w14:textId="77777777" w:rsidR="004E6078" w:rsidRDefault="004E6078" w:rsidP="004E6078">
      <w:pPr>
        <w:spacing w:line="360" w:lineRule="auto"/>
        <w:rPr>
          <w:rFonts w:asciiTheme="minorHAnsi" w:hAnsiTheme="minorHAnsi" w:cstheme="minorHAnsi"/>
          <w:lang w:eastAsia="en-GB"/>
        </w:rPr>
      </w:pPr>
    </w:p>
    <w:p w14:paraId="49141852" w14:textId="58ECCF24"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Fisher, G., </w:t>
      </w:r>
      <w:proofErr w:type="spellStart"/>
      <w:r w:rsidRPr="004E6078">
        <w:rPr>
          <w:rFonts w:asciiTheme="minorHAnsi" w:hAnsiTheme="minorHAnsi" w:cstheme="minorHAnsi"/>
          <w:lang w:eastAsia="en-GB"/>
        </w:rPr>
        <w:t>Wisneski</w:t>
      </w:r>
      <w:proofErr w:type="spellEnd"/>
      <w:r w:rsidRPr="004E6078">
        <w:rPr>
          <w:rFonts w:asciiTheme="minorHAnsi" w:hAnsiTheme="minorHAnsi" w:cstheme="minorHAnsi"/>
          <w:lang w:eastAsia="en-GB"/>
        </w:rPr>
        <w:t>, J. and Bakker, R. (2020) </w:t>
      </w:r>
      <w:r w:rsidRPr="004E6078">
        <w:rPr>
          <w:rFonts w:asciiTheme="minorHAnsi" w:hAnsiTheme="minorHAnsi" w:cstheme="minorHAnsi"/>
          <w:i/>
          <w:iCs/>
          <w:lang w:eastAsia="en-GB"/>
        </w:rPr>
        <w:t>Strategy in 3D: essential tools to diagnose, decide, and deliver</w:t>
      </w:r>
      <w:r w:rsidRPr="004E6078">
        <w:rPr>
          <w:rFonts w:asciiTheme="minorHAnsi" w:hAnsiTheme="minorHAnsi" w:cstheme="minorHAnsi"/>
          <w:lang w:eastAsia="en-GB"/>
        </w:rPr>
        <w:t>. Oxford University Press.</w:t>
      </w:r>
    </w:p>
    <w:p w14:paraId="6D3679DF" w14:textId="77777777" w:rsidR="004E6078" w:rsidRDefault="004E6078" w:rsidP="004E6078">
      <w:pPr>
        <w:spacing w:line="360" w:lineRule="auto"/>
        <w:rPr>
          <w:rFonts w:asciiTheme="minorHAnsi" w:hAnsiTheme="minorHAnsi" w:cstheme="minorHAnsi"/>
          <w:shd w:val="clear" w:color="auto" w:fill="FFFFFF"/>
        </w:rPr>
      </w:pPr>
    </w:p>
    <w:p w14:paraId="22F5E0A6" w14:textId="5DEE4ED4" w:rsidR="004E6078" w:rsidRPr="004E6078" w:rsidRDefault="004E6078" w:rsidP="004E6078">
      <w:pPr>
        <w:spacing w:line="360" w:lineRule="auto"/>
        <w:rPr>
          <w:rFonts w:asciiTheme="minorHAnsi" w:hAnsiTheme="minorHAnsi" w:cstheme="minorHAnsi"/>
        </w:rPr>
      </w:pPr>
      <w:proofErr w:type="spellStart"/>
      <w:r w:rsidRPr="004E6078">
        <w:rPr>
          <w:rFonts w:asciiTheme="minorHAnsi" w:hAnsiTheme="minorHAnsi" w:cstheme="minorHAnsi"/>
          <w:shd w:val="clear" w:color="auto" w:fill="FFFFFF"/>
        </w:rPr>
        <w:t>Flyvbjerg</w:t>
      </w:r>
      <w:proofErr w:type="spellEnd"/>
      <w:r w:rsidRPr="004E6078">
        <w:rPr>
          <w:rFonts w:asciiTheme="minorHAnsi" w:hAnsiTheme="minorHAnsi" w:cstheme="minorHAnsi"/>
          <w:shd w:val="clear" w:color="auto" w:fill="FFFFFF"/>
        </w:rPr>
        <w:t>, B.</w:t>
      </w:r>
      <w:r>
        <w:rPr>
          <w:rFonts w:asciiTheme="minorHAnsi" w:hAnsiTheme="minorHAnsi" w:cstheme="minorHAnsi"/>
          <w:shd w:val="clear" w:color="auto" w:fill="FFFFFF"/>
        </w:rPr>
        <w:t xml:space="preserve"> </w:t>
      </w:r>
      <w:r w:rsidRPr="004E6078">
        <w:rPr>
          <w:rFonts w:asciiTheme="minorHAnsi" w:hAnsiTheme="minorHAnsi" w:cstheme="minorHAnsi"/>
          <w:shd w:val="clear" w:color="auto" w:fill="FFFFFF"/>
        </w:rPr>
        <w:t xml:space="preserve">and Bester, D. (2021) ‘The Cost-Benefit Fallacy: Why Cost-Benefit Analysis Is Broken and How to Fix It’, </w:t>
      </w:r>
      <w:r w:rsidRPr="004E6078">
        <w:rPr>
          <w:rFonts w:asciiTheme="minorHAnsi" w:hAnsiTheme="minorHAnsi" w:cstheme="minorHAnsi"/>
          <w:i/>
          <w:iCs/>
          <w:shd w:val="clear" w:color="auto" w:fill="FFFFFF"/>
        </w:rPr>
        <w:t>Journal of Benefit-Cost Analysis</w:t>
      </w:r>
      <w:r w:rsidRPr="004E6078">
        <w:rPr>
          <w:rFonts w:asciiTheme="minorHAnsi" w:hAnsiTheme="minorHAnsi" w:cstheme="minorHAnsi"/>
          <w:shd w:val="clear" w:color="auto" w:fill="FFFFFF"/>
        </w:rPr>
        <w:t xml:space="preserve">, 12(3), pp. 1-25. Available at: </w:t>
      </w:r>
      <w:hyperlink r:id="rId27" w:tgtFrame="_blank" w:history="1">
        <w:r w:rsidRPr="004E6078">
          <w:rPr>
            <w:rStyle w:val="Hyperlink"/>
            <w:rFonts w:asciiTheme="minorHAnsi" w:hAnsiTheme="minorHAnsi" w:cstheme="minorHAnsi"/>
            <w:bdr w:val="none" w:sz="0" w:space="0" w:color="auto" w:frame="1"/>
            <w:shd w:val="clear" w:color="auto" w:fill="FFFFFF"/>
          </w:rPr>
          <w:t>10.1017/bca.2021.9</w:t>
        </w:r>
      </w:hyperlink>
    </w:p>
    <w:p w14:paraId="7F429C4A" w14:textId="77777777" w:rsidR="004E6078" w:rsidRDefault="004E6078" w:rsidP="004E6078">
      <w:pPr>
        <w:spacing w:line="360" w:lineRule="auto"/>
        <w:rPr>
          <w:rFonts w:asciiTheme="minorHAnsi" w:hAnsiTheme="minorHAnsi" w:cstheme="minorHAnsi"/>
          <w:lang w:eastAsia="en-GB"/>
        </w:rPr>
      </w:pPr>
    </w:p>
    <w:p w14:paraId="4DB8187F" w14:textId="1A530DBC"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lang w:eastAsia="en-GB"/>
        </w:rPr>
        <w:t xml:space="preserve">Ghonim, M., </w:t>
      </w:r>
      <w:proofErr w:type="spellStart"/>
      <w:r w:rsidRPr="004E6078">
        <w:rPr>
          <w:rFonts w:asciiTheme="minorHAnsi" w:hAnsiTheme="minorHAnsi" w:cstheme="minorHAnsi"/>
          <w:lang w:eastAsia="en-GB"/>
        </w:rPr>
        <w:t>Khashaba</w:t>
      </w:r>
      <w:proofErr w:type="spellEnd"/>
      <w:r w:rsidRPr="004E6078">
        <w:rPr>
          <w:rFonts w:asciiTheme="minorHAnsi" w:hAnsiTheme="minorHAnsi" w:cstheme="minorHAnsi"/>
          <w:lang w:eastAsia="en-GB"/>
        </w:rPr>
        <w:t>, N., Al-</w:t>
      </w:r>
      <w:proofErr w:type="spellStart"/>
      <w:r w:rsidRPr="004E6078">
        <w:rPr>
          <w:rFonts w:asciiTheme="minorHAnsi" w:hAnsiTheme="minorHAnsi" w:cstheme="minorHAnsi"/>
          <w:lang w:eastAsia="en-GB"/>
        </w:rPr>
        <w:t>Najaar</w:t>
      </w:r>
      <w:proofErr w:type="spellEnd"/>
      <w:r w:rsidRPr="004E6078">
        <w:rPr>
          <w:rFonts w:asciiTheme="minorHAnsi" w:hAnsiTheme="minorHAnsi" w:cstheme="minorHAnsi"/>
          <w:lang w:eastAsia="en-GB"/>
        </w:rPr>
        <w:t xml:space="preserve">, H.  and </w:t>
      </w:r>
      <w:proofErr w:type="spellStart"/>
      <w:r w:rsidRPr="004E6078">
        <w:rPr>
          <w:rFonts w:asciiTheme="minorHAnsi" w:hAnsiTheme="minorHAnsi" w:cstheme="minorHAnsi"/>
          <w:lang w:eastAsia="en-GB"/>
        </w:rPr>
        <w:t>Khashan</w:t>
      </w:r>
      <w:proofErr w:type="spellEnd"/>
      <w:r w:rsidRPr="004E6078">
        <w:rPr>
          <w:rFonts w:asciiTheme="minorHAnsi" w:hAnsiTheme="minorHAnsi" w:cstheme="minorHAnsi"/>
          <w:lang w:eastAsia="en-GB"/>
        </w:rPr>
        <w:t xml:space="preserve">, M. (2020) ‘Strategic alignment and its impact on decision effectiveness: a comprehensive model’, </w:t>
      </w:r>
      <w:r w:rsidRPr="004E6078">
        <w:rPr>
          <w:rFonts w:asciiTheme="minorHAnsi" w:hAnsiTheme="minorHAnsi" w:cstheme="minorHAnsi"/>
          <w:i/>
          <w:iCs/>
          <w:lang w:eastAsia="en-GB"/>
        </w:rPr>
        <w:t>International Journal of Emerging Markets</w:t>
      </w:r>
      <w:r w:rsidRPr="004E6078">
        <w:rPr>
          <w:rFonts w:asciiTheme="minorHAnsi" w:hAnsiTheme="minorHAnsi" w:cstheme="minorHAnsi"/>
          <w:lang w:eastAsia="en-GB"/>
        </w:rPr>
        <w:t xml:space="preserve">, 17(1), pp. 198-218. Available at: </w:t>
      </w:r>
      <w:hyperlink r:id="rId28" w:history="1">
        <w:r w:rsidRPr="004E6078">
          <w:rPr>
            <w:rStyle w:val="Hyperlink"/>
            <w:rFonts w:asciiTheme="minorHAnsi" w:hAnsiTheme="minorHAnsi" w:cstheme="minorHAnsi"/>
          </w:rPr>
          <w:t>https://doi.org/10.1108/IJOEM-04-2020-0364</w:t>
        </w:r>
      </w:hyperlink>
    </w:p>
    <w:p w14:paraId="04901F46" w14:textId="77777777" w:rsidR="004E6078" w:rsidRDefault="004E6078" w:rsidP="004E6078">
      <w:pPr>
        <w:spacing w:line="360" w:lineRule="auto"/>
        <w:rPr>
          <w:rFonts w:asciiTheme="minorHAnsi" w:hAnsiTheme="minorHAnsi" w:cstheme="minorHAnsi"/>
          <w:lang w:eastAsia="en-GB"/>
        </w:rPr>
      </w:pPr>
    </w:p>
    <w:p w14:paraId="2A9091F6" w14:textId="3972CF86"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Gifford, J. (2005) </w:t>
      </w:r>
      <w:r w:rsidRPr="004E6078">
        <w:rPr>
          <w:rFonts w:asciiTheme="minorHAnsi" w:hAnsiTheme="minorHAnsi" w:cstheme="minorHAnsi"/>
          <w:i/>
          <w:iCs/>
          <w:lang w:eastAsia="en-GB"/>
        </w:rPr>
        <w:t>Action Learning: Principles and Issues in Practice.</w:t>
      </w:r>
      <w:r w:rsidRPr="004E6078">
        <w:rPr>
          <w:rFonts w:asciiTheme="minorHAnsi" w:hAnsiTheme="minorHAnsi" w:cstheme="minorHAnsi"/>
          <w:lang w:eastAsia="en-GB"/>
        </w:rPr>
        <w:t xml:space="preserve"> Institute of Employment Studies. Available at: </w:t>
      </w:r>
      <w:hyperlink r:id="rId29" w:history="1">
        <w:r w:rsidRPr="004E6078">
          <w:rPr>
            <w:rStyle w:val="Hyperlink"/>
            <w:rFonts w:asciiTheme="minorHAnsi" w:eastAsia="Times New Roman" w:hAnsiTheme="minorHAnsi" w:cstheme="minorHAnsi"/>
            <w:lang w:eastAsia="en-GB"/>
          </w:rPr>
          <w:t>https://www.employment-studies.co.uk/system/files/resources/files/mp49.pdf</w:t>
        </w:r>
      </w:hyperlink>
      <w:r w:rsidRPr="004E6078">
        <w:rPr>
          <w:rStyle w:val="Hyperlink"/>
          <w:rFonts w:asciiTheme="minorHAnsi" w:eastAsia="Times New Roman" w:hAnsiTheme="minorHAnsi" w:cstheme="minorHAnsi"/>
          <w:lang w:eastAsia="en-GB"/>
        </w:rPr>
        <w:t xml:space="preserve"> </w:t>
      </w:r>
      <w:r w:rsidRPr="004E6078">
        <w:rPr>
          <w:rStyle w:val="Hyperlink"/>
          <w:rFonts w:asciiTheme="minorHAnsi" w:eastAsia="Times New Roman" w:hAnsiTheme="minorHAnsi" w:cstheme="minorHAnsi"/>
          <w:color w:val="auto"/>
          <w:u w:val="none"/>
          <w:lang w:eastAsia="en-GB"/>
        </w:rPr>
        <w:t>(Accessed: 31 December 2025).</w:t>
      </w:r>
    </w:p>
    <w:p w14:paraId="02B8A695" w14:textId="77777777" w:rsidR="004E6078" w:rsidRDefault="004E6078" w:rsidP="004E6078">
      <w:pPr>
        <w:spacing w:line="360" w:lineRule="auto"/>
        <w:rPr>
          <w:rFonts w:asciiTheme="minorHAnsi" w:hAnsiTheme="minorHAnsi" w:cstheme="minorHAnsi"/>
          <w:bdr w:val="none" w:sz="0" w:space="0" w:color="auto" w:frame="1"/>
          <w:lang w:eastAsia="en-GB"/>
        </w:rPr>
      </w:pPr>
    </w:p>
    <w:p w14:paraId="073C4B55" w14:textId="280C80DF" w:rsidR="004E6078" w:rsidRPr="004E6078" w:rsidRDefault="004E6078" w:rsidP="004E6078">
      <w:pPr>
        <w:spacing w:line="360" w:lineRule="auto"/>
        <w:rPr>
          <w:rStyle w:val="Hyperlink"/>
          <w:rFonts w:asciiTheme="minorHAnsi" w:eastAsia="Times New Roman" w:hAnsiTheme="minorHAnsi" w:cstheme="minorHAnsi"/>
          <w:color w:val="auto"/>
          <w:u w:val="none"/>
          <w:bdr w:val="none" w:sz="0" w:space="0" w:color="auto" w:frame="1"/>
          <w:lang w:eastAsia="en-GB"/>
        </w:rPr>
      </w:pPr>
      <w:r w:rsidRPr="004E6078">
        <w:rPr>
          <w:rFonts w:asciiTheme="minorHAnsi" w:hAnsiTheme="minorHAnsi" w:cstheme="minorHAnsi"/>
          <w:bdr w:val="none" w:sz="0" w:space="0" w:color="auto" w:frame="1"/>
          <w:lang w:eastAsia="en-GB"/>
        </w:rPr>
        <w:lastRenderedPageBreak/>
        <w:t xml:space="preserve">Gifford, J., Young, J. and </w:t>
      </w:r>
      <w:proofErr w:type="spellStart"/>
      <w:r w:rsidRPr="004E6078">
        <w:rPr>
          <w:rFonts w:asciiTheme="minorHAnsi" w:hAnsiTheme="minorHAnsi" w:cstheme="minorHAnsi"/>
          <w:bdr w:val="none" w:sz="0" w:space="0" w:color="auto" w:frame="1"/>
          <w:lang w:eastAsia="en-GB"/>
        </w:rPr>
        <w:t>Barends</w:t>
      </w:r>
      <w:proofErr w:type="spellEnd"/>
      <w:r w:rsidRPr="004E6078">
        <w:rPr>
          <w:rFonts w:asciiTheme="minorHAnsi" w:hAnsiTheme="minorHAnsi" w:cstheme="minorHAnsi"/>
          <w:bdr w:val="none" w:sz="0" w:space="0" w:color="auto" w:frame="1"/>
          <w:lang w:eastAsia="en-GB"/>
        </w:rPr>
        <w:t xml:space="preserve">, E. (2023) </w:t>
      </w:r>
      <w:r w:rsidRPr="004E6078">
        <w:rPr>
          <w:rFonts w:asciiTheme="minorHAnsi" w:hAnsiTheme="minorHAnsi" w:cstheme="minorHAnsi"/>
          <w:i/>
          <w:iCs/>
          <w:bdr w:val="none" w:sz="0" w:space="0" w:color="auto" w:frame="1"/>
          <w:lang w:eastAsia="en-GB"/>
        </w:rPr>
        <w:t>Building an evidence-based people profession</w:t>
      </w:r>
      <w:r w:rsidRPr="004E6078">
        <w:rPr>
          <w:rFonts w:asciiTheme="minorHAnsi" w:hAnsiTheme="minorHAnsi" w:cstheme="minorHAnsi"/>
          <w:bdr w:val="none" w:sz="0" w:space="0" w:color="auto" w:frame="1"/>
          <w:lang w:eastAsia="en-GB"/>
        </w:rPr>
        <w:t xml:space="preserve">. Available at: </w:t>
      </w:r>
      <w:hyperlink r:id="rId30" w:history="1">
        <w:r w:rsidRPr="004E6078">
          <w:rPr>
            <w:rStyle w:val="Hyperlink"/>
            <w:rFonts w:asciiTheme="minorHAnsi" w:eastAsia="Times New Roman" w:hAnsiTheme="minorHAnsi" w:cstheme="minorHAnsi"/>
            <w:bdr w:val="none" w:sz="0" w:space="0" w:color="auto" w:frame="1"/>
            <w:lang w:eastAsia="en-GB"/>
          </w:rPr>
          <w:t>https://www.cipd.org/uk/views-and-insights/thought-leadership/insight/evidence-based-profession/</w:t>
        </w:r>
      </w:hyperlink>
      <w:r w:rsidRPr="004E6078">
        <w:rPr>
          <w:rStyle w:val="Hyperlink"/>
          <w:rFonts w:asciiTheme="minorHAnsi" w:eastAsia="Times New Roman" w:hAnsiTheme="minorHAnsi" w:cstheme="minorHAnsi"/>
          <w:bdr w:val="none" w:sz="0" w:space="0" w:color="auto" w:frame="1"/>
          <w:lang w:eastAsia="en-GB"/>
        </w:rPr>
        <w:t xml:space="preserve"> </w:t>
      </w:r>
      <w:r w:rsidRPr="004E6078">
        <w:rPr>
          <w:rStyle w:val="Hyperlink"/>
          <w:rFonts w:asciiTheme="minorHAnsi" w:eastAsia="Times New Roman" w:hAnsiTheme="minorHAnsi" w:cstheme="minorHAnsi"/>
          <w:color w:val="auto"/>
          <w:u w:val="none"/>
          <w:bdr w:val="none" w:sz="0" w:space="0" w:color="auto" w:frame="1"/>
          <w:lang w:eastAsia="en-GB"/>
        </w:rPr>
        <w:t>(Accessed: 30</w:t>
      </w:r>
      <w:r w:rsidRPr="004E6078">
        <w:rPr>
          <w:rStyle w:val="Hyperlink"/>
          <w:rFonts w:asciiTheme="minorHAnsi" w:eastAsia="Times New Roman" w:hAnsiTheme="minorHAnsi" w:cstheme="minorHAnsi"/>
          <w:color w:val="auto"/>
          <w:u w:val="none"/>
          <w:bdr w:val="none" w:sz="0" w:space="0" w:color="auto" w:frame="1"/>
          <w:vertAlign w:val="superscript"/>
          <w:lang w:eastAsia="en-GB"/>
        </w:rPr>
        <w:t>th</w:t>
      </w:r>
      <w:r w:rsidRPr="004E6078">
        <w:rPr>
          <w:rStyle w:val="Hyperlink"/>
          <w:rFonts w:asciiTheme="minorHAnsi" w:eastAsia="Times New Roman" w:hAnsiTheme="minorHAnsi" w:cstheme="minorHAnsi"/>
          <w:color w:val="auto"/>
          <w:u w:val="none"/>
          <w:bdr w:val="none" w:sz="0" w:space="0" w:color="auto" w:frame="1"/>
          <w:lang w:eastAsia="en-GB"/>
        </w:rPr>
        <w:t xml:space="preserve"> December 2025).</w:t>
      </w:r>
    </w:p>
    <w:p w14:paraId="7BC2F236" w14:textId="77777777" w:rsidR="004E6078" w:rsidRDefault="004E6078" w:rsidP="004E6078">
      <w:pPr>
        <w:spacing w:line="360" w:lineRule="auto"/>
        <w:rPr>
          <w:rFonts w:asciiTheme="minorHAnsi" w:hAnsiTheme="minorHAnsi" w:cstheme="minorHAnsi"/>
          <w:lang w:eastAsia="en-GB"/>
        </w:rPr>
      </w:pPr>
    </w:p>
    <w:p w14:paraId="2F22C1DD" w14:textId="00DB651E" w:rsidR="004E6078" w:rsidRPr="004E6078" w:rsidRDefault="004E6078" w:rsidP="004E6078">
      <w:pPr>
        <w:spacing w:line="360" w:lineRule="auto"/>
        <w:rPr>
          <w:rStyle w:val="Hyperlink"/>
          <w:rFonts w:asciiTheme="minorHAnsi" w:eastAsia="Times New Roman" w:hAnsiTheme="minorHAnsi" w:cstheme="minorHAnsi"/>
          <w:lang w:eastAsia="en-GB"/>
        </w:rPr>
      </w:pPr>
      <w:r w:rsidRPr="004E6078">
        <w:rPr>
          <w:rFonts w:asciiTheme="minorHAnsi" w:hAnsiTheme="minorHAnsi" w:cstheme="minorHAnsi"/>
          <w:lang w:eastAsia="en-GB"/>
        </w:rPr>
        <w:t xml:space="preserve">Gill, C. (2018) ‘Don't know, don't care: An exploration of </w:t>
      </w:r>
      <w:proofErr w:type="gramStart"/>
      <w:r w:rsidRPr="004E6078">
        <w:rPr>
          <w:rFonts w:asciiTheme="minorHAnsi" w:hAnsiTheme="minorHAnsi" w:cstheme="minorHAnsi"/>
          <w:lang w:eastAsia="en-GB"/>
        </w:rPr>
        <w:t>evidence based</w:t>
      </w:r>
      <w:proofErr w:type="gramEnd"/>
      <w:r w:rsidRPr="004E6078">
        <w:rPr>
          <w:rFonts w:asciiTheme="minorHAnsi" w:hAnsiTheme="minorHAnsi" w:cstheme="minorHAnsi"/>
          <w:lang w:eastAsia="en-GB"/>
        </w:rPr>
        <w:t xml:space="preserve"> knowledge and practice in human resource management’, </w:t>
      </w:r>
      <w:r w:rsidRPr="004E6078">
        <w:rPr>
          <w:rFonts w:asciiTheme="minorHAnsi" w:hAnsiTheme="minorHAnsi" w:cstheme="minorHAnsi"/>
          <w:i/>
          <w:iCs/>
          <w:lang w:eastAsia="en-GB"/>
        </w:rPr>
        <w:t>Human Resource Management Review</w:t>
      </w:r>
      <w:r w:rsidRPr="004E6078">
        <w:rPr>
          <w:rFonts w:asciiTheme="minorHAnsi" w:hAnsiTheme="minorHAnsi" w:cstheme="minorHAnsi"/>
          <w:lang w:eastAsia="en-GB"/>
        </w:rPr>
        <w:t xml:space="preserve">, 28(2), pp. 103-115. Available at: </w:t>
      </w:r>
      <w:hyperlink r:id="rId31" w:history="1">
        <w:r w:rsidRPr="004E6078">
          <w:rPr>
            <w:rStyle w:val="Hyperlink"/>
            <w:rFonts w:asciiTheme="minorHAnsi" w:eastAsia="Times New Roman" w:hAnsiTheme="minorHAnsi" w:cstheme="minorHAnsi"/>
            <w:lang w:eastAsia="en-GB"/>
          </w:rPr>
          <w:t>https://doi.org/10.1016/j.hrmr.2017.06.001</w:t>
        </w:r>
      </w:hyperlink>
    </w:p>
    <w:p w14:paraId="363F186E" w14:textId="77777777" w:rsidR="004E6078" w:rsidRDefault="004E6078" w:rsidP="004E6078">
      <w:pPr>
        <w:spacing w:line="360" w:lineRule="auto"/>
        <w:rPr>
          <w:rFonts w:asciiTheme="minorHAnsi" w:hAnsiTheme="minorHAnsi" w:cstheme="minorHAnsi"/>
        </w:rPr>
      </w:pPr>
    </w:p>
    <w:p w14:paraId="637407C9" w14:textId="00D2E8F1"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Goldstein, I. and Ford, J. (2001) </w:t>
      </w:r>
      <w:r w:rsidRPr="004E6078">
        <w:rPr>
          <w:rStyle w:val="Emphasis"/>
          <w:rFonts w:asciiTheme="minorHAnsi" w:hAnsiTheme="minorHAnsi" w:cstheme="minorHAnsi"/>
        </w:rPr>
        <w:t>Training in Organizations</w:t>
      </w:r>
      <w:r w:rsidRPr="004E6078">
        <w:rPr>
          <w:rFonts w:asciiTheme="minorHAnsi" w:hAnsiTheme="minorHAnsi" w:cstheme="minorHAnsi"/>
        </w:rPr>
        <w:t xml:space="preserve">. 4th </w:t>
      </w:r>
      <w:proofErr w:type="spellStart"/>
      <w:r w:rsidRPr="004E6078">
        <w:rPr>
          <w:rFonts w:asciiTheme="minorHAnsi" w:hAnsiTheme="minorHAnsi" w:cstheme="minorHAnsi"/>
        </w:rPr>
        <w:t>edn</w:t>
      </w:r>
      <w:proofErr w:type="spellEnd"/>
      <w:r w:rsidRPr="004E6078">
        <w:rPr>
          <w:rFonts w:asciiTheme="minorHAnsi" w:hAnsiTheme="minorHAnsi" w:cstheme="minorHAnsi"/>
        </w:rPr>
        <w:t>. Wadsworth.</w:t>
      </w:r>
    </w:p>
    <w:p w14:paraId="5FDF1AB5" w14:textId="77777777" w:rsidR="004E6078" w:rsidRDefault="004E6078" w:rsidP="004E6078">
      <w:pPr>
        <w:spacing w:line="360" w:lineRule="auto"/>
        <w:rPr>
          <w:rFonts w:asciiTheme="minorHAnsi" w:hAnsiTheme="minorHAnsi" w:cstheme="minorHAnsi"/>
          <w:lang w:eastAsia="en-GB"/>
        </w:rPr>
      </w:pPr>
    </w:p>
    <w:p w14:paraId="755B9550" w14:textId="2D98F441" w:rsidR="004E6078" w:rsidRPr="004E6078" w:rsidRDefault="004E6078" w:rsidP="004E6078">
      <w:pPr>
        <w:spacing w:line="360" w:lineRule="auto"/>
        <w:rPr>
          <w:rStyle w:val="Hyperlink"/>
          <w:rFonts w:asciiTheme="minorHAnsi" w:hAnsiTheme="minorHAnsi" w:cstheme="minorHAnsi"/>
          <w:bdr w:val="none" w:sz="0" w:space="0" w:color="auto" w:frame="1"/>
          <w:shd w:val="clear" w:color="auto" w:fill="FFFFFF"/>
        </w:rPr>
      </w:pPr>
      <w:r w:rsidRPr="004E6078">
        <w:rPr>
          <w:rFonts w:asciiTheme="minorHAnsi" w:hAnsiTheme="minorHAnsi" w:cstheme="minorHAnsi"/>
          <w:lang w:eastAsia="en-GB"/>
        </w:rPr>
        <w:t xml:space="preserve">Gupta, R. and </w:t>
      </w:r>
      <w:proofErr w:type="spellStart"/>
      <w:r w:rsidRPr="004E6078">
        <w:rPr>
          <w:rFonts w:asciiTheme="minorHAnsi" w:hAnsiTheme="minorHAnsi" w:cstheme="minorHAnsi"/>
          <w:lang w:eastAsia="en-GB"/>
        </w:rPr>
        <w:t>Bodhankar</w:t>
      </w:r>
      <w:proofErr w:type="spellEnd"/>
      <w:r w:rsidRPr="004E6078">
        <w:rPr>
          <w:rFonts w:asciiTheme="minorHAnsi" w:hAnsiTheme="minorHAnsi" w:cstheme="minorHAnsi"/>
          <w:lang w:eastAsia="en-GB"/>
        </w:rPr>
        <w:t xml:space="preserve">, A. (2023) ‘Impact of Six Thinking Hats Techniques on the Legitimate Decision-Making Skills of Managers’, </w:t>
      </w:r>
      <w:r w:rsidRPr="004E6078">
        <w:rPr>
          <w:rFonts w:asciiTheme="minorHAnsi" w:hAnsiTheme="minorHAnsi" w:cstheme="minorHAnsi"/>
          <w:i/>
          <w:iCs/>
          <w:lang w:eastAsia="en-GB"/>
        </w:rPr>
        <w:t>Russian Law Journal</w:t>
      </w:r>
      <w:r w:rsidRPr="004E6078">
        <w:rPr>
          <w:rFonts w:asciiTheme="minorHAnsi" w:hAnsiTheme="minorHAnsi" w:cstheme="minorHAnsi"/>
          <w:lang w:eastAsia="en-GB"/>
        </w:rPr>
        <w:t xml:space="preserve">, 11(5), pp. 449-456. Available at: </w:t>
      </w:r>
      <w:hyperlink r:id="rId32" w:tgtFrame="_blank" w:history="1">
        <w:r w:rsidRPr="004E6078">
          <w:rPr>
            <w:rStyle w:val="Hyperlink"/>
            <w:rFonts w:asciiTheme="minorHAnsi" w:hAnsiTheme="minorHAnsi" w:cstheme="minorHAnsi"/>
            <w:bdr w:val="none" w:sz="0" w:space="0" w:color="auto" w:frame="1"/>
            <w:shd w:val="clear" w:color="auto" w:fill="FFFFFF"/>
          </w:rPr>
          <w:t>10.52783/rlj.v11i5s.963</w:t>
        </w:r>
      </w:hyperlink>
    </w:p>
    <w:p w14:paraId="4C581CBB" w14:textId="77777777" w:rsidR="004E6078" w:rsidRDefault="004E6078" w:rsidP="004E6078">
      <w:pPr>
        <w:spacing w:line="360" w:lineRule="auto"/>
        <w:rPr>
          <w:rFonts w:asciiTheme="minorHAnsi" w:hAnsiTheme="minorHAnsi" w:cstheme="minorHAnsi"/>
          <w:color w:val="333333"/>
        </w:rPr>
      </w:pPr>
    </w:p>
    <w:p w14:paraId="557C2276" w14:textId="0D107B55" w:rsidR="004E6078" w:rsidRPr="004E6078" w:rsidRDefault="004E6078" w:rsidP="004E6078">
      <w:pPr>
        <w:spacing w:line="360" w:lineRule="auto"/>
        <w:rPr>
          <w:rStyle w:val="Hyperlink"/>
          <w:rFonts w:asciiTheme="minorHAnsi" w:hAnsiTheme="minorHAnsi" w:cstheme="minorHAnsi"/>
          <w:color w:val="auto"/>
          <w:u w:val="none"/>
        </w:rPr>
      </w:pPr>
      <w:r w:rsidRPr="004E6078">
        <w:rPr>
          <w:rFonts w:asciiTheme="minorHAnsi" w:hAnsiTheme="minorHAnsi" w:cstheme="minorHAnsi"/>
          <w:color w:val="333333"/>
        </w:rPr>
        <w:t xml:space="preserve">Hails, D. (2023) </w:t>
      </w:r>
      <w:r w:rsidRPr="004E6078">
        <w:rPr>
          <w:rFonts w:asciiTheme="minorHAnsi" w:hAnsiTheme="minorHAnsi" w:cstheme="minorHAnsi"/>
          <w:i/>
          <w:iCs/>
          <w:color w:val="333333"/>
        </w:rPr>
        <w:t xml:space="preserve">Unveiling Edward De Bono’s Six Thinking Hats: A Strategic Approach </w:t>
      </w:r>
      <w:proofErr w:type="gramStart"/>
      <w:r w:rsidRPr="004E6078">
        <w:rPr>
          <w:rFonts w:asciiTheme="minorHAnsi" w:hAnsiTheme="minorHAnsi" w:cstheme="minorHAnsi"/>
          <w:i/>
          <w:iCs/>
          <w:color w:val="333333"/>
        </w:rPr>
        <w:t>To</w:t>
      </w:r>
      <w:proofErr w:type="gramEnd"/>
      <w:r w:rsidRPr="004E6078">
        <w:rPr>
          <w:rFonts w:asciiTheme="minorHAnsi" w:hAnsiTheme="minorHAnsi" w:cstheme="minorHAnsi"/>
          <w:i/>
          <w:iCs/>
          <w:color w:val="333333"/>
        </w:rPr>
        <w:t xml:space="preserve"> Thinking. </w:t>
      </w:r>
      <w:r w:rsidRPr="004E6078">
        <w:rPr>
          <w:rFonts w:asciiTheme="minorHAnsi" w:hAnsiTheme="minorHAnsi" w:cstheme="minorHAnsi"/>
          <w:color w:val="333333"/>
        </w:rPr>
        <w:t xml:space="preserve">Available at: </w:t>
      </w:r>
      <w:hyperlink r:id="rId33" w:history="1">
        <w:r w:rsidRPr="004E6078">
          <w:rPr>
            <w:rStyle w:val="Hyperlink"/>
            <w:rFonts w:asciiTheme="minorHAnsi" w:hAnsiTheme="minorHAnsi" w:cstheme="minorHAnsi"/>
          </w:rPr>
          <w:t>https://peopledevelopmentmagazine.com/2023/11/08/six-thinking-hats</w:t>
        </w:r>
      </w:hyperlink>
      <w:r w:rsidRPr="004E6078">
        <w:rPr>
          <w:rFonts w:asciiTheme="minorHAnsi" w:hAnsiTheme="minorHAnsi" w:cstheme="minorHAnsi"/>
        </w:rPr>
        <w:t xml:space="preserve"> (</w:t>
      </w:r>
      <w:r w:rsidRPr="004E6078">
        <w:rPr>
          <w:rStyle w:val="Hyperlink"/>
          <w:rFonts w:asciiTheme="minorHAnsi" w:hAnsiTheme="minorHAnsi" w:cstheme="minorHAnsi"/>
          <w:color w:val="auto"/>
          <w:u w:val="none"/>
        </w:rPr>
        <w:t>Accessed: 4</w:t>
      </w:r>
      <w:r w:rsidRPr="004E6078">
        <w:rPr>
          <w:rStyle w:val="Hyperlink"/>
          <w:rFonts w:asciiTheme="minorHAnsi" w:hAnsiTheme="minorHAnsi" w:cstheme="minorHAnsi"/>
          <w:color w:val="auto"/>
          <w:u w:val="none"/>
          <w:vertAlign w:val="superscript"/>
        </w:rPr>
        <w:t>th</w:t>
      </w:r>
      <w:r w:rsidRPr="004E6078">
        <w:rPr>
          <w:rStyle w:val="Hyperlink"/>
          <w:rFonts w:asciiTheme="minorHAnsi" w:hAnsiTheme="minorHAnsi" w:cstheme="minorHAnsi"/>
          <w:color w:val="auto"/>
          <w:u w:val="none"/>
        </w:rPr>
        <w:t xml:space="preserve"> January 2026).</w:t>
      </w:r>
    </w:p>
    <w:p w14:paraId="6E6FE026" w14:textId="77777777" w:rsidR="004E6078" w:rsidRDefault="004E6078" w:rsidP="004E6078">
      <w:pPr>
        <w:spacing w:line="360" w:lineRule="auto"/>
        <w:rPr>
          <w:rStyle w:val="Emphasis"/>
          <w:rFonts w:asciiTheme="minorHAnsi" w:hAnsiTheme="minorHAnsi" w:cstheme="minorHAnsi"/>
        </w:rPr>
      </w:pPr>
    </w:p>
    <w:p w14:paraId="1642E136" w14:textId="6B531C41" w:rsidR="004E6078" w:rsidRPr="004E6078" w:rsidRDefault="004E6078" w:rsidP="004E6078">
      <w:pPr>
        <w:spacing w:line="360" w:lineRule="auto"/>
        <w:rPr>
          <w:rStyle w:val="Hyperlink"/>
          <w:rFonts w:asciiTheme="minorHAnsi" w:hAnsiTheme="minorHAnsi" w:cstheme="minorHAnsi"/>
          <w:color w:val="auto"/>
        </w:rPr>
      </w:pPr>
      <w:r w:rsidRPr="004E6078">
        <w:rPr>
          <w:rStyle w:val="Emphasis"/>
          <w:rFonts w:asciiTheme="minorHAnsi" w:hAnsiTheme="minorHAnsi" w:cstheme="minorHAnsi"/>
          <w:i w:val="0"/>
          <w:iCs w:val="0"/>
        </w:rPr>
        <w:t xml:space="preserve">Hayden, D. (2025a) </w:t>
      </w:r>
      <w:r w:rsidRPr="004E6078">
        <w:rPr>
          <w:rStyle w:val="Emphasis"/>
          <w:rFonts w:asciiTheme="minorHAnsi" w:hAnsiTheme="minorHAnsi" w:cstheme="minorHAnsi"/>
        </w:rPr>
        <w:t xml:space="preserve">Learning evaluation, impact and transfer. </w:t>
      </w:r>
      <w:r w:rsidRPr="004E6078">
        <w:rPr>
          <w:rStyle w:val="Emphasis"/>
          <w:rFonts w:asciiTheme="minorHAnsi" w:hAnsiTheme="minorHAnsi" w:cstheme="minorHAnsi"/>
          <w:i w:val="0"/>
          <w:iCs w:val="0"/>
        </w:rPr>
        <w:t xml:space="preserve">Available at: </w:t>
      </w:r>
      <w:hyperlink r:id="rId34" w:history="1">
        <w:r w:rsidRPr="004E6078">
          <w:rPr>
            <w:rStyle w:val="Hyperlink"/>
            <w:rFonts w:asciiTheme="minorHAnsi" w:hAnsiTheme="minorHAnsi" w:cstheme="minorHAnsi"/>
          </w:rPr>
          <w:t>https://www.cipd.org/uk/knowledge/factsheets/evaluating-learning-factsheet/</w:t>
        </w:r>
      </w:hyperlink>
      <w:r w:rsidRPr="004E6078">
        <w:rPr>
          <w:rStyle w:val="Hyperlink"/>
          <w:rFonts w:asciiTheme="minorHAnsi" w:hAnsiTheme="minorHAnsi" w:cstheme="minorHAnsi"/>
        </w:rPr>
        <w:t xml:space="preserve"> </w:t>
      </w:r>
      <w:r w:rsidRPr="004E6078">
        <w:rPr>
          <w:rStyle w:val="Hyperlink"/>
          <w:rFonts w:asciiTheme="minorHAnsi" w:hAnsiTheme="minorHAnsi" w:cstheme="minorHAnsi"/>
          <w:color w:val="auto"/>
          <w:u w:val="none"/>
        </w:rPr>
        <w:t>(Accessed: 18 January 2026).</w:t>
      </w:r>
    </w:p>
    <w:p w14:paraId="21CBD2E5" w14:textId="77777777" w:rsidR="004E6078" w:rsidRDefault="004E6078" w:rsidP="004E6078">
      <w:pPr>
        <w:spacing w:line="360" w:lineRule="auto"/>
        <w:rPr>
          <w:rFonts w:asciiTheme="minorHAnsi" w:hAnsiTheme="minorHAnsi" w:cstheme="minorHAnsi"/>
          <w:color w:val="222222"/>
          <w:shd w:val="clear" w:color="auto" w:fill="FFFFFF"/>
        </w:rPr>
      </w:pPr>
    </w:p>
    <w:p w14:paraId="1EC68E04" w14:textId="54F6F96E" w:rsidR="004E6078" w:rsidRPr="004E6078" w:rsidRDefault="004E6078" w:rsidP="004E6078">
      <w:pPr>
        <w:spacing w:line="360" w:lineRule="auto"/>
        <w:rPr>
          <w:rStyle w:val="Hyperlink"/>
          <w:rFonts w:asciiTheme="minorHAnsi" w:hAnsiTheme="minorHAnsi" w:cstheme="minorHAnsi"/>
          <w:color w:val="222222"/>
          <w:u w:val="none"/>
          <w:shd w:val="clear" w:color="auto" w:fill="FFFFFF"/>
        </w:rPr>
      </w:pPr>
      <w:r w:rsidRPr="004E6078">
        <w:rPr>
          <w:rFonts w:asciiTheme="minorHAnsi" w:hAnsiTheme="minorHAnsi" w:cstheme="minorHAnsi"/>
          <w:color w:val="222222"/>
          <w:shd w:val="clear" w:color="auto" w:fill="FFFFFF"/>
        </w:rPr>
        <w:t xml:space="preserve">Hayden, D. (2025b) </w:t>
      </w:r>
      <w:r w:rsidRPr="004E6078">
        <w:rPr>
          <w:rFonts w:asciiTheme="minorHAnsi" w:hAnsiTheme="minorHAnsi" w:cstheme="minorHAnsi"/>
          <w:i/>
          <w:iCs/>
          <w:color w:val="222222"/>
          <w:shd w:val="clear" w:color="auto" w:fill="FFFFFF"/>
        </w:rPr>
        <w:t xml:space="preserve">Learning needs analysis. </w:t>
      </w:r>
      <w:r w:rsidRPr="004E6078">
        <w:rPr>
          <w:rFonts w:asciiTheme="minorHAnsi" w:hAnsiTheme="minorHAnsi" w:cstheme="minorHAnsi"/>
          <w:color w:val="222222"/>
          <w:shd w:val="clear" w:color="auto" w:fill="FFFFFF"/>
        </w:rPr>
        <w:t xml:space="preserve">Available at: </w:t>
      </w:r>
      <w:hyperlink r:id="rId35" w:history="1">
        <w:r w:rsidRPr="004E6078">
          <w:rPr>
            <w:rStyle w:val="Hyperlink"/>
            <w:rFonts w:asciiTheme="minorHAnsi" w:hAnsiTheme="minorHAnsi" w:cstheme="minorHAnsi"/>
            <w:shd w:val="clear" w:color="auto" w:fill="FFFFFF"/>
          </w:rPr>
          <w:t>https://www.cipd.org/uk/knowledge/factsheets/learning-needs-factsheet/</w:t>
        </w:r>
      </w:hyperlink>
      <w:r w:rsidRPr="004E6078">
        <w:rPr>
          <w:rFonts w:asciiTheme="minorHAnsi" w:hAnsiTheme="minorHAnsi" w:cstheme="minorHAnsi"/>
          <w:color w:val="222222"/>
          <w:shd w:val="clear" w:color="auto" w:fill="FFFFFF"/>
        </w:rPr>
        <w:t xml:space="preserve"> (Accessed: 18 January 2026).</w:t>
      </w:r>
    </w:p>
    <w:p w14:paraId="2937CD06" w14:textId="77777777" w:rsidR="004E6078" w:rsidRDefault="004E6078" w:rsidP="004E6078">
      <w:pPr>
        <w:spacing w:line="360" w:lineRule="auto"/>
        <w:rPr>
          <w:rFonts w:asciiTheme="minorHAnsi" w:hAnsiTheme="minorHAnsi" w:cstheme="minorHAnsi"/>
          <w:shd w:val="clear" w:color="auto" w:fill="FFFFFF"/>
        </w:rPr>
      </w:pPr>
    </w:p>
    <w:p w14:paraId="4242E82D" w14:textId="23665E2E" w:rsidR="004E6078" w:rsidRPr="004E6078" w:rsidRDefault="004E6078" w:rsidP="004E6078">
      <w:pPr>
        <w:spacing w:line="360" w:lineRule="auto"/>
        <w:rPr>
          <w:rStyle w:val="Hyperlink"/>
          <w:rFonts w:asciiTheme="minorHAnsi" w:hAnsiTheme="minorHAnsi" w:cstheme="minorHAnsi"/>
          <w:shd w:val="clear" w:color="auto" w:fill="FFFFFF"/>
        </w:rPr>
      </w:pPr>
      <w:r w:rsidRPr="004E6078">
        <w:rPr>
          <w:rFonts w:asciiTheme="minorHAnsi" w:hAnsiTheme="minorHAnsi" w:cstheme="minorHAnsi"/>
          <w:shd w:val="clear" w:color="auto" w:fill="FFFFFF"/>
        </w:rPr>
        <w:t xml:space="preserve">Hossain, M., Purnima, F. and </w:t>
      </w:r>
      <w:proofErr w:type="spellStart"/>
      <w:r w:rsidRPr="004E6078">
        <w:rPr>
          <w:rFonts w:asciiTheme="minorHAnsi" w:hAnsiTheme="minorHAnsi" w:cstheme="minorHAnsi"/>
          <w:shd w:val="clear" w:color="auto" w:fill="FFFFFF"/>
        </w:rPr>
        <w:t>Sohana</w:t>
      </w:r>
      <w:proofErr w:type="spellEnd"/>
      <w:r w:rsidRPr="004E6078">
        <w:rPr>
          <w:rFonts w:asciiTheme="minorHAnsi" w:hAnsiTheme="minorHAnsi" w:cstheme="minorHAnsi"/>
          <w:shd w:val="clear" w:color="auto" w:fill="FFFFFF"/>
        </w:rPr>
        <w:t xml:space="preserve">, F. (2025) ‘A Cost-Benefit Analysis of Sustainable Human Resource Management Practices: Evaluating the Impact on HRM Effectiveness and Organizational Performance’, </w:t>
      </w:r>
      <w:r w:rsidRPr="004E6078">
        <w:rPr>
          <w:rFonts w:asciiTheme="minorHAnsi" w:hAnsiTheme="minorHAnsi" w:cstheme="minorHAnsi"/>
          <w:i/>
          <w:iCs/>
          <w:shd w:val="clear" w:color="auto" w:fill="FFFFFF"/>
        </w:rPr>
        <w:t>European Journal of Management, Economics and Business</w:t>
      </w:r>
      <w:r w:rsidRPr="004E6078">
        <w:rPr>
          <w:rFonts w:asciiTheme="minorHAnsi" w:hAnsiTheme="minorHAnsi" w:cstheme="minorHAnsi"/>
          <w:shd w:val="clear" w:color="auto" w:fill="FFFFFF"/>
        </w:rPr>
        <w:t xml:space="preserve">, 2(3), 49-63. Available at: </w:t>
      </w:r>
      <w:hyperlink r:id="rId36" w:history="1">
        <w:r w:rsidRPr="004E6078">
          <w:rPr>
            <w:rStyle w:val="Hyperlink"/>
            <w:rFonts w:asciiTheme="minorHAnsi" w:hAnsiTheme="minorHAnsi" w:cstheme="minorHAnsi"/>
            <w:shd w:val="clear" w:color="auto" w:fill="FFFFFF"/>
          </w:rPr>
          <w:t>https://doi.org/10.59324/ejmeb.2025.2(3).05</w:t>
        </w:r>
      </w:hyperlink>
    </w:p>
    <w:p w14:paraId="7A4836E9" w14:textId="77777777" w:rsidR="004E6078" w:rsidRDefault="004E6078" w:rsidP="004E6078">
      <w:pPr>
        <w:spacing w:line="360" w:lineRule="auto"/>
        <w:rPr>
          <w:rFonts w:asciiTheme="minorHAnsi" w:hAnsiTheme="minorHAnsi" w:cstheme="minorHAnsi"/>
          <w:color w:val="333333"/>
          <w:kern w:val="36"/>
          <w:lang w:eastAsia="en-GB"/>
        </w:rPr>
      </w:pPr>
    </w:p>
    <w:p w14:paraId="1BD1CD15" w14:textId="5CC12F80" w:rsidR="004E6078" w:rsidRPr="004E6078" w:rsidRDefault="004E6078" w:rsidP="004E6078">
      <w:pPr>
        <w:spacing w:line="360" w:lineRule="auto"/>
        <w:rPr>
          <w:rStyle w:val="Hyperlink"/>
          <w:rFonts w:asciiTheme="minorHAnsi" w:hAnsiTheme="minorHAnsi" w:cstheme="minorHAnsi"/>
          <w:color w:val="333333"/>
          <w:kern w:val="36"/>
          <w:u w:val="none"/>
          <w:lang w:eastAsia="en-GB"/>
        </w:rPr>
      </w:pPr>
      <w:proofErr w:type="spellStart"/>
      <w:r w:rsidRPr="004E6078">
        <w:rPr>
          <w:rFonts w:asciiTheme="minorHAnsi" w:hAnsiTheme="minorHAnsi" w:cstheme="minorHAnsi"/>
          <w:color w:val="333333"/>
          <w:kern w:val="36"/>
          <w:lang w:eastAsia="en-GB"/>
        </w:rPr>
        <w:t>Karge</w:t>
      </w:r>
      <w:proofErr w:type="spellEnd"/>
      <w:r w:rsidRPr="004E6078">
        <w:rPr>
          <w:rFonts w:asciiTheme="minorHAnsi" w:hAnsiTheme="minorHAnsi" w:cstheme="minorHAnsi"/>
          <w:color w:val="333333"/>
          <w:kern w:val="36"/>
          <w:lang w:eastAsia="en-GB"/>
        </w:rPr>
        <w:t xml:space="preserve">, B., Phillips, K., </w:t>
      </w:r>
      <w:proofErr w:type="spellStart"/>
      <w:r w:rsidRPr="004E6078">
        <w:rPr>
          <w:rFonts w:asciiTheme="minorHAnsi" w:hAnsiTheme="minorHAnsi" w:cstheme="minorHAnsi"/>
          <w:color w:val="333333"/>
          <w:kern w:val="36"/>
          <w:lang w:eastAsia="en-GB"/>
        </w:rPr>
        <w:t>Jessee</w:t>
      </w:r>
      <w:proofErr w:type="spellEnd"/>
      <w:r w:rsidRPr="004E6078">
        <w:rPr>
          <w:rFonts w:asciiTheme="minorHAnsi" w:hAnsiTheme="minorHAnsi" w:cstheme="minorHAnsi"/>
          <w:color w:val="333333"/>
          <w:kern w:val="36"/>
          <w:lang w:eastAsia="en-GB"/>
        </w:rPr>
        <w:t xml:space="preserve">, T. and </w:t>
      </w:r>
      <w:proofErr w:type="spellStart"/>
      <w:r w:rsidRPr="004E6078">
        <w:rPr>
          <w:rFonts w:asciiTheme="minorHAnsi" w:hAnsiTheme="minorHAnsi" w:cstheme="minorHAnsi"/>
          <w:color w:val="333333"/>
          <w:kern w:val="36"/>
          <w:lang w:eastAsia="en-GB"/>
        </w:rPr>
        <w:t>Mccabe</w:t>
      </w:r>
      <w:proofErr w:type="spellEnd"/>
      <w:r w:rsidRPr="004E6078">
        <w:rPr>
          <w:rFonts w:asciiTheme="minorHAnsi" w:hAnsiTheme="minorHAnsi" w:cstheme="minorHAnsi"/>
          <w:color w:val="333333"/>
          <w:kern w:val="36"/>
          <w:lang w:eastAsia="en-GB"/>
        </w:rPr>
        <w:t xml:space="preserve">, M. (2011) ‘Effective Strategies </w:t>
      </w:r>
      <w:proofErr w:type="gramStart"/>
      <w:r w:rsidRPr="004E6078">
        <w:rPr>
          <w:rFonts w:asciiTheme="minorHAnsi" w:hAnsiTheme="minorHAnsi" w:cstheme="minorHAnsi"/>
          <w:color w:val="333333"/>
          <w:kern w:val="36"/>
          <w:lang w:eastAsia="en-GB"/>
        </w:rPr>
        <w:t>For</w:t>
      </w:r>
      <w:proofErr w:type="gramEnd"/>
      <w:r w:rsidRPr="004E6078">
        <w:rPr>
          <w:rFonts w:asciiTheme="minorHAnsi" w:hAnsiTheme="minorHAnsi" w:cstheme="minorHAnsi"/>
          <w:color w:val="333333"/>
          <w:kern w:val="36"/>
          <w:lang w:eastAsia="en-GB"/>
        </w:rPr>
        <w:t xml:space="preserve"> Engaging Adult Learners’, </w:t>
      </w:r>
      <w:r w:rsidRPr="004E6078">
        <w:rPr>
          <w:rFonts w:asciiTheme="minorHAnsi" w:hAnsiTheme="minorHAnsi" w:cstheme="minorHAnsi"/>
          <w:i/>
          <w:iCs/>
          <w:color w:val="333333"/>
          <w:kern w:val="36"/>
          <w:lang w:eastAsia="en-GB"/>
        </w:rPr>
        <w:t>Journal of College Teaching &amp; Learning</w:t>
      </w:r>
      <w:r w:rsidRPr="004E6078">
        <w:rPr>
          <w:rFonts w:asciiTheme="minorHAnsi" w:hAnsiTheme="minorHAnsi" w:cstheme="minorHAnsi"/>
          <w:color w:val="333333"/>
          <w:kern w:val="36"/>
          <w:lang w:eastAsia="en-GB"/>
        </w:rPr>
        <w:t xml:space="preserve">, 8(12), pp. 53-56. Available at: </w:t>
      </w:r>
      <w:hyperlink r:id="rId37" w:history="1">
        <w:r w:rsidRPr="004E6078">
          <w:rPr>
            <w:rStyle w:val="Hyperlink"/>
            <w:rFonts w:asciiTheme="minorHAnsi" w:hAnsiTheme="minorHAnsi" w:cstheme="minorHAnsi"/>
            <w:kern w:val="36"/>
            <w:lang w:eastAsia="en-GB"/>
          </w:rPr>
          <w:t>https://doi.org/10.19030/tlc.v8i12.6621</w:t>
        </w:r>
      </w:hyperlink>
    </w:p>
    <w:p w14:paraId="5AB56416" w14:textId="77777777" w:rsidR="004E6078" w:rsidRPr="004E6078" w:rsidRDefault="004E6078" w:rsidP="004E6078">
      <w:pPr>
        <w:spacing w:line="360" w:lineRule="auto"/>
        <w:rPr>
          <w:rStyle w:val="Emphasis"/>
          <w:rFonts w:asciiTheme="minorHAnsi" w:hAnsiTheme="minorHAnsi" w:cstheme="minorHAnsi"/>
          <w:i w:val="0"/>
          <w:iCs w:val="0"/>
        </w:rPr>
      </w:pPr>
      <w:r w:rsidRPr="004E6078">
        <w:rPr>
          <w:rFonts w:asciiTheme="minorHAnsi" w:hAnsiTheme="minorHAnsi" w:cstheme="minorHAnsi"/>
        </w:rPr>
        <w:lastRenderedPageBreak/>
        <w:t xml:space="preserve">Knowles, M., Holton III, E., Swanson, R. and Robinson, P. (2020) </w:t>
      </w:r>
      <w:r w:rsidRPr="004E6078">
        <w:rPr>
          <w:rStyle w:val="Emphasis"/>
          <w:rFonts w:asciiTheme="minorHAnsi" w:hAnsiTheme="minorHAnsi" w:cstheme="minorHAnsi"/>
        </w:rPr>
        <w:t xml:space="preserve">The Adult Learner: The Definitive Classic in Adult Education and Human Resource Development. </w:t>
      </w:r>
      <w:r w:rsidRPr="004E6078">
        <w:rPr>
          <w:rStyle w:val="Emphasis"/>
          <w:rFonts w:asciiTheme="minorHAnsi" w:hAnsiTheme="minorHAnsi" w:cstheme="minorHAnsi"/>
          <w:i w:val="0"/>
          <w:iCs w:val="0"/>
        </w:rPr>
        <w:t>9</w:t>
      </w:r>
      <w:r w:rsidRPr="004E6078">
        <w:rPr>
          <w:rStyle w:val="Emphasis"/>
          <w:rFonts w:asciiTheme="minorHAnsi" w:hAnsiTheme="minorHAnsi" w:cstheme="minorHAnsi"/>
          <w:i w:val="0"/>
          <w:iCs w:val="0"/>
          <w:vertAlign w:val="superscript"/>
        </w:rPr>
        <w:t>th</w:t>
      </w:r>
      <w:r w:rsidRPr="004E6078">
        <w:rPr>
          <w:rStyle w:val="Emphasis"/>
          <w:rFonts w:asciiTheme="minorHAnsi" w:hAnsiTheme="minorHAnsi" w:cstheme="minorHAnsi"/>
          <w:i w:val="0"/>
          <w:iCs w:val="0"/>
        </w:rPr>
        <w:t xml:space="preserve"> </w:t>
      </w:r>
      <w:proofErr w:type="spellStart"/>
      <w:r w:rsidRPr="004E6078">
        <w:rPr>
          <w:rStyle w:val="Emphasis"/>
          <w:rFonts w:asciiTheme="minorHAnsi" w:hAnsiTheme="minorHAnsi" w:cstheme="minorHAnsi"/>
          <w:i w:val="0"/>
          <w:iCs w:val="0"/>
        </w:rPr>
        <w:t>edn</w:t>
      </w:r>
      <w:proofErr w:type="spellEnd"/>
      <w:r w:rsidRPr="004E6078">
        <w:rPr>
          <w:rStyle w:val="Emphasis"/>
          <w:rFonts w:asciiTheme="minorHAnsi" w:hAnsiTheme="minorHAnsi" w:cstheme="minorHAnsi"/>
          <w:i w:val="0"/>
          <w:iCs w:val="0"/>
        </w:rPr>
        <w:t>. Routledge.</w:t>
      </w:r>
    </w:p>
    <w:p w14:paraId="32C27719" w14:textId="77777777" w:rsidR="004E6078" w:rsidRDefault="004E6078" w:rsidP="004E6078">
      <w:pPr>
        <w:spacing w:line="360" w:lineRule="auto"/>
        <w:rPr>
          <w:rFonts w:asciiTheme="minorHAnsi" w:hAnsiTheme="minorHAnsi" w:cstheme="minorHAnsi"/>
          <w:color w:val="222222"/>
          <w:shd w:val="clear" w:color="auto" w:fill="FFFFFF"/>
        </w:rPr>
      </w:pPr>
    </w:p>
    <w:p w14:paraId="7BCD8870" w14:textId="3F6F7AB0" w:rsidR="004E6078" w:rsidRPr="004E6078" w:rsidRDefault="004E6078" w:rsidP="004E6078">
      <w:pPr>
        <w:spacing w:line="360" w:lineRule="auto"/>
        <w:rPr>
          <w:rStyle w:val="Hyperlink"/>
          <w:rFonts w:asciiTheme="minorHAnsi" w:hAnsiTheme="minorHAnsi" w:cstheme="minorHAnsi"/>
          <w:color w:val="222222"/>
          <w:u w:val="none"/>
          <w:shd w:val="clear" w:color="auto" w:fill="FFFFFF"/>
        </w:rPr>
      </w:pPr>
      <w:proofErr w:type="spellStart"/>
      <w:r w:rsidRPr="004E6078">
        <w:rPr>
          <w:rFonts w:asciiTheme="minorHAnsi" w:hAnsiTheme="minorHAnsi" w:cstheme="minorHAnsi"/>
          <w:color w:val="222222"/>
          <w:shd w:val="clear" w:color="auto" w:fill="FFFFFF"/>
        </w:rPr>
        <w:t>Kongphet</w:t>
      </w:r>
      <w:proofErr w:type="spellEnd"/>
      <w:r w:rsidRPr="004E6078">
        <w:rPr>
          <w:rFonts w:asciiTheme="minorHAnsi" w:hAnsiTheme="minorHAnsi" w:cstheme="minorHAnsi"/>
          <w:color w:val="222222"/>
          <w:shd w:val="clear" w:color="auto" w:fill="FFFFFF"/>
        </w:rPr>
        <w:t xml:space="preserve">, C. and </w:t>
      </w:r>
      <w:proofErr w:type="spellStart"/>
      <w:r w:rsidRPr="004E6078">
        <w:rPr>
          <w:rFonts w:asciiTheme="minorHAnsi" w:hAnsiTheme="minorHAnsi" w:cstheme="minorHAnsi"/>
          <w:color w:val="222222"/>
          <w:shd w:val="clear" w:color="auto" w:fill="FFFFFF"/>
        </w:rPr>
        <w:t>Phusavat</w:t>
      </w:r>
      <w:proofErr w:type="spellEnd"/>
      <w:r w:rsidRPr="004E6078">
        <w:rPr>
          <w:rFonts w:asciiTheme="minorHAnsi" w:hAnsiTheme="minorHAnsi" w:cstheme="minorHAnsi"/>
          <w:color w:val="222222"/>
          <w:shd w:val="clear" w:color="auto" w:fill="FFFFFF"/>
        </w:rPr>
        <w:t xml:space="preserve">, K. (2025) ‘The Power of Personalized Learning: Why One-Size-Fits-All Mindset No Longer Works Through Experiences </w:t>
      </w:r>
      <w:proofErr w:type="gramStart"/>
      <w:r w:rsidRPr="004E6078">
        <w:rPr>
          <w:rFonts w:asciiTheme="minorHAnsi" w:hAnsiTheme="minorHAnsi" w:cstheme="minorHAnsi"/>
          <w:color w:val="222222"/>
          <w:shd w:val="clear" w:color="auto" w:fill="FFFFFF"/>
        </w:rPr>
        <w:t>From</w:t>
      </w:r>
      <w:proofErr w:type="gramEnd"/>
      <w:r w:rsidRPr="004E6078">
        <w:rPr>
          <w:rFonts w:asciiTheme="minorHAnsi" w:hAnsiTheme="minorHAnsi" w:cstheme="minorHAnsi"/>
          <w:color w:val="222222"/>
          <w:shd w:val="clear" w:color="auto" w:fill="FFFFFF"/>
        </w:rPr>
        <w:t xml:space="preserve"> a Workplace’, </w:t>
      </w:r>
      <w:r w:rsidRPr="004E6078">
        <w:rPr>
          <w:rFonts w:asciiTheme="minorHAnsi" w:hAnsiTheme="minorHAnsi" w:cstheme="minorHAnsi"/>
          <w:i/>
          <w:iCs/>
          <w:color w:val="222222"/>
          <w:shd w:val="clear" w:color="auto" w:fill="FFFFFF"/>
        </w:rPr>
        <w:t>2025 International Symposium on Educational Technology (ISET)</w:t>
      </w:r>
      <w:r w:rsidRPr="004E6078">
        <w:rPr>
          <w:rFonts w:asciiTheme="minorHAnsi" w:hAnsiTheme="minorHAnsi" w:cstheme="minorHAnsi"/>
          <w:color w:val="222222"/>
          <w:shd w:val="clear" w:color="auto" w:fill="FFFFFF"/>
        </w:rPr>
        <w:t xml:space="preserve">, Bangkok, 22-25 July. IEEE. Available at: </w:t>
      </w:r>
      <w:hyperlink r:id="rId38" w:history="1">
        <w:r w:rsidRPr="004E6078">
          <w:rPr>
            <w:rStyle w:val="Hyperlink"/>
            <w:rFonts w:asciiTheme="minorHAnsi" w:hAnsiTheme="minorHAnsi" w:cstheme="minorHAnsi"/>
            <w:shd w:val="clear" w:color="auto" w:fill="FFFFFF"/>
          </w:rPr>
          <w:t>https://ieeexplore.ieee.org/document/11113636</w:t>
        </w:r>
      </w:hyperlink>
    </w:p>
    <w:p w14:paraId="1A550D4D" w14:textId="77777777" w:rsidR="004E6078" w:rsidRDefault="004E6078" w:rsidP="004E6078">
      <w:pPr>
        <w:spacing w:line="360" w:lineRule="auto"/>
        <w:rPr>
          <w:rFonts w:asciiTheme="minorHAnsi" w:hAnsiTheme="minorHAnsi" w:cstheme="minorHAnsi"/>
        </w:rPr>
      </w:pPr>
    </w:p>
    <w:p w14:paraId="16F838D6" w14:textId="695FC6A8" w:rsidR="004E6078" w:rsidRPr="004E6078" w:rsidRDefault="004E6078" w:rsidP="004E6078">
      <w:pPr>
        <w:spacing w:line="360" w:lineRule="auto"/>
        <w:rPr>
          <w:rStyle w:val="Hyperlink"/>
          <w:rFonts w:asciiTheme="minorHAnsi" w:hAnsiTheme="minorHAnsi" w:cstheme="minorHAnsi"/>
          <w:color w:val="333333"/>
          <w:u w:val="none"/>
        </w:rPr>
      </w:pPr>
      <w:r w:rsidRPr="004E6078">
        <w:rPr>
          <w:rFonts w:asciiTheme="minorHAnsi" w:hAnsiTheme="minorHAnsi" w:cstheme="minorHAnsi"/>
        </w:rPr>
        <w:t xml:space="preserve">Leonard, H. and Marquardt, M. (2010) ‘The evidence for the effectiveness of action learning’, </w:t>
      </w:r>
      <w:r w:rsidRPr="004E6078">
        <w:rPr>
          <w:rFonts w:asciiTheme="minorHAnsi" w:hAnsiTheme="minorHAnsi" w:cstheme="minorHAnsi"/>
          <w:i/>
          <w:iCs/>
        </w:rPr>
        <w:t>Action Learning: Research and Practice</w:t>
      </w:r>
      <w:r w:rsidRPr="004E6078">
        <w:rPr>
          <w:rFonts w:asciiTheme="minorHAnsi" w:hAnsiTheme="minorHAnsi" w:cstheme="minorHAnsi"/>
        </w:rPr>
        <w:t xml:space="preserve">, 7(2), pp. 121-136. Available at: </w:t>
      </w:r>
      <w:hyperlink r:id="rId39" w:history="1">
        <w:r w:rsidRPr="004E6078">
          <w:rPr>
            <w:rStyle w:val="Hyperlink"/>
            <w:rFonts w:asciiTheme="minorHAnsi" w:hAnsiTheme="minorHAnsi" w:cstheme="minorHAnsi"/>
            <w:color w:val="006DB4"/>
          </w:rPr>
          <w:t>https://doi.org/10.1080/14767333.2010.488323</w:t>
        </w:r>
      </w:hyperlink>
    </w:p>
    <w:p w14:paraId="365D4B52" w14:textId="77777777" w:rsidR="004E6078" w:rsidRDefault="004E6078" w:rsidP="004E6078">
      <w:pPr>
        <w:spacing w:line="360" w:lineRule="auto"/>
        <w:rPr>
          <w:rFonts w:asciiTheme="minorHAnsi" w:hAnsiTheme="minorHAnsi" w:cstheme="minorHAnsi"/>
        </w:rPr>
      </w:pPr>
    </w:p>
    <w:p w14:paraId="4BA91EDE" w14:textId="4BEBF686"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Linos, E. and Reinhard, J. (2015) </w:t>
      </w:r>
      <w:r w:rsidRPr="004E6078">
        <w:rPr>
          <w:rFonts w:asciiTheme="minorHAnsi" w:hAnsiTheme="minorHAnsi" w:cstheme="minorHAnsi"/>
          <w:i/>
          <w:iCs/>
        </w:rPr>
        <w:t>A head for hiring: The behavioural science of recruitment and selection</w:t>
      </w:r>
      <w:r w:rsidRPr="004E6078">
        <w:rPr>
          <w:rFonts w:asciiTheme="minorHAnsi" w:hAnsiTheme="minorHAnsi" w:cstheme="minorHAnsi"/>
        </w:rPr>
        <w:t xml:space="preserve">. Available at: </w:t>
      </w:r>
      <w:hyperlink r:id="rId40" w:history="1">
        <w:r w:rsidRPr="004E6078">
          <w:rPr>
            <w:rStyle w:val="Hyperlink"/>
            <w:rFonts w:asciiTheme="minorHAnsi" w:hAnsiTheme="minorHAnsi" w:cstheme="minorHAnsi"/>
          </w:rPr>
          <w:t>https://www.cipd.org/globalassets/media/knowledge/knowledge-hub/reports/a-head-for-hiring_2015-behavioural-science-of-recruitment-and-selection_tcm18-9557.pdf</w:t>
        </w:r>
      </w:hyperlink>
      <w:r w:rsidRPr="004E6078">
        <w:rPr>
          <w:rFonts w:asciiTheme="minorHAnsi" w:hAnsiTheme="minorHAnsi" w:cstheme="minorHAnsi"/>
        </w:rPr>
        <w:t xml:space="preserve"> (Accessed: 30</w:t>
      </w:r>
      <w:r w:rsidRPr="004E6078">
        <w:rPr>
          <w:rFonts w:asciiTheme="minorHAnsi" w:hAnsiTheme="minorHAnsi" w:cstheme="minorHAnsi"/>
          <w:vertAlign w:val="superscript"/>
        </w:rPr>
        <w:t>th</w:t>
      </w:r>
      <w:r w:rsidRPr="004E6078">
        <w:rPr>
          <w:rFonts w:asciiTheme="minorHAnsi" w:hAnsiTheme="minorHAnsi" w:cstheme="minorHAnsi"/>
        </w:rPr>
        <w:t xml:space="preserve"> December 2025).</w:t>
      </w:r>
    </w:p>
    <w:p w14:paraId="3268340D" w14:textId="77777777" w:rsidR="004E6078" w:rsidRDefault="004E6078" w:rsidP="004E6078">
      <w:pPr>
        <w:spacing w:line="360" w:lineRule="auto"/>
        <w:rPr>
          <w:rFonts w:asciiTheme="minorHAnsi" w:hAnsiTheme="minorHAnsi" w:cstheme="minorHAnsi"/>
        </w:rPr>
      </w:pPr>
    </w:p>
    <w:p w14:paraId="3211FC2C" w14:textId="341F5E0F" w:rsidR="004E6078" w:rsidRPr="004E6078" w:rsidRDefault="004E6078" w:rsidP="004E6078">
      <w:pPr>
        <w:spacing w:line="360" w:lineRule="auto"/>
        <w:rPr>
          <w:rFonts w:asciiTheme="minorHAnsi" w:hAnsiTheme="minorHAnsi" w:cstheme="minorHAnsi"/>
        </w:rPr>
      </w:pPr>
      <w:proofErr w:type="spellStart"/>
      <w:r w:rsidRPr="004E6078">
        <w:rPr>
          <w:rFonts w:asciiTheme="minorHAnsi" w:hAnsiTheme="minorHAnsi" w:cstheme="minorHAnsi"/>
        </w:rPr>
        <w:t>Mashovic</w:t>
      </w:r>
      <w:proofErr w:type="spellEnd"/>
      <w:r w:rsidRPr="004E6078">
        <w:rPr>
          <w:rFonts w:asciiTheme="minorHAnsi" w:hAnsiTheme="minorHAnsi" w:cstheme="minorHAnsi"/>
        </w:rPr>
        <w:t xml:space="preserve">, A. (2018) ‘Key financial and nonfinancial measures for performance evaluation of foreign subsidiaries’, </w:t>
      </w:r>
      <w:r w:rsidRPr="004E6078">
        <w:rPr>
          <w:rFonts w:asciiTheme="minorHAnsi" w:hAnsiTheme="minorHAnsi" w:cstheme="minorHAnsi"/>
          <w:i/>
          <w:iCs/>
        </w:rPr>
        <w:t>Journal of Contemporary Economic and Business Issues</w:t>
      </w:r>
      <w:r w:rsidRPr="004E6078">
        <w:rPr>
          <w:rFonts w:asciiTheme="minorHAnsi" w:hAnsiTheme="minorHAnsi" w:cstheme="minorHAnsi"/>
        </w:rPr>
        <w:t xml:space="preserve">, 5(2), pp. 63-74. Available at: </w:t>
      </w:r>
      <w:hyperlink r:id="rId41" w:history="1">
        <w:r w:rsidRPr="004E6078">
          <w:rPr>
            <w:rStyle w:val="Hyperlink"/>
            <w:rFonts w:asciiTheme="minorHAnsi" w:hAnsiTheme="minorHAnsi" w:cstheme="minorHAnsi"/>
          </w:rPr>
          <w:t>https://hdl.handle.net/10419/193492</w:t>
        </w:r>
      </w:hyperlink>
    </w:p>
    <w:p w14:paraId="6D5BD460" w14:textId="77777777" w:rsidR="004E6078" w:rsidRDefault="004E6078" w:rsidP="004E6078">
      <w:pPr>
        <w:spacing w:line="360" w:lineRule="auto"/>
        <w:rPr>
          <w:rFonts w:asciiTheme="minorHAnsi" w:hAnsiTheme="minorHAnsi" w:cstheme="minorHAnsi"/>
        </w:rPr>
      </w:pPr>
    </w:p>
    <w:p w14:paraId="7703EF6F" w14:textId="62A19EF4"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Mill, J. (1998) </w:t>
      </w:r>
      <w:r w:rsidRPr="004E6078">
        <w:rPr>
          <w:rStyle w:val="Emphasis"/>
          <w:rFonts w:asciiTheme="minorHAnsi" w:hAnsiTheme="minorHAnsi" w:cstheme="minorHAnsi"/>
        </w:rPr>
        <w:t>Utilitarianism</w:t>
      </w:r>
      <w:r w:rsidRPr="004E6078">
        <w:rPr>
          <w:rFonts w:asciiTheme="minorHAnsi" w:hAnsiTheme="minorHAnsi" w:cstheme="minorHAnsi"/>
        </w:rPr>
        <w:t xml:space="preserve">. Rev </w:t>
      </w:r>
      <w:proofErr w:type="spellStart"/>
      <w:r w:rsidRPr="004E6078">
        <w:rPr>
          <w:rFonts w:asciiTheme="minorHAnsi" w:hAnsiTheme="minorHAnsi" w:cstheme="minorHAnsi"/>
        </w:rPr>
        <w:t>edn</w:t>
      </w:r>
      <w:proofErr w:type="spellEnd"/>
      <w:r w:rsidRPr="004E6078">
        <w:rPr>
          <w:rFonts w:asciiTheme="minorHAnsi" w:hAnsiTheme="minorHAnsi" w:cstheme="minorHAnsi"/>
        </w:rPr>
        <w:t>. Oxford University Press.</w:t>
      </w:r>
    </w:p>
    <w:p w14:paraId="54E88EE9" w14:textId="77777777" w:rsidR="004E6078" w:rsidRDefault="004E6078" w:rsidP="004E6078">
      <w:pPr>
        <w:spacing w:line="360" w:lineRule="auto"/>
        <w:rPr>
          <w:rFonts w:asciiTheme="minorHAnsi" w:hAnsiTheme="minorHAnsi" w:cstheme="minorHAnsi"/>
          <w:color w:val="222222"/>
          <w:shd w:val="clear" w:color="auto" w:fill="FFFFFF"/>
        </w:rPr>
      </w:pPr>
    </w:p>
    <w:p w14:paraId="6D057227" w14:textId="76EF49A1"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Milost</w:t>
      </w:r>
      <w:proofErr w:type="spellEnd"/>
      <w:r w:rsidRPr="004E6078">
        <w:rPr>
          <w:rFonts w:asciiTheme="minorHAnsi" w:hAnsiTheme="minorHAnsi" w:cstheme="minorHAnsi"/>
          <w:color w:val="222222"/>
          <w:shd w:val="clear" w:color="auto" w:fill="FFFFFF"/>
        </w:rPr>
        <w:t>, F. (2013) ‘Information power of non-financial performance measures’, </w:t>
      </w:r>
      <w:r w:rsidRPr="004E6078">
        <w:rPr>
          <w:rFonts w:asciiTheme="minorHAnsi" w:hAnsiTheme="minorHAnsi" w:cstheme="minorHAnsi"/>
          <w:i/>
          <w:iCs/>
          <w:color w:val="222222"/>
          <w:shd w:val="clear" w:color="auto" w:fill="FFFFFF"/>
        </w:rPr>
        <w:t>International Journal of Business Management &amp; Economic Research</w:t>
      </w:r>
      <w:r w:rsidRPr="004E6078">
        <w:rPr>
          <w:rFonts w:asciiTheme="minorHAnsi" w:hAnsiTheme="minorHAnsi" w:cstheme="minorHAnsi"/>
          <w:color w:val="222222"/>
          <w:shd w:val="clear" w:color="auto" w:fill="FFFFFF"/>
        </w:rPr>
        <w:t xml:space="preserve">, 4(6), pp. 823-828. Available at: </w:t>
      </w:r>
      <w:hyperlink r:id="rId42" w:history="1">
        <w:r w:rsidRPr="004E6078">
          <w:rPr>
            <w:rStyle w:val="Hyperlink"/>
            <w:rFonts w:asciiTheme="minorHAnsi" w:hAnsiTheme="minorHAnsi" w:cstheme="minorHAnsi"/>
            <w:shd w:val="clear" w:color="auto" w:fill="FFFFFF"/>
          </w:rPr>
          <w:t>https://ijbmer.com/docs/volumes/vol4issue6/ijbmer2013040601.pdf</w:t>
        </w:r>
      </w:hyperlink>
      <w:r w:rsidRPr="004E6078">
        <w:rPr>
          <w:rFonts w:asciiTheme="minorHAnsi" w:hAnsiTheme="minorHAnsi" w:cstheme="minorHAnsi"/>
          <w:color w:val="222222"/>
          <w:shd w:val="clear" w:color="auto" w:fill="FFFFFF"/>
        </w:rPr>
        <w:t xml:space="preserve"> (Accessed: 10 January 2026).</w:t>
      </w:r>
    </w:p>
    <w:p w14:paraId="634672F4" w14:textId="77777777" w:rsidR="004E6078" w:rsidRDefault="004E6078" w:rsidP="004E6078">
      <w:pPr>
        <w:spacing w:line="360" w:lineRule="auto"/>
        <w:rPr>
          <w:rFonts w:asciiTheme="minorHAnsi" w:hAnsiTheme="minorHAnsi" w:cstheme="minorHAnsi"/>
          <w:color w:val="222222"/>
          <w:shd w:val="clear" w:color="auto" w:fill="FFFFFF"/>
        </w:rPr>
      </w:pPr>
    </w:p>
    <w:p w14:paraId="04F933B0" w14:textId="78BF705C" w:rsidR="004E6078" w:rsidRPr="004E6078" w:rsidRDefault="004E6078" w:rsidP="004E6078">
      <w:pPr>
        <w:spacing w:line="360" w:lineRule="auto"/>
        <w:rPr>
          <w:rStyle w:val="Hyperlink"/>
          <w:rFonts w:asciiTheme="minorHAnsi" w:hAnsiTheme="minorHAnsi" w:cstheme="minorHAnsi"/>
          <w:shd w:val="clear" w:color="auto" w:fill="FFFFFF"/>
        </w:rPr>
      </w:pPr>
      <w:r w:rsidRPr="004E6078">
        <w:rPr>
          <w:rFonts w:asciiTheme="minorHAnsi" w:hAnsiTheme="minorHAnsi" w:cstheme="minorHAnsi"/>
          <w:color w:val="222222"/>
          <w:shd w:val="clear" w:color="auto" w:fill="FFFFFF"/>
        </w:rPr>
        <w:t xml:space="preserve">Mittal, V., Han, K., </w:t>
      </w:r>
      <w:proofErr w:type="spellStart"/>
      <w:r w:rsidRPr="004E6078">
        <w:rPr>
          <w:rFonts w:asciiTheme="minorHAnsi" w:hAnsiTheme="minorHAnsi" w:cstheme="minorHAnsi"/>
          <w:color w:val="222222"/>
          <w:shd w:val="clear" w:color="auto" w:fill="FFFFFF"/>
        </w:rPr>
        <w:t>Frennea</w:t>
      </w:r>
      <w:proofErr w:type="spellEnd"/>
      <w:r w:rsidRPr="004E6078">
        <w:rPr>
          <w:rFonts w:asciiTheme="minorHAnsi" w:hAnsiTheme="minorHAnsi" w:cstheme="minorHAnsi"/>
          <w:color w:val="222222"/>
          <w:shd w:val="clear" w:color="auto" w:fill="FFFFFF"/>
        </w:rPr>
        <w:t xml:space="preserve">, C., </w:t>
      </w:r>
      <w:proofErr w:type="spellStart"/>
      <w:r w:rsidRPr="004E6078">
        <w:rPr>
          <w:rFonts w:asciiTheme="minorHAnsi" w:hAnsiTheme="minorHAnsi" w:cstheme="minorHAnsi"/>
          <w:color w:val="222222"/>
          <w:shd w:val="clear" w:color="auto" w:fill="FFFFFF"/>
        </w:rPr>
        <w:t>Blut</w:t>
      </w:r>
      <w:proofErr w:type="spellEnd"/>
      <w:r w:rsidRPr="004E6078">
        <w:rPr>
          <w:rFonts w:asciiTheme="minorHAnsi" w:hAnsiTheme="minorHAnsi" w:cstheme="minorHAnsi"/>
          <w:color w:val="222222"/>
          <w:shd w:val="clear" w:color="auto" w:fill="FFFFFF"/>
        </w:rPr>
        <w:t xml:space="preserve">, M., Shaik, M., </w:t>
      </w:r>
      <w:proofErr w:type="spellStart"/>
      <w:r w:rsidRPr="004E6078">
        <w:rPr>
          <w:rFonts w:asciiTheme="minorHAnsi" w:hAnsiTheme="minorHAnsi" w:cstheme="minorHAnsi"/>
          <w:color w:val="222222"/>
          <w:shd w:val="clear" w:color="auto" w:fill="FFFFFF"/>
        </w:rPr>
        <w:t>Bosukonda</w:t>
      </w:r>
      <w:proofErr w:type="spellEnd"/>
      <w:r w:rsidRPr="004E6078">
        <w:rPr>
          <w:rFonts w:asciiTheme="minorHAnsi" w:hAnsiTheme="minorHAnsi" w:cstheme="minorHAnsi"/>
          <w:color w:val="222222"/>
          <w:shd w:val="clear" w:color="auto" w:fill="FFFFFF"/>
        </w:rPr>
        <w:t xml:space="preserve">, N. and Sridhar, S. (2023) ‘Customer satisfaction, loyalty </w:t>
      </w:r>
      <w:proofErr w:type="spellStart"/>
      <w:r w:rsidRPr="004E6078">
        <w:rPr>
          <w:rFonts w:asciiTheme="minorHAnsi" w:hAnsiTheme="minorHAnsi" w:cstheme="minorHAnsi"/>
          <w:color w:val="222222"/>
          <w:shd w:val="clear" w:color="auto" w:fill="FFFFFF"/>
        </w:rPr>
        <w:t>behaviors</w:t>
      </w:r>
      <w:proofErr w:type="spellEnd"/>
      <w:r w:rsidRPr="004E6078">
        <w:rPr>
          <w:rFonts w:asciiTheme="minorHAnsi" w:hAnsiTheme="minorHAnsi" w:cstheme="minorHAnsi"/>
          <w:color w:val="222222"/>
          <w:shd w:val="clear" w:color="auto" w:fill="FFFFFF"/>
        </w:rPr>
        <w:t xml:space="preserve">, and firm financial performance: what 40 years of research tells us’, </w:t>
      </w:r>
      <w:r w:rsidRPr="004E6078">
        <w:rPr>
          <w:rFonts w:asciiTheme="minorHAnsi" w:hAnsiTheme="minorHAnsi" w:cstheme="minorHAnsi"/>
          <w:i/>
          <w:iCs/>
          <w:color w:val="222222"/>
          <w:shd w:val="clear" w:color="auto" w:fill="FFFFFF"/>
        </w:rPr>
        <w:t>Marketing Letters</w:t>
      </w:r>
      <w:r w:rsidRPr="004E6078">
        <w:rPr>
          <w:rFonts w:asciiTheme="minorHAnsi" w:hAnsiTheme="minorHAnsi" w:cstheme="minorHAnsi"/>
          <w:color w:val="222222"/>
          <w:shd w:val="clear" w:color="auto" w:fill="FFFFFF"/>
        </w:rPr>
        <w:t xml:space="preserve">, 34, pp. 171–187. Available at: </w:t>
      </w:r>
      <w:hyperlink r:id="rId43" w:history="1">
        <w:r w:rsidRPr="004E6078">
          <w:rPr>
            <w:rStyle w:val="Hyperlink"/>
            <w:rFonts w:asciiTheme="minorHAnsi" w:hAnsiTheme="minorHAnsi" w:cstheme="minorHAnsi"/>
            <w:shd w:val="clear" w:color="auto" w:fill="FFFFFF"/>
          </w:rPr>
          <w:t>https://doi.org/10.1007/s11002-023-09671-w</w:t>
        </w:r>
      </w:hyperlink>
    </w:p>
    <w:p w14:paraId="57E01AF8" w14:textId="77777777" w:rsidR="004E6078" w:rsidRDefault="004E6078" w:rsidP="004E6078">
      <w:pPr>
        <w:spacing w:line="360" w:lineRule="auto"/>
        <w:rPr>
          <w:rFonts w:asciiTheme="minorHAnsi" w:hAnsiTheme="minorHAnsi" w:cstheme="minorHAnsi"/>
          <w:color w:val="222222"/>
          <w:shd w:val="clear" w:color="auto" w:fill="FFFFFF"/>
        </w:rPr>
      </w:pPr>
    </w:p>
    <w:p w14:paraId="6740A19B" w14:textId="20B4EC75"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Nappi, J. (2017) ‘The importance of questioning in developing critical thinking skills’, </w:t>
      </w:r>
      <w:r w:rsidRPr="004E6078">
        <w:rPr>
          <w:rFonts w:asciiTheme="minorHAnsi" w:hAnsiTheme="minorHAnsi" w:cstheme="minorHAnsi"/>
          <w:i/>
          <w:iCs/>
          <w:color w:val="222222"/>
          <w:shd w:val="clear" w:color="auto" w:fill="FFFFFF"/>
        </w:rPr>
        <w:t>Delta Kappa Gamma Bulletin</w:t>
      </w:r>
      <w:r w:rsidRPr="004E6078">
        <w:rPr>
          <w:rFonts w:asciiTheme="minorHAnsi" w:hAnsiTheme="minorHAnsi" w:cstheme="minorHAnsi"/>
          <w:color w:val="222222"/>
          <w:shd w:val="clear" w:color="auto" w:fill="FFFFFF"/>
        </w:rPr>
        <w:t xml:space="preserve">, 84(1), pp. 30-41. Available at: </w:t>
      </w:r>
      <w:hyperlink r:id="rId44" w:history="1">
        <w:r w:rsidRPr="004E6078">
          <w:rPr>
            <w:rStyle w:val="Hyperlink"/>
            <w:rFonts w:asciiTheme="minorHAnsi" w:hAnsiTheme="minorHAnsi" w:cstheme="minorHAnsi"/>
            <w:shd w:val="clear" w:color="auto" w:fill="FFFFFF"/>
          </w:rPr>
          <w:t>https://www.proquest.com/openview/e6b77ae81591916d308524d25d7a7e83/1.pdf?pq-</w:t>
        </w:r>
        <w:r w:rsidRPr="004E6078">
          <w:rPr>
            <w:rStyle w:val="Hyperlink"/>
            <w:rFonts w:asciiTheme="minorHAnsi" w:hAnsiTheme="minorHAnsi" w:cstheme="minorHAnsi"/>
            <w:shd w:val="clear" w:color="auto" w:fill="FFFFFF"/>
          </w:rPr>
          <w:lastRenderedPageBreak/>
          <w:t>origsite=gscholar&amp;cbl=47978</w:t>
        </w:r>
      </w:hyperlink>
    </w:p>
    <w:p w14:paraId="447ABAE3" w14:textId="77777777" w:rsidR="004E6078" w:rsidRDefault="004E6078" w:rsidP="004E6078">
      <w:pPr>
        <w:spacing w:line="360" w:lineRule="auto"/>
        <w:rPr>
          <w:rFonts w:asciiTheme="minorHAnsi" w:hAnsiTheme="minorHAnsi" w:cstheme="minorHAnsi"/>
          <w:lang w:eastAsia="en-GB"/>
        </w:rPr>
      </w:pPr>
    </w:p>
    <w:p w14:paraId="358499C4" w14:textId="4B778D76"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Neelan, M. and Kirschner, P (2020) </w:t>
      </w:r>
      <w:r w:rsidRPr="004E6078">
        <w:rPr>
          <w:rFonts w:asciiTheme="minorHAnsi" w:hAnsiTheme="minorHAnsi" w:cstheme="minorHAnsi"/>
          <w:i/>
          <w:iCs/>
          <w:lang w:eastAsia="en-GB"/>
        </w:rPr>
        <w:t>Evidence-Informed Learning Design: Creating Training to Improve Performance</w:t>
      </w:r>
      <w:r w:rsidRPr="004E6078">
        <w:rPr>
          <w:rFonts w:asciiTheme="minorHAnsi" w:hAnsiTheme="minorHAnsi" w:cstheme="minorHAnsi"/>
          <w:lang w:eastAsia="en-GB"/>
        </w:rPr>
        <w:t>. Kogan Page.</w:t>
      </w:r>
    </w:p>
    <w:p w14:paraId="173CA0F1" w14:textId="77777777" w:rsidR="004E6078" w:rsidRDefault="004E6078" w:rsidP="004E6078">
      <w:pPr>
        <w:spacing w:line="360" w:lineRule="auto"/>
        <w:rPr>
          <w:rFonts w:asciiTheme="minorHAnsi" w:hAnsiTheme="minorHAnsi" w:cstheme="minorHAnsi"/>
          <w:color w:val="1B1B1B"/>
          <w:shd w:val="clear" w:color="auto" w:fill="FFFFFF"/>
        </w:rPr>
      </w:pPr>
    </w:p>
    <w:p w14:paraId="3B0BC19B" w14:textId="33607A32" w:rsidR="004E6078" w:rsidRPr="004E6078" w:rsidRDefault="004E6078" w:rsidP="004E6078">
      <w:pPr>
        <w:spacing w:line="360" w:lineRule="auto"/>
        <w:rPr>
          <w:rFonts w:asciiTheme="minorHAnsi" w:hAnsiTheme="minorHAnsi" w:cstheme="minorHAnsi"/>
          <w:color w:val="1B1B1B"/>
          <w:shd w:val="clear" w:color="auto" w:fill="FFFFFF"/>
        </w:rPr>
      </w:pPr>
      <w:proofErr w:type="spellStart"/>
      <w:r w:rsidRPr="004E6078">
        <w:rPr>
          <w:rFonts w:asciiTheme="minorHAnsi" w:hAnsiTheme="minorHAnsi" w:cstheme="minorHAnsi"/>
          <w:color w:val="1B1B1B"/>
          <w:shd w:val="clear" w:color="auto" w:fill="FFFFFF"/>
        </w:rPr>
        <w:t>Palis</w:t>
      </w:r>
      <w:proofErr w:type="spellEnd"/>
      <w:r w:rsidRPr="004E6078">
        <w:rPr>
          <w:rFonts w:asciiTheme="minorHAnsi" w:hAnsiTheme="minorHAnsi" w:cstheme="minorHAnsi"/>
          <w:color w:val="1B1B1B"/>
          <w:shd w:val="clear" w:color="auto" w:fill="FFFFFF"/>
        </w:rPr>
        <w:t xml:space="preserve">, A. and </w:t>
      </w:r>
      <w:proofErr w:type="spellStart"/>
      <w:r w:rsidRPr="004E6078">
        <w:rPr>
          <w:rFonts w:asciiTheme="minorHAnsi" w:hAnsiTheme="minorHAnsi" w:cstheme="minorHAnsi"/>
          <w:color w:val="1B1B1B"/>
          <w:shd w:val="clear" w:color="auto" w:fill="FFFFFF"/>
        </w:rPr>
        <w:t>Quiros</w:t>
      </w:r>
      <w:proofErr w:type="spellEnd"/>
      <w:r w:rsidRPr="004E6078">
        <w:rPr>
          <w:rFonts w:asciiTheme="minorHAnsi" w:hAnsiTheme="minorHAnsi" w:cstheme="minorHAnsi"/>
          <w:color w:val="1B1B1B"/>
          <w:shd w:val="clear" w:color="auto" w:fill="FFFFFF"/>
        </w:rPr>
        <w:t>, P. (2014) ‘Adult learning principles and presentation pearls’, </w:t>
      </w:r>
      <w:r w:rsidRPr="004E6078">
        <w:rPr>
          <w:rFonts w:asciiTheme="minorHAnsi" w:hAnsiTheme="minorHAnsi" w:cstheme="minorHAnsi"/>
          <w:i/>
          <w:iCs/>
          <w:color w:val="1B1B1B"/>
          <w:shd w:val="clear" w:color="auto" w:fill="FFFFFF"/>
        </w:rPr>
        <w:t>Middle East African journal of ophthalmology</w:t>
      </w:r>
      <w:r w:rsidRPr="004E6078">
        <w:rPr>
          <w:rFonts w:asciiTheme="minorHAnsi" w:hAnsiTheme="minorHAnsi" w:cstheme="minorHAnsi"/>
          <w:color w:val="1B1B1B"/>
          <w:shd w:val="clear" w:color="auto" w:fill="FFFFFF"/>
        </w:rPr>
        <w:t xml:space="preserve">, 21(2), pp. 114–122. Available at: </w:t>
      </w:r>
      <w:hyperlink r:id="rId45" w:history="1">
        <w:r w:rsidRPr="004E6078">
          <w:rPr>
            <w:rStyle w:val="Hyperlink"/>
            <w:rFonts w:asciiTheme="minorHAnsi" w:hAnsiTheme="minorHAnsi" w:cstheme="minorHAnsi"/>
            <w:shd w:val="clear" w:color="auto" w:fill="FFFFFF"/>
          </w:rPr>
          <w:t>https://doi.org/10.4103/0974-9233.129748</w:t>
        </w:r>
      </w:hyperlink>
    </w:p>
    <w:p w14:paraId="1A6FB7E4" w14:textId="77777777" w:rsidR="004E6078" w:rsidRDefault="004E6078" w:rsidP="004E6078">
      <w:pPr>
        <w:spacing w:line="360" w:lineRule="auto"/>
        <w:rPr>
          <w:rFonts w:asciiTheme="minorHAnsi" w:hAnsiTheme="minorHAnsi" w:cstheme="minorHAnsi"/>
          <w:color w:val="222222"/>
          <w:shd w:val="clear" w:color="auto" w:fill="FFFFFF"/>
        </w:rPr>
      </w:pPr>
    </w:p>
    <w:p w14:paraId="4D0F2323" w14:textId="0BF6E9B0"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Paramagaru</w:t>
      </w:r>
      <w:proofErr w:type="spellEnd"/>
      <w:r w:rsidRPr="004E6078">
        <w:rPr>
          <w:rFonts w:asciiTheme="minorHAnsi" w:hAnsiTheme="minorHAnsi" w:cstheme="minorHAnsi"/>
          <w:color w:val="222222"/>
          <w:shd w:val="clear" w:color="auto" w:fill="FFFFFF"/>
        </w:rPr>
        <w:t xml:space="preserve">, T. (2025) </w:t>
      </w:r>
      <w:r w:rsidRPr="004E6078">
        <w:rPr>
          <w:rFonts w:asciiTheme="minorHAnsi" w:hAnsiTheme="minorHAnsi" w:cstheme="minorHAnsi"/>
          <w:i/>
          <w:iCs/>
          <w:color w:val="222222"/>
          <w:shd w:val="clear" w:color="auto" w:fill="FFFFFF"/>
        </w:rPr>
        <w:t>Analysis | Evolution of the people professional</w:t>
      </w:r>
      <w:r w:rsidRPr="004E6078">
        <w:rPr>
          <w:rFonts w:asciiTheme="minorHAnsi" w:hAnsiTheme="minorHAnsi" w:cstheme="minorHAnsi"/>
          <w:color w:val="222222"/>
          <w:shd w:val="clear" w:color="auto" w:fill="FFFFFF"/>
        </w:rPr>
        <w:t xml:space="preserve">. Available at: </w:t>
      </w:r>
      <w:hyperlink r:id="rId46" w:history="1">
        <w:r w:rsidRPr="004E6078">
          <w:rPr>
            <w:rStyle w:val="Hyperlink"/>
            <w:rFonts w:asciiTheme="minorHAnsi" w:hAnsiTheme="minorHAnsi" w:cstheme="minorHAnsi"/>
            <w:shd w:val="clear" w:color="auto" w:fill="FFFFFF"/>
          </w:rPr>
          <w:t>https://www.cipd.org/en/views-and-insights/thought-leadership/insight/evolution-people-profession/</w:t>
        </w:r>
      </w:hyperlink>
      <w:r w:rsidRPr="004E6078">
        <w:rPr>
          <w:rFonts w:asciiTheme="minorHAnsi" w:hAnsiTheme="minorHAnsi" w:cstheme="minorHAnsi"/>
          <w:color w:val="222222"/>
          <w:shd w:val="clear" w:color="auto" w:fill="FFFFFF"/>
        </w:rPr>
        <w:t xml:space="preserve"> (Accessed: 11 January 2026).</w:t>
      </w:r>
    </w:p>
    <w:p w14:paraId="37DBB4DE" w14:textId="77777777" w:rsidR="004E6078" w:rsidRDefault="004E6078" w:rsidP="004E6078">
      <w:pPr>
        <w:spacing w:line="360" w:lineRule="auto"/>
        <w:rPr>
          <w:rFonts w:asciiTheme="minorHAnsi" w:hAnsiTheme="minorHAnsi" w:cstheme="minorHAnsi"/>
          <w:lang w:eastAsia="en-GB"/>
        </w:rPr>
      </w:pPr>
    </w:p>
    <w:p w14:paraId="58C3C8A9" w14:textId="4AEE6D16"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Payette, P. and Barnes, B. (2017) ‘Teaching for Critical Thinking: Edward de Bono’s Six Thinking Hats’, </w:t>
      </w:r>
      <w:r w:rsidRPr="004E6078">
        <w:rPr>
          <w:rFonts w:asciiTheme="minorHAnsi" w:hAnsiTheme="minorHAnsi" w:cstheme="minorHAnsi"/>
          <w:i/>
          <w:iCs/>
          <w:lang w:eastAsia="en-GB"/>
        </w:rPr>
        <w:t>The National teaching &amp; learning forum</w:t>
      </w:r>
      <w:r w:rsidRPr="004E6078">
        <w:rPr>
          <w:rFonts w:asciiTheme="minorHAnsi" w:hAnsiTheme="minorHAnsi" w:cstheme="minorHAnsi"/>
          <w:lang w:eastAsia="en-GB"/>
        </w:rPr>
        <w:t xml:space="preserve">, 26(3), pp. 8–10. Available at: </w:t>
      </w:r>
      <w:hyperlink r:id="rId47" w:history="1">
        <w:r w:rsidRPr="004E6078">
          <w:rPr>
            <w:rStyle w:val="Hyperlink"/>
            <w:rFonts w:asciiTheme="minorHAnsi" w:eastAsia="Times New Roman" w:hAnsiTheme="minorHAnsi" w:cstheme="minorHAnsi"/>
            <w:lang w:eastAsia="en-GB"/>
          </w:rPr>
          <w:t>https://doi.org/10.1002/ntlf.30110</w:t>
        </w:r>
      </w:hyperlink>
    </w:p>
    <w:p w14:paraId="2C969FA8" w14:textId="77777777" w:rsidR="004E6078" w:rsidRDefault="004E6078" w:rsidP="004E6078">
      <w:pPr>
        <w:spacing w:line="360" w:lineRule="auto"/>
        <w:rPr>
          <w:rFonts w:asciiTheme="minorHAnsi" w:hAnsiTheme="minorHAnsi" w:cstheme="minorHAnsi"/>
        </w:rPr>
      </w:pPr>
    </w:p>
    <w:p w14:paraId="69F5D827" w14:textId="02B67441"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Phillips, J. and Phillips, P. (2016) </w:t>
      </w:r>
      <w:r w:rsidRPr="004E6078">
        <w:rPr>
          <w:rStyle w:val="Emphasis"/>
          <w:rFonts w:asciiTheme="minorHAnsi" w:hAnsiTheme="minorHAnsi" w:cstheme="minorHAnsi"/>
        </w:rPr>
        <w:t>Handbook of Training Evaluation and Measurement Methods</w:t>
      </w:r>
      <w:r w:rsidRPr="004E6078">
        <w:rPr>
          <w:rFonts w:asciiTheme="minorHAnsi" w:hAnsiTheme="minorHAnsi" w:cstheme="minorHAnsi"/>
        </w:rPr>
        <w:t xml:space="preserve">. 4th </w:t>
      </w:r>
      <w:proofErr w:type="spellStart"/>
      <w:r w:rsidRPr="004E6078">
        <w:rPr>
          <w:rFonts w:asciiTheme="minorHAnsi" w:hAnsiTheme="minorHAnsi" w:cstheme="minorHAnsi"/>
        </w:rPr>
        <w:t>edn</w:t>
      </w:r>
      <w:proofErr w:type="spellEnd"/>
      <w:r w:rsidRPr="004E6078">
        <w:rPr>
          <w:rFonts w:asciiTheme="minorHAnsi" w:hAnsiTheme="minorHAnsi" w:cstheme="minorHAnsi"/>
        </w:rPr>
        <w:t>. Routledge.</w:t>
      </w:r>
    </w:p>
    <w:p w14:paraId="70130084" w14:textId="77777777" w:rsidR="004E6078" w:rsidRDefault="004E6078" w:rsidP="004E6078">
      <w:pPr>
        <w:spacing w:line="360" w:lineRule="auto"/>
        <w:rPr>
          <w:rFonts w:asciiTheme="minorHAnsi" w:hAnsiTheme="minorHAnsi" w:cstheme="minorHAnsi"/>
        </w:rPr>
      </w:pPr>
    </w:p>
    <w:p w14:paraId="17724B6E" w14:textId="2977B2CC"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Rachels, J. and Rachels, S. (2003) </w:t>
      </w:r>
      <w:r w:rsidRPr="004E6078">
        <w:rPr>
          <w:rFonts w:asciiTheme="minorHAnsi" w:hAnsiTheme="minorHAnsi" w:cstheme="minorHAnsi"/>
          <w:i/>
          <w:iCs/>
        </w:rPr>
        <w:t>The right thing to do: Basic readings in moral philosophy</w:t>
      </w:r>
      <w:r w:rsidRPr="004E6078">
        <w:rPr>
          <w:rFonts w:asciiTheme="minorHAnsi" w:hAnsiTheme="minorHAnsi" w:cstheme="minorHAnsi"/>
        </w:rPr>
        <w:t>. McGraw-Hill.</w:t>
      </w:r>
    </w:p>
    <w:p w14:paraId="58A7E2F0" w14:textId="77777777" w:rsidR="004E6078" w:rsidRDefault="004E6078" w:rsidP="004E6078">
      <w:pPr>
        <w:spacing w:line="360" w:lineRule="auto"/>
        <w:rPr>
          <w:rFonts w:asciiTheme="minorHAnsi" w:hAnsiTheme="minorHAnsi" w:cstheme="minorHAnsi"/>
          <w:color w:val="222222"/>
          <w:shd w:val="clear" w:color="auto" w:fill="FFFFFF"/>
        </w:rPr>
      </w:pPr>
    </w:p>
    <w:p w14:paraId="16C466B9" w14:textId="2407C1F0" w:rsidR="004E6078" w:rsidRPr="004E6078" w:rsidRDefault="004E6078" w:rsidP="004E6078">
      <w:pPr>
        <w:spacing w:line="360" w:lineRule="auto"/>
        <w:rPr>
          <w:rFonts w:asciiTheme="minorHAnsi" w:hAnsiTheme="minorHAnsi" w:cstheme="minorHAnsi"/>
          <w:color w:val="000000"/>
          <w:shd w:val="clear" w:color="auto" w:fill="FFFFFF"/>
        </w:rPr>
      </w:pPr>
      <w:r w:rsidRPr="004E6078">
        <w:rPr>
          <w:rFonts w:asciiTheme="minorHAnsi" w:hAnsiTheme="minorHAnsi" w:cstheme="minorHAnsi"/>
          <w:color w:val="222222"/>
          <w:shd w:val="clear" w:color="auto" w:fill="FFFFFF"/>
        </w:rPr>
        <w:t xml:space="preserve">Razak, S. and </w:t>
      </w:r>
      <w:proofErr w:type="spellStart"/>
      <w:r w:rsidRPr="004E6078">
        <w:rPr>
          <w:rFonts w:asciiTheme="minorHAnsi" w:hAnsiTheme="minorHAnsi" w:cstheme="minorHAnsi"/>
          <w:color w:val="222222"/>
          <w:shd w:val="clear" w:color="auto" w:fill="FFFFFF"/>
        </w:rPr>
        <w:t>Zahidi</w:t>
      </w:r>
      <w:proofErr w:type="spellEnd"/>
      <w:r w:rsidRPr="004E6078">
        <w:rPr>
          <w:rFonts w:asciiTheme="minorHAnsi" w:hAnsiTheme="minorHAnsi" w:cstheme="minorHAnsi"/>
          <w:color w:val="222222"/>
          <w:shd w:val="clear" w:color="auto" w:fill="FFFFFF"/>
        </w:rPr>
        <w:t xml:space="preserve">, M. (2024) ‘Transfer of training on Employee Job Performance: A Literature Review’, </w:t>
      </w:r>
      <w:r w:rsidRPr="004E6078">
        <w:rPr>
          <w:rFonts w:asciiTheme="minorHAnsi" w:hAnsiTheme="minorHAnsi" w:cstheme="minorHAnsi"/>
          <w:i/>
          <w:iCs/>
          <w:color w:val="222222"/>
          <w:shd w:val="clear" w:color="auto" w:fill="FFFFFF"/>
        </w:rPr>
        <w:t>International Journal of Academic Research in Business and Social Sciences</w:t>
      </w:r>
      <w:r w:rsidRPr="004E6078">
        <w:rPr>
          <w:rFonts w:asciiTheme="minorHAnsi" w:hAnsiTheme="minorHAnsi" w:cstheme="minorHAnsi"/>
          <w:color w:val="222222"/>
          <w:shd w:val="clear" w:color="auto" w:fill="FFFFFF"/>
        </w:rPr>
        <w:t xml:space="preserve">, 14(2), pp. 1780-1805. Available at: </w:t>
      </w:r>
      <w:hyperlink r:id="rId48" w:history="1">
        <w:r w:rsidRPr="004E6078">
          <w:rPr>
            <w:rStyle w:val="Hyperlink"/>
            <w:rFonts w:asciiTheme="minorHAnsi" w:hAnsiTheme="minorHAnsi" w:cstheme="minorHAnsi"/>
            <w:shd w:val="clear" w:color="auto" w:fill="FFFFFF"/>
          </w:rPr>
          <w:t>http://dx.doi.org/10.6007/IJARBSS/v</w:t>
        </w:r>
        <w:r w:rsidRPr="004E6078">
          <w:rPr>
            <w:rStyle w:val="Hyperlink"/>
            <w:rFonts w:asciiTheme="minorHAnsi" w:hAnsiTheme="minorHAnsi" w:cstheme="minorHAnsi"/>
            <w:spacing w:val="2"/>
            <w:shd w:val="clear" w:color="auto" w:fill="FFFFFF"/>
          </w:rPr>
          <w:t>14</w:t>
        </w:r>
        <w:r w:rsidRPr="004E6078">
          <w:rPr>
            <w:rStyle w:val="Hyperlink"/>
            <w:rFonts w:asciiTheme="minorHAnsi" w:hAnsiTheme="minorHAnsi" w:cstheme="minorHAnsi"/>
            <w:shd w:val="clear" w:color="auto" w:fill="FFFFFF"/>
          </w:rPr>
          <w:t>-i2/207</w:t>
        </w:r>
        <w:r w:rsidRPr="004E6078">
          <w:rPr>
            <w:rStyle w:val="Hyperlink"/>
            <w:rFonts w:asciiTheme="minorHAnsi" w:hAnsiTheme="minorHAnsi" w:cstheme="minorHAnsi"/>
            <w:spacing w:val="2"/>
            <w:shd w:val="clear" w:color="auto" w:fill="FFFFFF"/>
          </w:rPr>
          <w:t>63</w:t>
        </w:r>
      </w:hyperlink>
    </w:p>
    <w:p w14:paraId="65ED638D" w14:textId="77777777" w:rsidR="004E6078" w:rsidRDefault="004E6078" w:rsidP="004E6078">
      <w:pPr>
        <w:spacing w:line="360" w:lineRule="auto"/>
        <w:rPr>
          <w:rFonts w:asciiTheme="minorHAnsi" w:hAnsiTheme="minorHAnsi" w:cstheme="minorHAnsi"/>
          <w:bdr w:val="none" w:sz="0" w:space="0" w:color="auto" w:frame="1"/>
          <w:lang w:eastAsia="en-GB"/>
        </w:rPr>
      </w:pPr>
    </w:p>
    <w:p w14:paraId="07A57DAF" w14:textId="3BB9E75B" w:rsidR="004E6078" w:rsidRPr="004E6078" w:rsidRDefault="004E6078" w:rsidP="004E6078">
      <w:pPr>
        <w:spacing w:line="360" w:lineRule="auto"/>
        <w:rPr>
          <w:rStyle w:val="Hyperlink"/>
          <w:rFonts w:asciiTheme="minorHAnsi" w:hAnsiTheme="minorHAnsi" w:cstheme="minorHAnsi"/>
          <w:color w:val="auto"/>
          <w:u w:val="none"/>
        </w:rPr>
      </w:pPr>
      <w:r w:rsidRPr="004E6078">
        <w:rPr>
          <w:rFonts w:asciiTheme="minorHAnsi" w:hAnsiTheme="minorHAnsi" w:cstheme="minorHAnsi"/>
          <w:bdr w:val="none" w:sz="0" w:space="0" w:color="auto" w:frame="1"/>
          <w:lang w:eastAsia="en-GB"/>
        </w:rPr>
        <w:t xml:space="preserve">Reid Elder, S. and </w:t>
      </w:r>
      <w:proofErr w:type="spellStart"/>
      <w:r w:rsidRPr="004E6078">
        <w:rPr>
          <w:rFonts w:asciiTheme="minorHAnsi" w:hAnsiTheme="minorHAnsi" w:cstheme="minorHAnsi"/>
          <w:bdr w:val="none" w:sz="0" w:space="0" w:color="auto" w:frame="1"/>
          <w:lang w:eastAsia="en-GB"/>
        </w:rPr>
        <w:t>Nikodem</w:t>
      </w:r>
      <w:proofErr w:type="spellEnd"/>
      <w:r w:rsidRPr="004E6078">
        <w:rPr>
          <w:rFonts w:asciiTheme="minorHAnsi" w:hAnsiTheme="minorHAnsi" w:cstheme="minorHAnsi"/>
          <w:bdr w:val="none" w:sz="0" w:space="0" w:color="auto" w:frame="1"/>
          <w:lang w:eastAsia="en-GB"/>
        </w:rPr>
        <w:t xml:space="preserve">, M. (2023) </w:t>
      </w:r>
      <w:r w:rsidRPr="004E6078">
        <w:rPr>
          <w:rFonts w:asciiTheme="minorHAnsi" w:hAnsiTheme="minorHAnsi" w:cstheme="minorHAnsi"/>
          <w:i/>
          <w:iCs/>
          <w:bdr w:val="none" w:sz="0" w:space="0" w:color="auto" w:frame="1"/>
          <w:lang w:eastAsia="en-GB"/>
        </w:rPr>
        <w:t>Considering the application and relevance of evidence-based HR</w:t>
      </w:r>
      <w:r w:rsidRPr="004E6078">
        <w:rPr>
          <w:rFonts w:asciiTheme="minorHAnsi" w:hAnsiTheme="minorHAnsi" w:cstheme="minorHAnsi"/>
          <w:bdr w:val="none" w:sz="0" w:space="0" w:color="auto" w:frame="1"/>
          <w:lang w:eastAsia="en-GB"/>
        </w:rPr>
        <w:t xml:space="preserve">. Available at: </w:t>
      </w:r>
      <w:hyperlink r:id="rId49" w:history="1">
        <w:r w:rsidRPr="004E6078">
          <w:rPr>
            <w:rStyle w:val="Hyperlink"/>
            <w:rFonts w:asciiTheme="minorHAnsi" w:eastAsia="Times New Roman" w:hAnsiTheme="minorHAnsi" w:cstheme="minorHAnsi"/>
            <w:bdr w:val="none" w:sz="0" w:space="0" w:color="auto" w:frame="1"/>
            <w:lang w:eastAsia="en-GB"/>
          </w:rPr>
          <w:t>https://www.peoplemanagement.co.uk/article/1845833/considering-application-relevance-evidence-based-hr</w:t>
        </w:r>
      </w:hyperlink>
      <w:r w:rsidRPr="004E6078">
        <w:rPr>
          <w:rStyle w:val="Hyperlink"/>
          <w:rFonts w:asciiTheme="minorHAnsi" w:eastAsia="Times New Roman" w:hAnsiTheme="minorHAnsi" w:cstheme="minorHAnsi"/>
          <w:bdr w:val="none" w:sz="0" w:space="0" w:color="auto" w:frame="1"/>
          <w:lang w:eastAsia="en-GB"/>
        </w:rPr>
        <w:t xml:space="preserve"> </w:t>
      </w:r>
      <w:r w:rsidRPr="004E6078">
        <w:rPr>
          <w:rStyle w:val="Hyperlink"/>
          <w:rFonts w:asciiTheme="minorHAnsi" w:eastAsia="Times New Roman" w:hAnsiTheme="minorHAnsi" w:cstheme="minorHAnsi"/>
          <w:color w:val="auto"/>
          <w:u w:val="none"/>
          <w:bdr w:val="none" w:sz="0" w:space="0" w:color="auto" w:frame="1"/>
          <w:lang w:eastAsia="en-GB"/>
        </w:rPr>
        <w:t>(Accessed: 30</w:t>
      </w:r>
      <w:r w:rsidRPr="004E6078">
        <w:rPr>
          <w:rStyle w:val="Hyperlink"/>
          <w:rFonts w:asciiTheme="minorHAnsi" w:eastAsia="Times New Roman" w:hAnsiTheme="minorHAnsi" w:cstheme="minorHAnsi"/>
          <w:color w:val="auto"/>
          <w:u w:val="none"/>
          <w:bdr w:val="none" w:sz="0" w:space="0" w:color="auto" w:frame="1"/>
          <w:vertAlign w:val="superscript"/>
          <w:lang w:eastAsia="en-GB"/>
        </w:rPr>
        <w:t>th</w:t>
      </w:r>
      <w:r w:rsidRPr="004E6078">
        <w:rPr>
          <w:rStyle w:val="Hyperlink"/>
          <w:rFonts w:asciiTheme="minorHAnsi" w:eastAsia="Times New Roman" w:hAnsiTheme="minorHAnsi" w:cstheme="minorHAnsi"/>
          <w:color w:val="auto"/>
          <w:u w:val="none"/>
          <w:bdr w:val="none" w:sz="0" w:space="0" w:color="auto" w:frame="1"/>
          <w:lang w:eastAsia="en-GB"/>
        </w:rPr>
        <w:t xml:space="preserve"> December 2025).</w:t>
      </w:r>
    </w:p>
    <w:p w14:paraId="2995F0CE" w14:textId="77777777" w:rsidR="004E6078" w:rsidRDefault="004E6078" w:rsidP="004E6078">
      <w:pPr>
        <w:spacing w:line="360" w:lineRule="auto"/>
        <w:rPr>
          <w:rFonts w:asciiTheme="minorHAnsi" w:hAnsiTheme="minorHAnsi" w:cstheme="minorHAnsi"/>
          <w:lang w:eastAsia="en-GB"/>
        </w:rPr>
      </w:pPr>
    </w:p>
    <w:p w14:paraId="72D35812" w14:textId="5F10FBBA" w:rsidR="004E6078" w:rsidRPr="004E6078" w:rsidRDefault="004E6078" w:rsidP="004E6078">
      <w:pPr>
        <w:spacing w:line="360" w:lineRule="auto"/>
        <w:rPr>
          <w:rFonts w:asciiTheme="minorHAnsi" w:hAnsiTheme="minorHAnsi" w:cstheme="minorHAnsi"/>
          <w:lang w:eastAsia="en-GB"/>
        </w:rPr>
      </w:pPr>
      <w:proofErr w:type="spellStart"/>
      <w:r w:rsidRPr="004E6078">
        <w:rPr>
          <w:rFonts w:asciiTheme="minorHAnsi" w:hAnsiTheme="minorHAnsi" w:cstheme="minorHAnsi"/>
          <w:lang w:eastAsia="en-GB"/>
        </w:rPr>
        <w:t>Revans</w:t>
      </w:r>
      <w:proofErr w:type="spellEnd"/>
      <w:r w:rsidRPr="004E6078">
        <w:rPr>
          <w:rFonts w:asciiTheme="minorHAnsi" w:hAnsiTheme="minorHAnsi" w:cstheme="minorHAnsi"/>
          <w:lang w:eastAsia="en-GB"/>
        </w:rPr>
        <w:t>, R. (2016) </w:t>
      </w:r>
      <w:r w:rsidRPr="004E6078">
        <w:rPr>
          <w:rFonts w:asciiTheme="minorHAnsi" w:hAnsiTheme="minorHAnsi" w:cstheme="minorHAnsi"/>
          <w:i/>
          <w:iCs/>
          <w:lang w:eastAsia="en-GB"/>
        </w:rPr>
        <w:t>ABC of action learning.</w:t>
      </w:r>
      <w:r w:rsidRPr="004E6078">
        <w:rPr>
          <w:rFonts w:asciiTheme="minorHAnsi" w:hAnsiTheme="minorHAnsi" w:cstheme="minorHAnsi"/>
          <w:lang w:eastAsia="en-GB"/>
        </w:rPr>
        <w:t xml:space="preserve"> 1st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Routledge.</w:t>
      </w:r>
    </w:p>
    <w:p w14:paraId="5B42E011" w14:textId="77777777" w:rsidR="004E6078" w:rsidRDefault="004E6078" w:rsidP="004E6078">
      <w:pPr>
        <w:spacing w:line="360" w:lineRule="auto"/>
        <w:rPr>
          <w:rFonts w:asciiTheme="minorHAnsi" w:hAnsiTheme="minorHAnsi" w:cstheme="minorHAnsi"/>
        </w:rPr>
      </w:pPr>
    </w:p>
    <w:p w14:paraId="30E69EE7" w14:textId="7843C754"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Salas, E., Tannenbaum S., </w:t>
      </w:r>
      <w:proofErr w:type="spellStart"/>
      <w:r w:rsidRPr="004E6078">
        <w:rPr>
          <w:rFonts w:asciiTheme="minorHAnsi" w:hAnsiTheme="minorHAnsi" w:cstheme="minorHAnsi"/>
        </w:rPr>
        <w:t>Kraiger</w:t>
      </w:r>
      <w:proofErr w:type="spellEnd"/>
      <w:r w:rsidRPr="004E6078">
        <w:rPr>
          <w:rFonts w:asciiTheme="minorHAnsi" w:hAnsiTheme="minorHAnsi" w:cstheme="minorHAnsi"/>
        </w:rPr>
        <w:t xml:space="preserve">, K. and Smith-Jentsch, K. (2012) ‘The science of training and </w:t>
      </w:r>
      <w:r w:rsidRPr="004E6078">
        <w:rPr>
          <w:rFonts w:asciiTheme="minorHAnsi" w:hAnsiTheme="minorHAnsi" w:cstheme="minorHAnsi"/>
        </w:rPr>
        <w:lastRenderedPageBreak/>
        <w:t xml:space="preserve">development in organizations’, </w:t>
      </w:r>
      <w:r w:rsidRPr="004E6078">
        <w:rPr>
          <w:rStyle w:val="Emphasis"/>
          <w:rFonts w:asciiTheme="minorHAnsi" w:hAnsiTheme="minorHAnsi" w:cstheme="minorHAnsi"/>
        </w:rPr>
        <w:t>Psychological Science in the Public Interest</w:t>
      </w:r>
      <w:r w:rsidRPr="004E6078">
        <w:rPr>
          <w:rFonts w:asciiTheme="minorHAnsi" w:hAnsiTheme="minorHAnsi" w:cstheme="minorHAnsi"/>
        </w:rPr>
        <w:t xml:space="preserve">, 13(2), pp. 74–101. Available at: </w:t>
      </w:r>
      <w:hyperlink r:id="rId50" w:history="1">
        <w:r w:rsidRPr="004E6078">
          <w:rPr>
            <w:rStyle w:val="Hyperlink"/>
            <w:rFonts w:asciiTheme="minorHAnsi" w:hAnsiTheme="minorHAnsi" w:cstheme="minorHAnsi"/>
          </w:rPr>
          <w:t>10.1177/1529100612436661</w:t>
        </w:r>
      </w:hyperlink>
    </w:p>
    <w:p w14:paraId="643A649E" w14:textId="77777777" w:rsidR="004E6078" w:rsidRDefault="004E6078" w:rsidP="004E6078">
      <w:pPr>
        <w:spacing w:line="360" w:lineRule="auto"/>
        <w:rPr>
          <w:rFonts w:asciiTheme="minorHAnsi" w:hAnsiTheme="minorHAnsi" w:cstheme="minorHAnsi"/>
          <w:color w:val="222222"/>
          <w:shd w:val="clear" w:color="auto" w:fill="FFFFFF"/>
        </w:rPr>
      </w:pPr>
    </w:p>
    <w:p w14:paraId="1A6AE135" w14:textId="2F9AE470" w:rsidR="004E6078" w:rsidRPr="004E6078" w:rsidRDefault="004E6078" w:rsidP="004E6078">
      <w:pPr>
        <w:spacing w:line="360" w:lineRule="auto"/>
        <w:rPr>
          <w:rFonts w:asciiTheme="minorHAnsi" w:hAnsiTheme="minorHAnsi" w:cstheme="minorHAnsi"/>
          <w:color w:val="222222"/>
          <w:shd w:val="clear" w:color="auto" w:fill="FFFFFF"/>
        </w:rPr>
      </w:pPr>
      <w:r w:rsidRPr="004E6078">
        <w:rPr>
          <w:rFonts w:asciiTheme="minorHAnsi" w:hAnsiTheme="minorHAnsi" w:cstheme="minorHAnsi"/>
          <w:color w:val="222222"/>
          <w:shd w:val="clear" w:color="auto" w:fill="FFFFFF"/>
        </w:rPr>
        <w:t xml:space="preserve">Santos, A. and Stuart, M. (2006) ‘Employee perceptions and their influence on training effectiveness’, </w:t>
      </w:r>
      <w:r w:rsidRPr="004E6078">
        <w:rPr>
          <w:rFonts w:asciiTheme="minorHAnsi" w:hAnsiTheme="minorHAnsi" w:cstheme="minorHAnsi"/>
          <w:i/>
          <w:iCs/>
          <w:color w:val="222222"/>
          <w:shd w:val="clear" w:color="auto" w:fill="FFFFFF"/>
        </w:rPr>
        <w:t xml:space="preserve">Human Resource Management Journal, </w:t>
      </w:r>
      <w:r w:rsidRPr="004E6078">
        <w:rPr>
          <w:rFonts w:asciiTheme="minorHAnsi" w:hAnsiTheme="minorHAnsi" w:cstheme="minorHAnsi"/>
          <w:color w:val="222222"/>
          <w:shd w:val="clear" w:color="auto" w:fill="FFFFFF"/>
        </w:rPr>
        <w:t xml:space="preserve">13(1), pp. 27-45. Available at: </w:t>
      </w:r>
      <w:hyperlink r:id="rId51" w:history="1">
        <w:r w:rsidRPr="004E6078">
          <w:rPr>
            <w:rStyle w:val="Hyperlink"/>
            <w:rFonts w:asciiTheme="minorHAnsi" w:hAnsiTheme="minorHAnsi" w:cstheme="minorHAnsi"/>
            <w:shd w:val="clear" w:color="auto" w:fill="FFFFFF"/>
          </w:rPr>
          <w:t>https://doi.org/10.1111/j.1748-8583.2003.tb00082.x</w:t>
        </w:r>
      </w:hyperlink>
    </w:p>
    <w:p w14:paraId="4F396C00" w14:textId="77777777" w:rsidR="004E6078" w:rsidRDefault="004E6078" w:rsidP="004E6078">
      <w:pPr>
        <w:spacing w:line="360" w:lineRule="auto"/>
        <w:rPr>
          <w:rFonts w:asciiTheme="minorHAnsi" w:hAnsiTheme="minorHAnsi" w:cstheme="minorHAnsi"/>
        </w:rPr>
      </w:pPr>
    </w:p>
    <w:p w14:paraId="114E6734" w14:textId="2F32E9A0"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Simons, R. (2000) </w:t>
      </w:r>
      <w:r w:rsidRPr="004E6078">
        <w:rPr>
          <w:rFonts w:asciiTheme="minorHAnsi" w:hAnsiTheme="minorHAnsi" w:cstheme="minorHAnsi"/>
          <w:i/>
          <w:iCs/>
        </w:rPr>
        <w:t>Performance Measurement and Control Systems for Implementing Strategy.</w:t>
      </w:r>
      <w:r w:rsidRPr="004E6078">
        <w:rPr>
          <w:rFonts w:asciiTheme="minorHAnsi" w:hAnsiTheme="minorHAnsi" w:cstheme="minorHAnsi"/>
        </w:rPr>
        <w:t xml:space="preserve"> Prentice- Hall.</w:t>
      </w:r>
    </w:p>
    <w:p w14:paraId="05F652BA" w14:textId="77777777" w:rsidR="004E6078" w:rsidRDefault="004E6078" w:rsidP="004E6078">
      <w:pPr>
        <w:spacing w:line="360" w:lineRule="auto"/>
        <w:rPr>
          <w:rFonts w:asciiTheme="minorHAnsi" w:hAnsiTheme="minorHAnsi" w:cstheme="minorHAnsi"/>
        </w:rPr>
      </w:pPr>
    </w:p>
    <w:p w14:paraId="07D9EB2B" w14:textId="68F123C6"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Singer, P. (2011) </w:t>
      </w:r>
      <w:r w:rsidRPr="004E6078">
        <w:rPr>
          <w:rStyle w:val="Emphasis"/>
          <w:rFonts w:asciiTheme="minorHAnsi" w:hAnsiTheme="minorHAnsi" w:cstheme="minorHAnsi"/>
        </w:rPr>
        <w:t>Practical Ethics</w:t>
      </w:r>
      <w:r w:rsidRPr="004E6078">
        <w:rPr>
          <w:rFonts w:asciiTheme="minorHAnsi" w:hAnsiTheme="minorHAnsi" w:cstheme="minorHAnsi"/>
        </w:rPr>
        <w:t xml:space="preserve">. 3rd </w:t>
      </w:r>
      <w:proofErr w:type="spellStart"/>
      <w:r w:rsidRPr="004E6078">
        <w:rPr>
          <w:rFonts w:asciiTheme="minorHAnsi" w:hAnsiTheme="minorHAnsi" w:cstheme="minorHAnsi"/>
        </w:rPr>
        <w:t>edn</w:t>
      </w:r>
      <w:proofErr w:type="spellEnd"/>
      <w:r w:rsidRPr="004E6078">
        <w:rPr>
          <w:rFonts w:asciiTheme="minorHAnsi" w:hAnsiTheme="minorHAnsi" w:cstheme="minorHAnsi"/>
        </w:rPr>
        <w:t>. Cambridge University Press.</w:t>
      </w:r>
    </w:p>
    <w:p w14:paraId="3599E684" w14:textId="77777777" w:rsidR="004E6078" w:rsidRDefault="004E6078" w:rsidP="004E6078">
      <w:pPr>
        <w:spacing w:line="360" w:lineRule="auto"/>
        <w:rPr>
          <w:rFonts w:asciiTheme="minorHAnsi" w:hAnsiTheme="minorHAnsi" w:cstheme="minorHAnsi"/>
          <w:color w:val="222222"/>
          <w:shd w:val="clear" w:color="auto" w:fill="FFFFFF"/>
        </w:rPr>
      </w:pPr>
    </w:p>
    <w:p w14:paraId="4E1F89B7" w14:textId="55D05D58" w:rsidR="004E6078" w:rsidRPr="004E6078" w:rsidRDefault="004E6078" w:rsidP="004E6078">
      <w:pPr>
        <w:spacing w:line="360" w:lineRule="auto"/>
        <w:rPr>
          <w:rFonts w:asciiTheme="minorHAnsi" w:hAnsiTheme="minorHAnsi" w:cstheme="minorHAnsi"/>
          <w:color w:val="222222"/>
          <w:shd w:val="clear" w:color="auto" w:fill="FFFFFF"/>
        </w:rPr>
      </w:pPr>
      <w:proofErr w:type="spellStart"/>
      <w:r w:rsidRPr="004E6078">
        <w:rPr>
          <w:rFonts w:asciiTheme="minorHAnsi" w:hAnsiTheme="minorHAnsi" w:cstheme="minorHAnsi"/>
          <w:color w:val="222222"/>
          <w:shd w:val="clear" w:color="auto" w:fill="FFFFFF"/>
        </w:rPr>
        <w:t>Sleezer</w:t>
      </w:r>
      <w:proofErr w:type="spellEnd"/>
      <w:r w:rsidRPr="004E6078">
        <w:rPr>
          <w:rFonts w:asciiTheme="minorHAnsi" w:hAnsiTheme="minorHAnsi" w:cstheme="minorHAnsi"/>
          <w:color w:val="222222"/>
          <w:shd w:val="clear" w:color="auto" w:fill="FFFFFF"/>
        </w:rPr>
        <w:t>, C., Russ-Eft, D. and Gupta, K. (2014) </w:t>
      </w:r>
      <w:r w:rsidRPr="004E6078">
        <w:rPr>
          <w:rFonts w:asciiTheme="minorHAnsi" w:hAnsiTheme="minorHAnsi" w:cstheme="minorHAnsi"/>
          <w:i/>
          <w:iCs/>
          <w:color w:val="222222"/>
          <w:shd w:val="clear" w:color="auto" w:fill="FFFFFF"/>
        </w:rPr>
        <w:t>A practical guide to needs assessment</w:t>
      </w:r>
      <w:r w:rsidRPr="004E6078">
        <w:rPr>
          <w:rFonts w:asciiTheme="minorHAnsi" w:hAnsiTheme="minorHAnsi" w:cstheme="minorHAnsi"/>
          <w:color w:val="222222"/>
          <w:shd w:val="clear" w:color="auto" w:fill="FFFFFF"/>
        </w:rPr>
        <w:t>. 3</w:t>
      </w:r>
      <w:r w:rsidRPr="004E6078">
        <w:rPr>
          <w:rFonts w:asciiTheme="minorHAnsi" w:hAnsiTheme="minorHAnsi" w:cstheme="minorHAnsi"/>
          <w:color w:val="222222"/>
          <w:shd w:val="clear" w:color="auto" w:fill="FFFFFF"/>
          <w:vertAlign w:val="superscript"/>
        </w:rPr>
        <w:t>rd</w:t>
      </w:r>
      <w:r w:rsidRPr="004E6078">
        <w:rPr>
          <w:rFonts w:asciiTheme="minorHAnsi" w:hAnsiTheme="minorHAnsi" w:cstheme="minorHAnsi"/>
          <w:color w:val="222222"/>
          <w:shd w:val="clear" w:color="auto" w:fill="FFFFFF"/>
        </w:rPr>
        <w:t xml:space="preserve"> </w:t>
      </w:r>
      <w:proofErr w:type="spellStart"/>
      <w:r w:rsidRPr="004E6078">
        <w:rPr>
          <w:rFonts w:asciiTheme="minorHAnsi" w:hAnsiTheme="minorHAnsi" w:cstheme="minorHAnsi"/>
          <w:color w:val="222222"/>
          <w:shd w:val="clear" w:color="auto" w:fill="FFFFFF"/>
        </w:rPr>
        <w:t>edn</w:t>
      </w:r>
      <w:proofErr w:type="spellEnd"/>
      <w:r w:rsidRPr="004E6078">
        <w:rPr>
          <w:rFonts w:asciiTheme="minorHAnsi" w:hAnsiTheme="minorHAnsi" w:cstheme="minorHAnsi"/>
          <w:color w:val="222222"/>
          <w:shd w:val="clear" w:color="auto" w:fill="FFFFFF"/>
        </w:rPr>
        <w:t>. Wiley.</w:t>
      </w:r>
    </w:p>
    <w:p w14:paraId="3F57F4BD" w14:textId="77777777" w:rsidR="004E6078" w:rsidRDefault="004E6078" w:rsidP="004E6078">
      <w:pPr>
        <w:spacing w:line="360" w:lineRule="auto"/>
        <w:rPr>
          <w:rFonts w:asciiTheme="minorHAnsi" w:hAnsiTheme="minorHAnsi" w:cstheme="minorHAnsi"/>
          <w:shd w:val="clear" w:color="auto" w:fill="FFFFFF"/>
        </w:rPr>
      </w:pPr>
    </w:p>
    <w:p w14:paraId="2AF31B0E" w14:textId="66E376F8" w:rsidR="004E6078" w:rsidRPr="004E6078" w:rsidRDefault="004E6078" w:rsidP="004E6078">
      <w:pPr>
        <w:spacing w:line="360" w:lineRule="auto"/>
        <w:rPr>
          <w:rFonts w:asciiTheme="minorHAnsi" w:hAnsiTheme="minorHAnsi" w:cstheme="minorHAnsi"/>
          <w:shd w:val="clear" w:color="auto" w:fill="FFFFFF"/>
        </w:rPr>
      </w:pPr>
      <w:r w:rsidRPr="004E6078">
        <w:rPr>
          <w:rFonts w:asciiTheme="minorHAnsi" w:hAnsiTheme="minorHAnsi" w:cstheme="minorHAnsi"/>
          <w:shd w:val="clear" w:color="auto" w:fill="FFFFFF"/>
        </w:rPr>
        <w:t xml:space="preserve">Smith, C. (2008) ‘Design Focused Evaluation’, </w:t>
      </w:r>
      <w:r w:rsidRPr="004E6078">
        <w:rPr>
          <w:rFonts w:asciiTheme="minorHAnsi" w:hAnsiTheme="minorHAnsi" w:cstheme="minorHAnsi"/>
          <w:i/>
          <w:iCs/>
          <w:shd w:val="clear" w:color="auto" w:fill="FFFFFF"/>
        </w:rPr>
        <w:t>Assessment &amp; Evaluation in Higher Education</w:t>
      </w:r>
      <w:r w:rsidRPr="004E6078">
        <w:rPr>
          <w:rFonts w:asciiTheme="minorHAnsi" w:hAnsiTheme="minorHAnsi" w:cstheme="minorHAnsi"/>
          <w:shd w:val="clear" w:color="auto" w:fill="FFFFFF"/>
        </w:rPr>
        <w:t xml:space="preserve">, 33(6), pp. 631-645. Available at: </w:t>
      </w:r>
      <w:hyperlink r:id="rId52" w:history="1">
        <w:r w:rsidRPr="004E6078">
          <w:rPr>
            <w:rStyle w:val="Hyperlink"/>
            <w:rFonts w:asciiTheme="minorHAnsi" w:hAnsiTheme="minorHAnsi" w:cstheme="minorHAnsi"/>
            <w:shd w:val="clear" w:color="auto" w:fill="FFFFFF"/>
          </w:rPr>
          <w:t>https://doi.org/10.1080/02602930701772762</w:t>
        </w:r>
      </w:hyperlink>
    </w:p>
    <w:p w14:paraId="1A05ADA6" w14:textId="77777777" w:rsidR="004E6078" w:rsidRDefault="004E6078" w:rsidP="004E6078">
      <w:pPr>
        <w:spacing w:line="360" w:lineRule="auto"/>
        <w:rPr>
          <w:rFonts w:asciiTheme="minorHAnsi" w:hAnsiTheme="minorHAnsi" w:cstheme="minorHAnsi"/>
          <w:kern w:val="36"/>
          <w:lang w:eastAsia="en-GB"/>
        </w:rPr>
      </w:pPr>
    </w:p>
    <w:p w14:paraId="4B61BF4D" w14:textId="6C2D1EDB" w:rsidR="004E6078" w:rsidRPr="004E6078" w:rsidRDefault="004E6078" w:rsidP="004E6078">
      <w:pPr>
        <w:spacing w:line="360" w:lineRule="auto"/>
        <w:rPr>
          <w:rStyle w:val="Hyperlink"/>
          <w:rFonts w:asciiTheme="minorHAnsi" w:hAnsiTheme="minorHAnsi" w:cstheme="minorHAnsi"/>
          <w:color w:val="auto"/>
          <w:kern w:val="36"/>
          <w:u w:val="none"/>
          <w:lang w:eastAsia="en-GB"/>
        </w:rPr>
      </w:pPr>
      <w:proofErr w:type="spellStart"/>
      <w:r w:rsidRPr="004E6078">
        <w:rPr>
          <w:rFonts w:asciiTheme="minorHAnsi" w:hAnsiTheme="minorHAnsi" w:cstheme="minorHAnsi"/>
          <w:kern w:val="36"/>
          <w:lang w:eastAsia="en-GB"/>
        </w:rPr>
        <w:t>Stirpe</w:t>
      </w:r>
      <w:proofErr w:type="spellEnd"/>
      <w:r w:rsidRPr="004E6078">
        <w:rPr>
          <w:rFonts w:asciiTheme="minorHAnsi" w:hAnsiTheme="minorHAnsi" w:cstheme="minorHAnsi"/>
          <w:kern w:val="36"/>
          <w:lang w:eastAsia="en-GB"/>
        </w:rPr>
        <w:t xml:space="preserve">, L., </w:t>
      </w:r>
      <w:proofErr w:type="spellStart"/>
      <w:r w:rsidRPr="004E6078">
        <w:rPr>
          <w:rFonts w:asciiTheme="minorHAnsi" w:hAnsiTheme="minorHAnsi" w:cstheme="minorHAnsi"/>
          <w:kern w:val="36"/>
          <w:lang w:eastAsia="en-GB"/>
        </w:rPr>
        <w:t>Profili</w:t>
      </w:r>
      <w:proofErr w:type="spellEnd"/>
      <w:r w:rsidRPr="004E6078">
        <w:rPr>
          <w:rFonts w:asciiTheme="minorHAnsi" w:hAnsiTheme="minorHAnsi" w:cstheme="minorHAnsi"/>
          <w:kern w:val="36"/>
          <w:lang w:eastAsia="en-GB"/>
        </w:rPr>
        <w:t xml:space="preserve">, S. and </w:t>
      </w:r>
      <w:proofErr w:type="spellStart"/>
      <w:r w:rsidRPr="004E6078">
        <w:rPr>
          <w:rFonts w:asciiTheme="minorHAnsi" w:hAnsiTheme="minorHAnsi" w:cstheme="minorHAnsi"/>
          <w:kern w:val="36"/>
          <w:lang w:eastAsia="en-GB"/>
        </w:rPr>
        <w:t>Sammarra</w:t>
      </w:r>
      <w:proofErr w:type="spellEnd"/>
      <w:r w:rsidRPr="004E6078">
        <w:rPr>
          <w:rFonts w:asciiTheme="minorHAnsi" w:hAnsiTheme="minorHAnsi" w:cstheme="minorHAnsi"/>
          <w:kern w:val="36"/>
          <w:lang w:eastAsia="en-GB"/>
        </w:rPr>
        <w:t xml:space="preserve">, A. (2022) ‘Satisfaction with HR practices and employee performance: A moderated mediation model of engagement and health’, </w:t>
      </w:r>
      <w:r w:rsidRPr="004E6078">
        <w:rPr>
          <w:rFonts w:asciiTheme="minorHAnsi" w:hAnsiTheme="minorHAnsi" w:cstheme="minorHAnsi"/>
          <w:i/>
          <w:iCs/>
          <w:kern w:val="36"/>
          <w:lang w:eastAsia="en-GB"/>
        </w:rPr>
        <w:t>European Management Journal</w:t>
      </w:r>
      <w:r w:rsidRPr="004E6078">
        <w:rPr>
          <w:rFonts w:asciiTheme="minorHAnsi" w:hAnsiTheme="minorHAnsi" w:cstheme="minorHAnsi"/>
          <w:kern w:val="36"/>
          <w:lang w:eastAsia="en-GB"/>
        </w:rPr>
        <w:t xml:space="preserve">, 40(2), pp. 295-305. Available at: </w:t>
      </w:r>
      <w:hyperlink r:id="rId53" w:history="1">
        <w:r w:rsidRPr="004E6078">
          <w:rPr>
            <w:rStyle w:val="Hyperlink"/>
            <w:rFonts w:asciiTheme="minorHAnsi" w:eastAsia="Times New Roman" w:hAnsiTheme="minorHAnsi" w:cstheme="minorHAnsi"/>
            <w:kern w:val="36"/>
            <w:lang w:eastAsia="en-GB"/>
          </w:rPr>
          <w:t>https://doi.org/10.1016/j.emj.2021.06.003</w:t>
        </w:r>
      </w:hyperlink>
      <w:r w:rsidRPr="004E6078">
        <w:rPr>
          <w:rFonts w:asciiTheme="minorHAnsi" w:hAnsiTheme="minorHAnsi" w:cstheme="minorHAnsi"/>
          <w:color w:val="333333"/>
          <w:kern w:val="36"/>
          <w:lang w:eastAsia="en-GB"/>
        </w:rPr>
        <w:t>.</w:t>
      </w:r>
    </w:p>
    <w:p w14:paraId="4EFD3715" w14:textId="77777777" w:rsidR="004E6078" w:rsidRDefault="004E6078" w:rsidP="004E6078">
      <w:pPr>
        <w:spacing w:line="360" w:lineRule="auto"/>
        <w:rPr>
          <w:rFonts w:asciiTheme="minorHAnsi" w:hAnsiTheme="minorHAnsi" w:cstheme="minorHAnsi"/>
          <w:lang w:eastAsia="en-GB"/>
        </w:rPr>
      </w:pPr>
    </w:p>
    <w:p w14:paraId="7FF4D74B" w14:textId="2C54DF09"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Taylor, S. and Woodhams, C. (eds) (2022) </w:t>
      </w:r>
      <w:r w:rsidRPr="004E6078">
        <w:rPr>
          <w:rFonts w:asciiTheme="minorHAnsi" w:hAnsiTheme="minorHAnsi" w:cstheme="minorHAnsi"/>
          <w:i/>
          <w:iCs/>
          <w:lang w:eastAsia="en-GB"/>
        </w:rPr>
        <w:t>Studying human resource management: a guide to the study, context and practice of HR</w:t>
      </w:r>
      <w:r w:rsidRPr="004E6078">
        <w:rPr>
          <w:rFonts w:asciiTheme="minorHAnsi" w:hAnsiTheme="minorHAnsi" w:cstheme="minorHAnsi"/>
          <w:lang w:eastAsia="en-GB"/>
        </w:rPr>
        <w:t xml:space="preserve">. 3rd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Kogan Page.</w:t>
      </w:r>
    </w:p>
    <w:p w14:paraId="500E1570" w14:textId="77777777" w:rsidR="004E6078" w:rsidRDefault="004E6078" w:rsidP="004E6078">
      <w:pPr>
        <w:spacing w:line="360" w:lineRule="auto"/>
        <w:rPr>
          <w:rFonts w:asciiTheme="minorHAnsi" w:eastAsia="Times New Roman" w:hAnsiTheme="minorHAnsi" w:cstheme="minorHAnsi"/>
          <w:lang w:eastAsia="en-GB"/>
        </w:rPr>
      </w:pPr>
    </w:p>
    <w:p w14:paraId="6EF44EC8" w14:textId="63370029" w:rsidR="004E6078" w:rsidRPr="004E6078" w:rsidRDefault="004E6078" w:rsidP="004E6078">
      <w:pPr>
        <w:spacing w:line="360" w:lineRule="auto"/>
        <w:rPr>
          <w:rFonts w:asciiTheme="minorHAnsi" w:eastAsia="Times New Roman" w:hAnsiTheme="minorHAnsi" w:cstheme="minorHAnsi"/>
          <w:lang w:eastAsia="en-GB"/>
        </w:rPr>
      </w:pPr>
      <w:proofErr w:type="spellStart"/>
      <w:r w:rsidRPr="004E6078">
        <w:rPr>
          <w:rFonts w:asciiTheme="minorHAnsi" w:eastAsia="Times New Roman" w:hAnsiTheme="minorHAnsi" w:cstheme="minorHAnsi"/>
          <w:lang w:eastAsia="en-GB"/>
        </w:rPr>
        <w:t>Tofade</w:t>
      </w:r>
      <w:proofErr w:type="spellEnd"/>
      <w:r w:rsidRPr="004E6078">
        <w:rPr>
          <w:rFonts w:asciiTheme="minorHAnsi" w:eastAsia="Times New Roman" w:hAnsiTheme="minorHAnsi" w:cstheme="minorHAnsi"/>
          <w:lang w:eastAsia="en-GB"/>
        </w:rPr>
        <w:t xml:space="preserve">, T., Elsner, J. and Haines, S. (2013) ‘Best practice strategies for effective use of questions as a teaching tool’ </w:t>
      </w:r>
      <w:r w:rsidRPr="004E6078">
        <w:rPr>
          <w:rFonts w:asciiTheme="minorHAnsi" w:eastAsia="Times New Roman" w:hAnsiTheme="minorHAnsi" w:cstheme="minorHAnsi"/>
          <w:i/>
          <w:iCs/>
          <w:lang w:eastAsia="en-GB"/>
        </w:rPr>
        <w:t>American Journal of Pharmaceutical Education</w:t>
      </w:r>
      <w:r w:rsidRPr="004E6078">
        <w:rPr>
          <w:rFonts w:asciiTheme="minorHAnsi" w:eastAsia="Times New Roman" w:hAnsiTheme="minorHAnsi" w:cstheme="minorHAnsi"/>
          <w:lang w:eastAsia="en-GB"/>
        </w:rPr>
        <w:t xml:space="preserve">, 77(7), pp. 155. Available at: </w:t>
      </w:r>
      <w:hyperlink r:id="rId54" w:history="1">
        <w:r w:rsidRPr="004E6078">
          <w:rPr>
            <w:rStyle w:val="Hyperlink"/>
            <w:rFonts w:asciiTheme="minorHAnsi" w:eastAsia="Times New Roman" w:hAnsiTheme="minorHAnsi" w:cstheme="minorHAnsi"/>
            <w:lang w:eastAsia="en-GB"/>
          </w:rPr>
          <w:t>https://doi.org/10.5688/ajpe777155</w:t>
        </w:r>
      </w:hyperlink>
    </w:p>
    <w:p w14:paraId="2D7F3649" w14:textId="77777777" w:rsidR="004E6078" w:rsidRPr="004E6078" w:rsidRDefault="004E6078" w:rsidP="004E6078">
      <w:pPr>
        <w:spacing w:line="360" w:lineRule="auto"/>
        <w:rPr>
          <w:rStyle w:val="citation"/>
          <w:rFonts w:asciiTheme="minorHAnsi" w:hAnsiTheme="minorHAnsi" w:cstheme="minorHAnsi"/>
          <w:shd w:val="clear" w:color="auto" w:fill="FFFFFF"/>
        </w:rPr>
      </w:pPr>
    </w:p>
    <w:p w14:paraId="04524A17" w14:textId="77777777" w:rsidR="004E6078" w:rsidRPr="004E6078" w:rsidRDefault="004E6078" w:rsidP="004E6078">
      <w:pPr>
        <w:spacing w:after="160" w:line="360" w:lineRule="auto"/>
        <w:rPr>
          <w:rFonts w:asciiTheme="minorHAnsi" w:eastAsiaTheme="minorHAnsi" w:hAnsiTheme="minorHAnsi" w:cstheme="minorHAnsi"/>
          <w:color w:val="333333"/>
          <w:shd w:val="clear" w:color="auto" w:fill="FFFFFF"/>
        </w:rPr>
      </w:pPr>
      <w:r w:rsidRPr="004E6078">
        <w:rPr>
          <w:rStyle w:val="citation"/>
          <w:rFonts w:asciiTheme="minorHAnsi" w:hAnsiTheme="minorHAnsi" w:cstheme="minorHAnsi"/>
          <w:shd w:val="clear" w:color="auto" w:fill="FFFFFF"/>
        </w:rPr>
        <w:t xml:space="preserve">Van Norman, R., Fitzgerald, N. and </w:t>
      </w:r>
      <w:proofErr w:type="spellStart"/>
      <w:r w:rsidRPr="004E6078">
        <w:rPr>
          <w:rStyle w:val="citation"/>
          <w:rFonts w:asciiTheme="minorHAnsi" w:hAnsiTheme="minorHAnsi" w:cstheme="minorHAnsi"/>
          <w:shd w:val="clear" w:color="auto" w:fill="FFFFFF"/>
        </w:rPr>
        <w:t>Kaffar</w:t>
      </w:r>
      <w:proofErr w:type="spellEnd"/>
      <w:r w:rsidRPr="004E6078">
        <w:rPr>
          <w:rStyle w:val="citation"/>
          <w:rFonts w:asciiTheme="minorHAnsi" w:hAnsiTheme="minorHAnsi" w:cstheme="minorHAnsi"/>
          <w:shd w:val="clear" w:color="auto" w:fill="FFFFFF"/>
        </w:rPr>
        <w:t xml:space="preserve">, B. (2008) ‘The Use of High and Low-Tech Teaching Tactics for Increasing Students' Active Responding in College Classrooms’, </w:t>
      </w:r>
      <w:r w:rsidRPr="004E6078">
        <w:rPr>
          <w:rStyle w:val="HTMLCite"/>
          <w:rFonts w:asciiTheme="minorHAnsi" w:hAnsiTheme="minorHAnsi" w:cstheme="minorHAnsi"/>
          <w:shd w:val="clear" w:color="auto" w:fill="FFFFFF"/>
        </w:rPr>
        <w:t>Proceedings of SITE 2008--Society for Information Technology &amp; Teacher Education International Conference</w:t>
      </w:r>
      <w:r w:rsidRPr="004E6078">
        <w:rPr>
          <w:rStyle w:val="citation"/>
          <w:rFonts w:asciiTheme="minorHAnsi" w:hAnsiTheme="minorHAnsi" w:cstheme="minorHAnsi"/>
          <w:shd w:val="clear" w:color="auto" w:fill="FFFFFF"/>
        </w:rPr>
        <w:t>, Las Vegas, 3 March. Association for the Advancement of Computing in Education. </w:t>
      </w:r>
      <w:r w:rsidRPr="004E6078">
        <w:rPr>
          <w:rStyle w:val="retrieval"/>
          <w:rFonts w:asciiTheme="minorHAnsi" w:hAnsiTheme="minorHAnsi" w:cstheme="minorHAnsi"/>
          <w:shd w:val="clear" w:color="auto" w:fill="FFFFFF"/>
        </w:rPr>
        <w:t>Available at:  </w:t>
      </w:r>
      <w:hyperlink r:id="rId55" w:history="1">
        <w:r w:rsidRPr="004E6078">
          <w:rPr>
            <w:rStyle w:val="Hyperlink"/>
            <w:rFonts w:asciiTheme="minorHAnsi" w:hAnsiTheme="minorHAnsi" w:cstheme="minorHAnsi"/>
            <w:color w:val="2168AF"/>
          </w:rPr>
          <w:t>https://www.learntechlib.org/primary/p/27414/</w:t>
        </w:r>
      </w:hyperlink>
      <w:r w:rsidRPr="004E6078">
        <w:rPr>
          <w:rStyle w:val="retrieval"/>
          <w:rFonts w:asciiTheme="minorHAnsi" w:hAnsiTheme="minorHAnsi" w:cstheme="minorHAnsi"/>
          <w:color w:val="333333"/>
          <w:shd w:val="clear" w:color="auto" w:fill="FFFFFF"/>
        </w:rPr>
        <w:t>.</w:t>
      </w:r>
    </w:p>
    <w:p w14:paraId="63F11757" w14:textId="77777777"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shd w:val="clear" w:color="auto" w:fill="FEFEFE"/>
        </w:rPr>
        <w:t>Venkatesh, N. (2025) ‘Utilitarianism Is a Form of Egalitarianism’, </w:t>
      </w:r>
      <w:r w:rsidRPr="004E6078">
        <w:rPr>
          <w:rFonts w:asciiTheme="minorHAnsi" w:hAnsiTheme="minorHAnsi" w:cstheme="minorHAnsi"/>
          <w:i/>
          <w:iCs/>
          <w:shd w:val="clear" w:color="auto" w:fill="FEFEFE"/>
        </w:rPr>
        <w:t xml:space="preserve">Ergo an Open Access Journal of </w:t>
      </w:r>
      <w:r w:rsidRPr="004E6078">
        <w:rPr>
          <w:rFonts w:asciiTheme="minorHAnsi" w:hAnsiTheme="minorHAnsi" w:cstheme="minorHAnsi"/>
          <w:i/>
          <w:iCs/>
          <w:shd w:val="clear" w:color="auto" w:fill="FEFEFE"/>
        </w:rPr>
        <w:lastRenderedPageBreak/>
        <w:t>Philosophy</w:t>
      </w:r>
      <w:r w:rsidRPr="004E6078">
        <w:rPr>
          <w:rFonts w:asciiTheme="minorHAnsi" w:hAnsiTheme="minorHAnsi" w:cstheme="minorHAnsi"/>
          <w:shd w:val="clear" w:color="auto" w:fill="FEFEFE"/>
        </w:rPr>
        <w:t>, 12(27), pp. 700-727. Available at: </w:t>
      </w:r>
      <w:hyperlink r:id="rId56" w:history="1">
        <w:r w:rsidRPr="004E6078">
          <w:rPr>
            <w:rStyle w:val="Hyperlink"/>
            <w:rFonts w:asciiTheme="minorHAnsi" w:hAnsiTheme="minorHAnsi" w:cstheme="minorHAnsi"/>
            <w:color w:val="999999"/>
            <w:shd w:val="clear" w:color="auto" w:fill="FEFEFE"/>
          </w:rPr>
          <w:t>https://doi.org/10.3998/ergo.7658</w:t>
        </w:r>
      </w:hyperlink>
    </w:p>
    <w:p w14:paraId="457DAF5B" w14:textId="77777777" w:rsidR="004E6078" w:rsidRDefault="004E6078" w:rsidP="004E6078">
      <w:pPr>
        <w:spacing w:line="360" w:lineRule="auto"/>
        <w:rPr>
          <w:rFonts w:asciiTheme="minorHAnsi" w:hAnsiTheme="minorHAnsi" w:cstheme="minorHAnsi"/>
          <w:lang w:eastAsia="en-GB"/>
        </w:rPr>
      </w:pPr>
    </w:p>
    <w:p w14:paraId="33194D48" w14:textId="47593CC8" w:rsidR="004E6078" w:rsidRPr="004E6078" w:rsidRDefault="004E6078" w:rsidP="004E6078">
      <w:pPr>
        <w:spacing w:line="360" w:lineRule="auto"/>
        <w:rPr>
          <w:rFonts w:asciiTheme="minorHAnsi" w:hAnsiTheme="minorHAnsi" w:cstheme="minorHAnsi"/>
          <w:lang w:eastAsia="en-GB"/>
        </w:rPr>
      </w:pPr>
      <w:r w:rsidRPr="004E6078">
        <w:rPr>
          <w:rFonts w:asciiTheme="minorHAnsi" w:hAnsiTheme="minorHAnsi" w:cstheme="minorHAnsi"/>
          <w:lang w:eastAsia="en-GB"/>
        </w:rPr>
        <w:t xml:space="preserve">Whittington, R., </w:t>
      </w:r>
      <w:hyperlink r:id="rId57" w:history="1">
        <w:proofErr w:type="spellStart"/>
        <w:r w:rsidRPr="004E6078">
          <w:rPr>
            <w:rStyle w:val="Hyperlink"/>
            <w:rFonts w:asciiTheme="minorHAnsi" w:hAnsiTheme="minorHAnsi" w:cstheme="minorHAnsi"/>
            <w:color w:val="auto"/>
            <w:u w:val="none"/>
            <w:shd w:val="clear" w:color="auto" w:fill="FFFFFF"/>
          </w:rPr>
          <w:t>Regnér</w:t>
        </w:r>
        <w:proofErr w:type="spellEnd"/>
      </w:hyperlink>
      <w:r w:rsidRPr="004E6078">
        <w:rPr>
          <w:rFonts w:asciiTheme="minorHAnsi" w:hAnsiTheme="minorHAnsi" w:cstheme="minorHAnsi"/>
          <w:shd w:val="clear" w:color="auto" w:fill="FFFFFF"/>
        </w:rPr>
        <w:t>, P., Angwin, D., Johnson, G. and Scholes, K.</w:t>
      </w:r>
      <w:r w:rsidRPr="004E6078">
        <w:rPr>
          <w:rFonts w:asciiTheme="minorHAnsi" w:hAnsiTheme="minorHAnsi" w:cstheme="minorHAnsi"/>
          <w:lang w:eastAsia="en-GB"/>
        </w:rPr>
        <w:t xml:space="preserve"> (2020) </w:t>
      </w:r>
      <w:r w:rsidRPr="004E6078">
        <w:rPr>
          <w:rFonts w:asciiTheme="minorHAnsi" w:hAnsiTheme="minorHAnsi" w:cstheme="minorHAnsi"/>
          <w:i/>
          <w:iCs/>
          <w:lang w:eastAsia="en-GB"/>
        </w:rPr>
        <w:t>Exploring Strategy</w:t>
      </w:r>
      <w:r w:rsidRPr="004E6078">
        <w:rPr>
          <w:rFonts w:asciiTheme="minorHAnsi" w:hAnsiTheme="minorHAnsi" w:cstheme="minorHAnsi"/>
          <w:lang w:eastAsia="en-GB"/>
        </w:rPr>
        <w:t xml:space="preserve">. 12th </w:t>
      </w:r>
      <w:proofErr w:type="spellStart"/>
      <w:r w:rsidRPr="004E6078">
        <w:rPr>
          <w:rFonts w:asciiTheme="minorHAnsi" w:hAnsiTheme="minorHAnsi" w:cstheme="minorHAnsi"/>
          <w:lang w:eastAsia="en-GB"/>
        </w:rPr>
        <w:t>edn</w:t>
      </w:r>
      <w:proofErr w:type="spellEnd"/>
      <w:r w:rsidRPr="004E6078">
        <w:rPr>
          <w:rFonts w:asciiTheme="minorHAnsi" w:hAnsiTheme="minorHAnsi" w:cstheme="minorHAnsi"/>
          <w:lang w:eastAsia="en-GB"/>
        </w:rPr>
        <w:t>. Pearson Education Limited.</w:t>
      </w:r>
    </w:p>
    <w:p w14:paraId="4B1DD2FD" w14:textId="77777777" w:rsidR="004E6078" w:rsidRDefault="004E6078" w:rsidP="004E6078">
      <w:pPr>
        <w:spacing w:line="360" w:lineRule="auto"/>
        <w:rPr>
          <w:rFonts w:asciiTheme="minorHAnsi" w:hAnsiTheme="minorHAnsi" w:cstheme="minorHAnsi"/>
          <w:kern w:val="36"/>
          <w:lang w:eastAsia="en-GB"/>
        </w:rPr>
      </w:pPr>
    </w:p>
    <w:p w14:paraId="6CB6937A" w14:textId="01BD02B7" w:rsidR="004E6078" w:rsidRPr="004E6078" w:rsidRDefault="004E6078" w:rsidP="004E6078">
      <w:pPr>
        <w:spacing w:line="360" w:lineRule="auto"/>
        <w:rPr>
          <w:rFonts w:asciiTheme="minorHAnsi" w:hAnsiTheme="minorHAnsi" w:cstheme="minorHAnsi"/>
          <w:kern w:val="36"/>
          <w:lang w:eastAsia="en-GB"/>
        </w:rPr>
      </w:pPr>
      <w:r w:rsidRPr="004E6078">
        <w:rPr>
          <w:rFonts w:asciiTheme="minorHAnsi" w:hAnsiTheme="minorHAnsi" w:cstheme="minorHAnsi"/>
          <w:kern w:val="36"/>
          <w:lang w:eastAsia="en-GB"/>
        </w:rPr>
        <w:t xml:space="preserve">Wiley, J. (2010) </w:t>
      </w:r>
      <w:r w:rsidRPr="004E6078">
        <w:rPr>
          <w:rFonts w:asciiTheme="minorHAnsi" w:hAnsiTheme="minorHAnsi" w:cstheme="minorHAnsi"/>
          <w:i/>
          <w:iCs/>
          <w:kern w:val="36"/>
          <w:lang w:eastAsia="en-GB"/>
        </w:rPr>
        <w:t>Strategic Employee Surveys: Evidence-based Guidelines for Driving Organizational Success</w:t>
      </w:r>
      <w:r w:rsidRPr="004E6078">
        <w:rPr>
          <w:rFonts w:asciiTheme="minorHAnsi" w:hAnsiTheme="minorHAnsi" w:cstheme="minorHAnsi"/>
          <w:kern w:val="36"/>
          <w:lang w:eastAsia="en-GB"/>
        </w:rPr>
        <w:t xml:space="preserve">. </w:t>
      </w:r>
      <w:proofErr w:type="spellStart"/>
      <w:r w:rsidRPr="004E6078">
        <w:rPr>
          <w:rFonts w:asciiTheme="minorHAnsi" w:hAnsiTheme="minorHAnsi" w:cstheme="minorHAnsi"/>
          <w:kern w:val="36"/>
          <w:lang w:eastAsia="en-GB"/>
        </w:rPr>
        <w:t>Pfieffer</w:t>
      </w:r>
      <w:proofErr w:type="spellEnd"/>
      <w:r w:rsidRPr="004E6078">
        <w:rPr>
          <w:rFonts w:asciiTheme="minorHAnsi" w:hAnsiTheme="minorHAnsi" w:cstheme="minorHAnsi"/>
          <w:kern w:val="36"/>
          <w:lang w:eastAsia="en-GB"/>
        </w:rPr>
        <w:t>.</w:t>
      </w:r>
    </w:p>
    <w:p w14:paraId="31652E69" w14:textId="77777777" w:rsidR="004E6078" w:rsidRDefault="004E6078" w:rsidP="004E6078">
      <w:pPr>
        <w:spacing w:line="360" w:lineRule="auto"/>
        <w:rPr>
          <w:rFonts w:asciiTheme="minorHAnsi" w:hAnsiTheme="minorHAnsi" w:cstheme="minorHAnsi"/>
          <w:kern w:val="36"/>
          <w:lang w:eastAsia="en-GB"/>
        </w:rPr>
      </w:pPr>
    </w:p>
    <w:p w14:paraId="3344A4BC" w14:textId="523409B4" w:rsidR="004E6078" w:rsidRPr="004E6078" w:rsidRDefault="004E6078" w:rsidP="004E6078">
      <w:pPr>
        <w:spacing w:line="360" w:lineRule="auto"/>
        <w:rPr>
          <w:rFonts w:asciiTheme="minorHAnsi" w:hAnsiTheme="minorHAnsi" w:cstheme="minorHAnsi"/>
          <w:kern w:val="36"/>
          <w:lang w:eastAsia="en-GB"/>
        </w:rPr>
      </w:pPr>
      <w:proofErr w:type="spellStart"/>
      <w:r w:rsidRPr="004E6078">
        <w:rPr>
          <w:rFonts w:asciiTheme="minorHAnsi" w:hAnsiTheme="minorHAnsi" w:cstheme="minorHAnsi"/>
          <w:kern w:val="36"/>
          <w:lang w:eastAsia="en-GB"/>
        </w:rPr>
        <w:t>Woolnough</w:t>
      </w:r>
      <w:proofErr w:type="spellEnd"/>
      <w:r w:rsidRPr="004E6078">
        <w:rPr>
          <w:rFonts w:asciiTheme="minorHAnsi" w:hAnsiTheme="minorHAnsi" w:cstheme="minorHAnsi"/>
          <w:kern w:val="36"/>
          <w:lang w:eastAsia="en-GB"/>
        </w:rPr>
        <w:t xml:space="preserve">, R. (2015) </w:t>
      </w:r>
      <w:r w:rsidRPr="004E6078">
        <w:rPr>
          <w:rFonts w:asciiTheme="minorHAnsi" w:hAnsiTheme="minorHAnsi" w:cstheme="minorHAnsi"/>
          <w:i/>
          <w:iCs/>
          <w:kern w:val="36"/>
          <w:lang w:eastAsia="en-GB"/>
        </w:rPr>
        <w:t>Evidence-based learning: it’s time to show what works</w:t>
      </w:r>
      <w:r w:rsidRPr="004E6078">
        <w:rPr>
          <w:rFonts w:asciiTheme="minorHAnsi" w:hAnsiTheme="minorHAnsi" w:cstheme="minorHAnsi"/>
          <w:kern w:val="36"/>
          <w:lang w:eastAsia="en-GB"/>
        </w:rPr>
        <w:t xml:space="preserve">. Available at: </w:t>
      </w:r>
      <w:hyperlink r:id="rId58" w:history="1">
        <w:r w:rsidRPr="004E6078">
          <w:rPr>
            <w:rStyle w:val="Hyperlink"/>
            <w:rFonts w:asciiTheme="minorHAnsi" w:eastAsia="Times New Roman" w:hAnsiTheme="minorHAnsi" w:cstheme="minorHAnsi"/>
            <w:kern w:val="36"/>
            <w:lang w:eastAsia="en-GB"/>
          </w:rPr>
          <w:t>https://www.personneltoday.com/hr/evidence-based-learning-its-time-to-show-what-works/</w:t>
        </w:r>
      </w:hyperlink>
      <w:r w:rsidRPr="004E6078">
        <w:rPr>
          <w:rStyle w:val="Hyperlink"/>
          <w:rFonts w:asciiTheme="minorHAnsi" w:eastAsia="Times New Roman" w:hAnsiTheme="minorHAnsi" w:cstheme="minorHAnsi"/>
          <w:kern w:val="36"/>
          <w:lang w:eastAsia="en-GB"/>
        </w:rPr>
        <w:t xml:space="preserve"> </w:t>
      </w:r>
      <w:r w:rsidRPr="004E6078">
        <w:rPr>
          <w:rStyle w:val="Hyperlink"/>
          <w:rFonts w:asciiTheme="minorHAnsi" w:eastAsia="Times New Roman" w:hAnsiTheme="minorHAnsi" w:cstheme="minorHAnsi"/>
          <w:color w:val="auto"/>
          <w:kern w:val="36"/>
          <w:u w:val="none"/>
          <w:lang w:eastAsia="en-GB"/>
        </w:rPr>
        <w:t>(Accessed: 30 December 2025).</w:t>
      </w:r>
    </w:p>
    <w:p w14:paraId="7D8791D5" w14:textId="77777777" w:rsidR="004E6078" w:rsidRDefault="004E6078" w:rsidP="004E6078">
      <w:pPr>
        <w:spacing w:line="360" w:lineRule="auto"/>
        <w:rPr>
          <w:rFonts w:asciiTheme="minorHAnsi" w:hAnsiTheme="minorHAnsi" w:cstheme="minorHAnsi"/>
        </w:rPr>
      </w:pPr>
    </w:p>
    <w:p w14:paraId="6B708C0C" w14:textId="11B23AD4" w:rsidR="004E6078" w:rsidRPr="004E6078" w:rsidRDefault="004E6078" w:rsidP="004E6078">
      <w:pPr>
        <w:spacing w:line="360" w:lineRule="auto"/>
        <w:rPr>
          <w:rFonts w:asciiTheme="minorHAnsi" w:hAnsiTheme="minorHAnsi" w:cstheme="minorHAnsi"/>
        </w:rPr>
      </w:pPr>
      <w:r w:rsidRPr="004E6078">
        <w:rPr>
          <w:rFonts w:asciiTheme="minorHAnsi" w:hAnsiTheme="minorHAnsi" w:cstheme="minorHAnsi"/>
        </w:rPr>
        <w:t xml:space="preserve">Young, R. (2025) ‘Account of Practice: Action Learning as an Organizational Change Vector’, </w:t>
      </w:r>
      <w:r w:rsidRPr="004E6078">
        <w:rPr>
          <w:rFonts w:asciiTheme="minorHAnsi" w:hAnsiTheme="minorHAnsi" w:cstheme="minorHAnsi"/>
          <w:i/>
          <w:iCs/>
        </w:rPr>
        <w:t>International Journal of Management and Applied Research</w:t>
      </w:r>
      <w:r w:rsidRPr="004E6078">
        <w:rPr>
          <w:rFonts w:asciiTheme="minorHAnsi" w:hAnsiTheme="minorHAnsi" w:cstheme="minorHAnsi"/>
        </w:rPr>
        <w:t xml:space="preserve">, 12(2), pp. 88-97. Available at: </w:t>
      </w:r>
      <w:hyperlink r:id="rId59" w:history="1">
        <w:r w:rsidRPr="004E6078">
          <w:rPr>
            <w:rStyle w:val="Hyperlink"/>
            <w:rFonts w:asciiTheme="minorHAnsi" w:hAnsiTheme="minorHAnsi" w:cstheme="minorHAnsi"/>
          </w:rPr>
          <w:t>https://doi.org/10.18646/2056.122.25-006</w:t>
        </w:r>
      </w:hyperlink>
    </w:p>
    <w:p w14:paraId="57B99AB3" w14:textId="77777777" w:rsidR="004E6078" w:rsidRPr="004E6078" w:rsidRDefault="004E6078" w:rsidP="004E6078">
      <w:pPr>
        <w:spacing w:line="360" w:lineRule="auto"/>
        <w:rPr>
          <w:rFonts w:asciiTheme="minorHAnsi" w:hAnsiTheme="minorHAnsi" w:cstheme="minorHAnsi"/>
          <w:color w:val="222222"/>
          <w:shd w:val="clear" w:color="auto" w:fill="FFFFFF"/>
        </w:rPr>
      </w:pPr>
    </w:p>
    <w:p w14:paraId="0670A610" w14:textId="77777777" w:rsidR="004E6078" w:rsidRPr="004E6078" w:rsidRDefault="004E6078" w:rsidP="004E6078">
      <w:pPr>
        <w:spacing w:line="360" w:lineRule="auto"/>
        <w:rPr>
          <w:rFonts w:asciiTheme="minorHAnsi" w:hAnsiTheme="minorHAnsi" w:cstheme="minorHAnsi"/>
          <w:color w:val="222222"/>
          <w:shd w:val="clear" w:color="auto" w:fill="FFFFFF"/>
        </w:rPr>
      </w:pPr>
    </w:p>
    <w:p w14:paraId="2A9F6FE8" w14:textId="77777777" w:rsidR="004E6078" w:rsidRPr="004E6078" w:rsidRDefault="004E6078" w:rsidP="004E6078">
      <w:pPr>
        <w:spacing w:line="360" w:lineRule="auto"/>
        <w:rPr>
          <w:rStyle w:val="ws4"/>
          <w:rFonts w:asciiTheme="minorHAnsi" w:hAnsiTheme="minorHAnsi" w:cstheme="minorHAnsi"/>
          <w:color w:val="000000"/>
          <w:shd w:val="clear" w:color="auto" w:fill="FFFFFF"/>
        </w:rPr>
      </w:pPr>
    </w:p>
    <w:p w14:paraId="4194E4AF" w14:textId="77777777" w:rsidR="004E6078" w:rsidRPr="004E6078" w:rsidRDefault="004E6078" w:rsidP="004E6078">
      <w:pPr>
        <w:spacing w:line="360" w:lineRule="auto"/>
        <w:rPr>
          <w:rFonts w:asciiTheme="minorHAnsi" w:hAnsiTheme="minorHAnsi" w:cstheme="minorHAnsi"/>
          <w:color w:val="222222"/>
          <w:shd w:val="clear" w:color="auto" w:fill="FFFFFF"/>
        </w:rPr>
      </w:pPr>
    </w:p>
    <w:p w14:paraId="0815D968" w14:textId="77777777" w:rsidR="004E6078" w:rsidRPr="004E6078" w:rsidRDefault="004E6078" w:rsidP="004E6078">
      <w:pPr>
        <w:spacing w:line="360" w:lineRule="auto"/>
        <w:rPr>
          <w:rFonts w:asciiTheme="minorHAnsi" w:hAnsiTheme="minorHAnsi" w:cstheme="minorHAnsi"/>
          <w:shd w:val="clear" w:color="auto" w:fill="FFFFFF"/>
        </w:rPr>
      </w:pPr>
    </w:p>
    <w:p w14:paraId="4942175D" w14:textId="77777777" w:rsidR="004E6078" w:rsidRPr="004E6078" w:rsidRDefault="004E6078" w:rsidP="004E6078">
      <w:pPr>
        <w:spacing w:line="360" w:lineRule="auto"/>
        <w:rPr>
          <w:rFonts w:asciiTheme="minorHAnsi" w:hAnsiTheme="minorHAnsi" w:cstheme="minorHAnsi"/>
          <w:color w:val="333333"/>
          <w:kern w:val="36"/>
          <w:lang w:eastAsia="en-GB"/>
        </w:rPr>
      </w:pPr>
    </w:p>
    <w:p w14:paraId="0787278D" w14:textId="77777777" w:rsidR="004E6078" w:rsidRPr="004E6078" w:rsidRDefault="004E6078" w:rsidP="004E6078">
      <w:pPr>
        <w:spacing w:line="360" w:lineRule="auto"/>
        <w:rPr>
          <w:rFonts w:asciiTheme="minorHAnsi" w:hAnsiTheme="minorHAnsi" w:cstheme="minorHAnsi"/>
          <w:b/>
          <w:bCs/>
          <w:color w:val="333333"/>
          <w:kern w:val="36"/>
          <w:lang w:eastAsia="en-GB"/>
        </w:rPr>
      </w:pPr>
    </w:p>
    <w:p w14:paraId="27CD8529" w14:textId="77777777" w:rsidR="004E6078" w:rsidRPr="004E6078" w:rsidRDefault="004E6078" w:rsidP="004E6078">
      <w:pPr>
        <w:spacing w:line="360" w:lineRule="auto"/>
        <w:rPr>
          <w:rFonts w:asciiTheme="minorHAnsi" w:hAnsiTheme="minorHAnsi" w:cstheme="minorHAnsi"/>
          <w:noProof/>
        </w:rPr>
      </w:pPr>
    </w:p>
    <w:sectPr w:rsidR="004E6078" w:rsidRPr="004E6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E3A7B"/>
    <w:multiLevelType w:val="multilevel"/>
    <w:tmpl w:val="51BAC0BC"/>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3ED"/>
    <w:rsid w:val="00014EFF"/>
    <w:rsid w:val="000351AE"/>
    <w:rsid w:val="00036712"/>
    <w:rsid w:val="00045503"/>
    <w:rsid w:val="00045D36"/>
    <w:rsid w:val="00047919"/>
    <w:rsid w:val="00061899"/>
    <w:rsid w:val="0007446A"/>
    <w:rsid w:val="00083306"/>
    <w:rsid w:val="000834AD"/>
    <w:rsid w:val="00092C9F"/>
    <w:rsid w:val="000A01D9"/>
    <w:rsid w:val="000A2C76"/>
    <w:rsid w:val="000A6623"/>
    <w:rsid w:val="000C0552"/>
    <w:rsid w:val="000D195E"/>
    <w:rsid w:val="000D32F5"/>
    <w:rsid w:val="000D3F7D"/>
    <w:rsid w:val="000E7A00"/>
    <w:rsid w:val="00102F86"/>
    <w:rsid w:val="00111F24"/>
    <w:rsid w:val="00113080"/>
    <w:rsid w:val="00116704"/>
    <w:rsid w:val="00127552"/>
    <w:rsid w:val="00150D07"/>
    <w:rsid w:val="00152FB2"/>
    <w:rsid w:val="0016309C"/>
    <w:rsid w:val="00170987"/>
    <w:rsid w:val="0018464B"/>
    <w:rsid w:val="0018753F"/>
    <w:rsid w:val="001A4D8F"/>
    <w:rsid w:val="001B132C"/>
    <w:rsid w:val="001C1E76"/>
    <w:rsid w:val="001E62DA"/>
    <w:rsid w:val="001F158C"/>
    <w:rsid w:val="001F2C1C"/>
    <w:rsid w:val="001F361D"/>
    <w:rsid w:val="00200A98"/>
    <w:rsid w:val="002117EB"/>
    <w:rsid w:val="0022721E"/>
    <w:rsid w:val="002529DC"/>
    <w:rsid w:val="002557C2"/>
    <w:rsid w:val="00260EDC"/>
    <w:rsid w:val="00266BD1"/>
    <w:rsid w:val="00274EA7"/>
    <w:rsid w:val="00283990"/>
    <w:rsid w:val="002A19C1"/>
    <w:rsid w:val="002E7D70"/>
    <w:rsid w:val="002F0BF9"/>
    <w:rsid w:val="00320FF6"/>
    <w:rsid w:val="003334E2"/>
    <w:rsid w:val="00336492"/>
    <w:rsid w:val="003514C1"/>
    <w:rsid w:val="00355A9C"/>
    <w:rsid w:val="00365872"/>
    <w:rsid w:val="00381394"/>
    <w:rsid w:val="00386372"/>
    <w:rsid w:val="0039721E"/>
    <w:rsid w:val="003C07AC"/>
    <w:rsid w:val="003C2412"/>
    <w:rsid w:val="003D115E"/>
    <w:rsid w:val="003D2E76"/>
    <w:rsid w:val="003E2890"/>
    <w:rsid w:val="003F0F85"/>
    <w:rsid w:val="00402ECA"/>
    <w:rsid w:val="00415588"/>
    <w:rsid w:val="00417C2F"/>
    <w:rsid w:val="00431558"/>
    <w:rsid w:val="00434101"/>
    <w:rsid w:val="00435E65"/>
    <w:rsid w:val="004553F7"/>
    <w:rsid w:val="00460093"/>
    <w:rsid w:val="004628C4"/>
    <w:rsid w:val="00463482"/>
    <w:rsid w:val="004860F7"/>
    <w:rsid w:val="00487D5B"/>
    <w:rsid w:val="00491B5F"/>
    <w:rsid w:val="0049687D"/>
    <w:rsid w:val="004B1E3C"/>
    <w:rsid w:val="004C3BBD"/>
    <w:rsid w:val="004C7416"/>
    <w:rsid w:val="004D3D40"/>
    <w:rsid w:val="004D63EB"/>
    <w:rsid w:val="004E6078"/>
    <w:rsid w:val="00514F09"/>
    <w:rsid w:val="00516CAD"/>
    <w:rsid w:val="00541C94"/>
    <w:rsid w:val="00542529"/>
    <w:rsid w:val="00542566"/>
    <w:rsid w:val="005479C7"/>
    <w:rsid w:val="0055432E"/>
    <w:rsid w:val="00563642"/>
    <w:rsid w:val="00571797"/>
    <w:rsid w:val="00573A9F"/>
    <w:rsid w:val="00593A14"/>
    <w:rsid w:val="005C64CD"/>
    <w:rsid w:val="005D2FB3"/>
    <w:rsid w:val="005D365D"/>
    <w:rsid w:val="005D38D1"/>
    <w:rsid w:val="005E027F"/>
    <w:rsid w:val="005F48D7"/>
    <w:rsid w:val="00625A7C"/>
    <w:rsid w:val="00631110"/>
    <w:rsid w:val="00632844"/>
    <w:rsid w:val="006435D0"/>
    <w:rsid w:val="00650F73"/>
    <w:rsid w:val="006514BC"/>
    <w:rsid w:val="00653786"/>
    <w:rsid w:val="00672665"/>
    <w:rsid w:val="006A5F21"/>
    <w:rsid w:val="006C14A4"/>
    <w:rsid w:val="006D47C4"/>
    <w:rsid w:val="006E20AB"/>
    <w:rsid w:val="00704543"/>
    <w:rsid w:val="0071116B"/>
    <w:rsid w:val="00716882"/>
    <w:rsid w:val="0072195F"/>
    <w:rsid w:val="00723594"/>
    <w:rsid w:val="00751121"/>
    <w:rsid w:val="007725CD"/>
    <w:rsid w:val="007750CA"/>
    <w:rsid w:val="0078750B"/>
    <w:rsid w:val="00797543"/>
    <w:rsid w:val="007B62BE"/>
    <w:rsid w:val="007C254C"/>
    <w:rsid w:val="007E5093"/>
    <w:rsid w:val="007E5E91"/>
    <w:rsid w:val="007E70B4"/>
    <w:rsid w:val="007F4832"/>
    <w:rsid w:val="0080091D"/>
    <w:rsid w:val="0080383E"/>
    <w:rsid w:val="008061D9"/>
    <w:rsid w:val="0081011F"/>
    <w:rsid w:val="008356B2"/>
    <w:rsid w:val="00844800"/>
    <w:rsid w:val="0084499C"/>
    <w:rsid w:val="00851508"/>
    <w:rsid w:val="00852AD5"/>
    <w:rsid w:val="00895A85"/>
    <w:rsid w:val="008971C9"/>
    <w:rsid w:val="008A124A"/>
    <w:rsid w:val="008A642C"/>
    <w:rsid w:val="008B64F2"/>
    <w:rsid w:val="008C2EFE"/>
    <w:rsid w:val="008C5002"/>
    <w:rsid w:val="008D6C00"/>
    <w:rsid w:val="008E52DC"/>
    <w:rsid w:val="008F2B1B"/>
    <w:rsid w:val="00904A2C"/>
    <w:rsid w:val="0091573F"/>
    <w:rsid w:val="009161A5"/>
    <w:rsid w:val="00931D3E"/>
    <w:rsid w:val="00935DFD"/>
    <w:rsid w:val="00944657"/>
    <w:rsid w:val="00977B4D"/>
    <w:rsid w:val="00981CB3"/>
    <w:rsid w:val="00986293"/>
    <w:rsid w:val="009B6ECA"/>
    <w:rsid w:val="009C04BD"/>
    <w:rsid w:val="009C3DA8"/>
    <w:rsid w:val="009D19DE"/>
    <w:rsid w:val="009D4478"/>
    <w:rsid w:val="009D52D4"/>
    <w:rsid w:val="009F30F9"/>
    <w:rsid w:val="00A00822"/>
    <w:rsid w:val="00A020B8"/>
    <w:rsid w:val="00A0725E"/>
    <w:rsid w:val="00A51E4F"/>
    <w:rsid w:val="00A5726E"/>
    <w:rsid w:val="00A821DB"/>
    <w:rsid w:val="00AA0914"/>
    <w:rsid w:val="00AB3F6A"/>
    <w:rsid w:val="00AD31A2"/>
    <w:rsid w:val="00B02FC1"/>
    <w:rsid w:val="00B1644C"/>
    <w:rsid w:val="00B66979"/>
    <w:rsid w:val="00B66B29"/>
    <w:rsid w:val="00B73B77"/>
    <w:rsid w:val="00B85270"/>
    <w:rsid w:val="00B8608A"/>
    <w:rsid w:val="00B96E2A"/>
    <w:rsid w:val="00BA035A"/>
    <w:rsid w:val="00BB77F0"/>
    <w:rsid w:val="00BD33ED"/>
    <w:rsid w:val="00BE49BA"/>
    <w:rsid w:val="00BF56C7"/>
    <w:rsid w:val="00C03CCA"/>
    <w:rsid w:val="00C30DB3"/>
    <w:rsid w:val="00C31BE6"/>
    <w:rsid w:val="00CA635C"/>
    <w:rsid w:val="00CC3F92"/>
    <w:rsid w:val="00CC40C9"/>
    <w:rsid w:val="00CE3952"/>
    <w:rsid w:val="00CF6AD6"/>
    <w:rsid w:val="00D00A3D"/>
    <w:rsid w:val="00D157F5"/>
    <w:rsid w:val="00D315CF"/>
    <w:rsid w:val="00D35795"/>
    <w:rsid w:val="00D57C1C"/>
    <w:rsid w:val="00D738C1"/>
    <w:rsid w:val="00D7390D"/>
    <w:rsid w:val="00D7676F"/>
    <w:rsid w:val="00D772FD"/>
    <w:rsid w:val="00D81B3A"/>
    <w:rsid w:val="00D84F81"/>
    <w:rsid w:val="00D8631B"/>
    <w:rsid w:val="00DC3DCE"/>
    <w:rsid w:val="00DC7057"/>
    <w:rsid w:val="00DD1B38"/>
    <w:rsid w:val="00E12446"/>
    <w:rsid w:val="00E402B5"/>
    <w:rsid w:val="00E44736"/>
    <w:rsid w:val="00E45247"/>
    <w:rsid w:val="00E46DB8"/>
    <w:rsid w:val="00E60A5C"/>
    <w:rsid w:val="00E61E73"/>
    <w:rsid w:val="00E65EA9"/>
    <w:rsid w:val="00E75895"/>
    <w:rsid w:val="00E819D2"/>
    <w:rsid w:val="00E96FE3"/>
    <w:rsid w:val="00EA79D7"/>
    <w:rsid w:val="00ED7D42"/>
    <w:rsid w:val="00EF2CA5"/>
    <w:rsid w:val="00F463F0"/>
    <w:rsid w:val="00F55DCA"/>
    <w:rsid w:val="00F61380"/>
    <w:rsid w:val="00F70129"/>
    <w:rsid w:val="00F93E82"/>
    <w:rsid w:val="00F965D2"/>
    <w:rsid w:val="00F96AB7"/>
    <w:rsid w:val="00FA0E10"/>
    <w:rsid w:val="00FB7B31"/>
    <w:rsid w:val="00FC0377"/>
    <w:rsid w:val="00FC7304"/>
    <w:rsid w:val="00FE4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DFB0F"/>
  <w15:chartTrackingRefBased/>
  <w15:docId w15:val="{0B808D9F-4F72-4361-8FB7-BBB4ADA50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3ED"/>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33ED"/>
    <w:pPr>
      <w:ind w:left="720"/>
      <w:contextualSpacing/>
    </w:pPr>
  </w:style>
  <w:style w:type="paragraph" w:styleId="BodyText">
    <w:name w:val="Body Text"/>
    <w:basedOn w:val="Normal"/>
    <w:link w:val="BodyTextChar"/>
    <w:uiPriority w:val="1"/>
    <w:qFormat/>
    <w:rsid w:val="001F2C1C"/>
  </w:style>
  <w:style w:type="character" w:customStyle="1" w:styleId="BodyTextChar">
    <w:name w:val="Body Text Char"/>
    <w:basedOn w:val="DefaultParagraphFont"/>
    <w:link w:val="BodyText"/>
    <w:uiPriority w:val="1"/>
    <w:rsid w:val="001F2C1C"/>
    <w:rPr>
      <w:rFonts w:ascii="Arial" w:eastAsia="Arial" w:hAnsi="Arial" w:cs="Arial"/>
    </w:rPr>
  </w:style>
  <w:style w:type="character" w:styleId="Hyperlink">
    <w:name w:val="Hyperlink"/>
    <w:basedOn w:val="DefaultParagraphFont"/>
    <w:uiPriority w:val="99"/>
    <w:unhideWhenUsed/>
    <w:rsid w:val="004E6078"/>
    <w:rPr>
      <w:color w:val="0000FF"/>
      <w:u w:val="single"/>
    </w:rPr>
  </w:style>
  <w:style w:type="character" w:styleId="Emphasis">
    <w:name w:val="Emphasis"/>
    <w:basedOn w:val="DefaultParagraphFont"/>
    <w:uiPriority w:val="20"/>
    <w:qFormat/>
    <w:rsid w:val="004E6078"/>
    <w:rPr>
      <w:i/>
      <w:iCs/>
    </w:rPr>
  </w:style>
  <w:style w:type="character" w:styleId="Strong">
    <w:name w:val="Strong"/>
    <w:basedOn w:val="DefaultParagraphFont"/>
    <w:uiPriority w:val="22"/>
    <w:qFormat/>
    <w:rsid w:val="004E6078"/>
    <w:rPr>
      <w:b/>
      <w:bCs/>
    </w:rPr>
  </w:style>
  <w:style w:type="character" w:customStyle="1" w:styleId="citation">
    <w:name w:val="citation"/>
    <w:basedOn w:val="DefaultParagraphFont"/>
    <w:rsid w:val="004E6078"/>
  </w:style>
  <w:style w:type="character" w:styleId="HTMLCite">
    <w:name w:val="HTML Cite"/>
    <w:basedOn w:val="DefaultParagraphFont"/>
    <w:uiPriority w:val="99"/>
    <w:semiHidden/>
    <w:unhideWhenUsed/>
    <w:rsid w:val="004E6078"/>
    <w:rPr>
      <w:i/>
      <w:iCs/>
    </w:rPr>
  </w:style>
  <w:style w:type="character" w:customStyle="1" w:styleId="retrieval">
    <w:name w:val="retrieval"/>
    <w:basedOn w:val="DefaultParagraphFont"/>
    <w:rsid w:val="004E6078"/>
  </w:style>
  <w:style w:type="character" w:customStyle="1" w:styleId="ff3">
    <w:name w:val="ff3"/>
    <w:basedOn w:val="DefaultParagraphFont"/>
    <w:rsid w:val="004E6078"/>
  </w:style>
  <w:style w:type="character" w:customStyle="1" w:styleId="ls2">
    <w:name w:val="ls2"/>
    <w:basedOn w:val="DefaultParagraphFont"/>
    <w:rsid w:val="004E6078"/>
  </w:style>
  <w:style w:type="character" w:customStyle="1" w:styleId="ws4">
    <w:name w:val="ws4"/>
    <w:basedOn w:val="DefaultParagraphFont"/>
    <w:rsid w:val="004E6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765386">
      <w:bodyDiv w:val="1"/>
      <w:marLeft w:val="0"/>
      <w:marRight w:val="0"/>
      <w:marTop w:val="0"/>
      <w:marBottom w:val="0"/>
      <w:divBdr>
        <w:top w:val="none" w:sz="0" w:space="0" w:color="auto"/>
        <w:left w:val="none" w:sz="0" w:space="0" w:color="auto"/>
        <w:bottom w:val="none" w:sz="0" w:space="0" w:color="auto"/>
        <w:right w:val="none" w:sz="0" w:space="0" w:color="auto"/>
      </w:divBdr>
    </w:div>
    <w:div w:id="134901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cations.lib.chalmers.se/records/fulltext/231876/231876.pdf" TargetMode="External"/><Relationship Id="rId18" Type="http://schemas.openxmlformats.org/officeDocument/2006/relationships/hyperlink" Target="https://www.cipd.org/en/knowledge/factsheets/swot-analysis-factsheet/" TargetMode="External"/><Relationship Id="rId26" Type="http://schemas.openxmlformats.org/officeDocument/2006/relationships/hyperlink" Target="https://www.investopedia.com/terms/r/returnoninvestment.asp" TargetMode="External"/><Relationship Id="rId39" Type="http://schemas.openxmlformats.org/officeDocument/2006/relationships/hyperlink" Target="https://doi.org/10.1080/14767333.2010.488323" TargetMode="External"/><Relationship Id="rId21" Type="http://schemas.openxmlformats.org/officeDocument/2006/relationships/hyperlink" Target="https://www.cipd.org/globalassets/media/comms/the-people-profession/profession-map-pdfs/full-standards-download-a4-updaterefreshnov2025.pdf" TargetMode="External"/><Relationship Id="rId34" Type="http://schemas.openxmlformats.org/officeDocument/2006/relationships/hyperlink" Target="https://www.cipd.org/uk/knowledge/factsheets/evaluating-learning-factsheet/" TargetMode="External"/><Relationship Id="rId42" Type="http://schemas.openxmlformats.org/officeDocument/2006/relationships/hyperlink" Target="https://ijbmer.com/docs/volumes/vol4issue6/ijbmer2013040601.pdf" TargetMode="External"/><Relationship Id="rId47" Type="http://schemas.openxmlformats.org/officeDocument/2006/relationships/hyperlink" Target="https://doi.org/10.1002/ntlf.30110" TargetMode="External"/><Relationship Id="rId50" Type="http://schemas.openxmlformats.org/officeDocument/2006/relationships/hyperlink" Target="https://www.researchgate.net/publication/260178378_The_Science_of_Training_and_Development_in_Organizations_What_Matters_in_Practice" TargetMode="External"/><Relationship Id="rId55" Type="http://schemas.openxmlformats.org/officeDocument/2006/relationships/hyperlink" Target="https://www.learntechlib.org/primary/p/27414/" TargetMode="Externa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www.peoplemanagement.co.uk/article/1807911/just-two-fifths-employers-conduct-annual-engagement-surveys-report-shows" TargetMode="External"/><Relationship Id="rId29" Type="http://schemas.openxmlformats.org/officeDocument/2006/relationships/hyperlink" Target="https://www.employment-studies.co.uk/system/files/resources/files/mp49.pdf" TargetMode="External"/><Relationship Id="rId11" Type="http://schemas.openxmlformats.org/officeDocument/2006/relationships/hyperlink" Target="https://www.researchgate.net/publication/373775939" TargetMode="External"/><Relationship Id="rId24" Type="http://schemas.openxmlformats.org/officeDocument/2006/relationships/hyperlink" Target="https://doi.org/10.1016/j.riob.2015.10.002" TargetMode="External"/><Relationship Id="rId32" Type="http://schemas.openxmlformats.org/officeDocument/2006/relationships/hyperlink" Target="https://doi.org/10.52783/rlj.v11i5s.963" TargetMode="External"/><Relationship Id="rId37" Type="http://schemas.openxmlformats.org/officeDocument/2006/relationships/hyperlink" Target="https://doi.org/10.19030/tlc.v8i12.6621" TargetMode="External"/><Relationship Id="rId40" Type="http://schemas.openxmlformats.org/officeDocument/2006/relationships/hyperlink" Target="https://www.cipd.org/globalassets/media/knowledge/knowledge-hub/reports/a-head-for-hiring_2015-behavioural-science-of-recruitment-and-selection_tcm18-9557.pdf" TargetMode="External"/><Relationship Id="rId45" Type="http://schemas.openxmlformats.org/officeDocument/2006/relationships/hyperlink" Target="https://doi.org/10.4103/0974-9233.129748" TargetMode="External"/><Relationship Id="rId53" Type="http://schemas.openxmlformats.org/officeDocument/2006/relationships/hyperlink" Target="https://doi.org/10.1016/j.emj.2021.06.003" TargetMode="External"/><Relationship Id="rId58" Type="http://schemas.openxmlformats.org/officeDocument/2006/relationships/hyperlink" Target="https://www.personneltoday.com/hr/evidence-based-learning-its-time-to-show-what-works/" TargetMode="External"/><Relationship Id="rId5" Type="http://schemas.openxmlformats.org/officeDocument/2006/relationships/image" Target="media/image1.emf"/><Relationship Id="rId61" Type="http://schemas.openxmlformats.org/officeDocument/2006/relationships/theme" Target="theme/theme1.xml"/><Relationship Id="rId19" Type="http://schemas.openxmlformats.org/officeDocument/2006/relationships/hyperlink" Target="https://www.cipd.org/uk/knowledge/factsheets/ethics-role-hr-factsheet/" TargetMode="External"/><Relationship Id="rId14" Type="http://schemas.openxmlformats.org/officeDocument/2006/relationships/hyperlink" Target="https://www.peoplemanagement.co.uk/article/1741217/masterclass-how-to-use-pulse-surveys-effectively" TargetMode="External"/><Relationship Id="rId22" Type="http://schemas.openxmlformats.org/officeDocument/2006/relationships/hyperlink" Target="https://www.cipd.org/globalassets/media/comms/the-people-profession/profession-map-pdfs/ethical-decision-making-2015-eight-perspectives-on-workplace-dilemmas_tcm29-9564.pdf" TargetMode="External"/><Relationship Id="rId27" Type="http://schemas.openxmlformats.org/officeDocument/2006/relationships/hyperlink" Target="https://doi.org/10.1017/bca.2021.9" TargetMode="External"/><Relationship Id="rId30" Type="http://schemas.openxmlformats.org/officeDocument/2006/relationships/hyperlink" Target="https://www.cipd.org/uk/views-and-insights/thought-leadership/insight/evidence-based-profession/" TargetMode="External"/><Relationship Id="rId35" Type="http://schemas.openxmlformats.org/officeDocument/2006/relationships/hyperlink" Target="https://www.cipd.org/uk/knowledge/factsheets/learning-needs-factsheet/" TargetMode="External"/><Relationship Id="rId43" Type="http://schemas.openxmlformats.org/officeDocument/2006/relationships/hyperlink" Target="https://doi.org/10.1007/s11002-023-09671-w" TargetMode="External"/><Relationship Id="rId48" Type="http://schemas.openxmlformats.org/officeDocument/2006/relationships/hyperlink" Target="http://dx.doi.org/10.6007/IJARBSS/v14-i2/20763" TargetMode="External"/><Relationship Id="rId56" Type="http://schemas.openxmlformats.org/officeDocument/2006/relationships/hyperlink" Target="https://doi.org/10.3998/ergo.7658" TargetMode="External"/><Relationship Id="rId8" Type="http://schemas.openxmlformats.org/officeDocument/2006/relationships/chart" Target="charts/chart2.xml"/><Relationship Id="rId51" Type="http://schemas.openxmlformats.org/officeDocument/2006/relationships/hyperlink" Target="https://doi.org/10.1111/j.1748-8583.2003.tb00082.x" TargetMode="External"/><Relationship Id="rId3" Type="http://schemas.openxmlformats.org/officeDocument/2006/relationships/settings" Target="settings.xml"/><Relationship Id="rId12" Type="http://schemas.openxmlformats.org/officeDocument/2006/relationships/hyperlink" Target="https://doi.org/10.56734/ijbms.v5n10a3" TargetMode="External"/><Relationship Id="rId17" Type="http://schemas.openxmlformats.org/officeDocument/2006/relationships/hyperlink" Target="https://www.cipd.org/uk/knowledge/podcasts/critical-thinking/" TargetMode="External"/><Relationship Id="rId25" Type="http://schemas.openxmlformats.org/officeDocument/2006/relationships/hyperlink" Target="https://doi.org/10.1186/s12909-025-07362-w" TargetMode="External"/><Relationship Id="rId33" Type="http://schemas.openxmlformats.org/officeDocument/2006/relationships/hyperlink" Target="https://peopledevelopmentmagazine.com/2023/11/08/six-thinking-hats" TargetMode="External"/><Relationship Id="rId38" Type="http://schemas.openxmlformats.org/officeDocument/2006/relationships/hyperlink" Target="https://ieeexplore.ieee.org/document/11113636" TargetMode="External"/><Relationship Id="rId46" Type="http://schemas.openxmlformats.org/officeDocument/2006/relationships/hyperlink" Target="https://www.cipd.org/en/views-and-insights/thought-leadership/insight/evolution-people-profession/" TargetMode="External"/><Relationship Id="rId59" Type="http://schemas.openxmlformats.org/officeDocument/2006/relationships/hyperlink" Target="https://doi.org/10.18646/2056.122.25-006" TargetMode="Externa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hdl.handle.net/10419/193492" TargetMode="External"/><Relationship Id="rId54" Type="http://schemas.openxmlformats.org/officeDocument/2006/relationships/hyperlink" Target="https://doi.org/10.5688/ajpe777155" TargetMode="External"/><Relationship Id="rId1" Type="http://schemas.openxmlformats.org/officeDocument/2006/relationships/numbering" Target="numbering.xml"/><Relationship Id="rId6" Type="http://schemas.openxmlformats.org/officeDocument/2006/relationships/package" Target="embeddings/Microsoft_Excel_Worksheet.xlsx"/><Relationship Id="rId15" Type="http://schemas.openxmlformats.org/officeDocument/2006/relationships/hyperlink" Target="https://www.employment-studies.co.uk/system/files/resources/files/479.pdf" TargetMode="External"/><Relationship Id="rId23" Type="http://schemas.openxmlformats.org/officeDocument/2006/relationships/hyperlink" Target="https://doi.org/10.5465/amp.2007.27895338" TargetMode="External"/><Relationship Id="rId28" Type="http://schemas.openxmlformats.org/officeDocument/2006/relationships/hyperlink" Target="https://doi.org/10.1108/IJOEM-04-2020-0364" TargetMode="External"/><Relationship Id="rId36" Type="http://schemas.openxmlformats.org/officeDocument/2006/relationships/hyperlink" Target="https://doi.org/10.59324/ejmeb.2025.2(3).05" TargetMode="External"/><Relationship Id="rId49" Type="http://schemas.openxmlformats.org/officeDocument/2006/relationships/hyperlink" Target="https://www.peoplemanagement.co.uk/article/1845833/considering-application-relevance-evidence-based-hr" TargetMode="External"/><Relationship Id="rId57" Type="http://schemas.openxmlformats.org/officeDocument/2006/relationships/hyperlink" Target="https://www.amazon.co.uk/s/ref=dp_byline_sr_book_2?ie=UTF8&amp;field-author=Patrick+Regn%C3%A9r&amp;text=Patrick+Regn%C3%A9r&amp;sort=relevancerank&amp;search-alias=books-uk" TargetMode="External"/><Relationship Id="rId10" Type="http://schemas.openxmlformats.org/officeDocument/2006/relationships/hyperlink" Target="https://www.peoplemanagement.co.uk/article/1906372/why-businesses-need-start-measuring-l-d-success" TargetMode="External"/><Relationship Id="rId31" Type="http://schemas.openxmlformats.org/officeDocument/2006/relationships/hyperlink" Target="https://doi.org/10.1016/j.hrmr.2017.06.001" TargetMode="External"/><Relationship Id="rId44" Type="http://schemas.openxmlformats.org/officeDocument/2006/relationships/hyperlink" Target="https://www.proquest.com/openview/e6b77ae81591916d308524d25d7a7e83/1.pdf?pq-origsite=gscholar&amp;cbl=47978" TargetMode="External"/><Relationship Id="rId52" Type="http://schemas.openxmlformats.org/officeDocument/2006/relationships/hyperlink" Target="https://doi.org/10.1080/02602930701772762"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Leavers as a % against total 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Sheet1!$B$2:$B$11</c:f>
              <c:numCache>
                <c:formatCode>General</c:formatCode>
                <c:ptCount val="10"/>
                <c:pt idx="0">
                  <c:v>23</c:v>
                </c:pt>
                <c:pt idx="1">
                  <c:v>27</c:v>
                </c:pt>
                <c:pt idx="2">
                  <c:v>13</c:v>
                </c:pt>
                <c:pt idx="3">
                  <c:v>50</c:v>
                </c:pt>
                <c:pt idx="4">
                  <c:v>27</c:v>
                </c:pt>
                <c:pt idx="5">
                  <c:v>23</c:v>
                </c:pt>
                <c:pt idx="6">
                  <c:v>50</c:v>
                </c:pt>
                <c:pt idx="7">
                  <c:v>33</c:v>
                </c:pt>
                <c:pt idx="8">
                  <c:v>25</c:v>
                </c:pt>
                <c:pt idx="9">
                  <c:v>25</c:v>
                </c:pt>
              </c:numCache>
            </c:numRef>
          </c:val>
          <c:extLst>
            <c:ext xmlns:c16="http://schemas.microsoft.com/office/drawing/2014/chart" uri="{C3380CC4-5D6E-409C-BE32-E72D297353CC}">
              <c16:uniqueId val="{00000000-0C17-4758-903B-C1686697250D}"/>
            </c:ext>
          </c:extLst>
        </c:ser>
        <c:dLbls>
          <c:showLegendKey val="0"/>
          <c:showVal val="0"/>
          <c:showCatName val="0"/>
          <c:showSerName val="0"/>
          <c:showPercent val="0"/>
          <c:showBubbleSize val="0"/>
        </c:dLbls>
        <c:gapWidth val="219"/>
        <c:overlap val="-27"/>
        <c:axId val="995626480"/>
        <c:axId val="995627312"/>
      </c:barChart>
      <c:catAx>
        <c:axId val="995626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5627312"/>
        <c:crosses val="autoZero"/>
        <c:auto val="1"/>
        <c:lblAlgn val="ctr"/>
        <c:lblOffset val="100"/>
        <c:noMultiLvlLbl val="0"/>
      </c:catAx>
      <c:valAx>
        <c:axId val="995627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5626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Vacancies as a % against total 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E2-4415-8BC3-F209E3C645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E2-4415-8BC3-F209E3C6459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E2-4415-8BC3-F209E3C6459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E2-4415-8BC3-F209E3C6459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0E2-4415-8BC3-F209E3C6459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0E2-4415-8BC3-F209E3C6459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0E2-4415-8BC3-F209E3C64599}"/>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20E2-4415-8BC3-F209E3C64599}"/>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20E2-4415-8BC3-F209E3C64599}"/>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20E2-4415-8BC3-F209E3C6459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Sheet1!$B$2:$B$11</c:f>
              <c:numCache>
                <c:formatCode>General</c:formatCode>
                <c:ptCount val="10"/>
                <c:pt idx="0">
                  <c:v>31</c:v>
                </c:pt>
                <c:pt idx="1">
                  <c:v>33</c:v>
                </c:pt>
                <c:pt idx="2">
                  <c:v>50</c:v>
                </c:pt>
                <c:pt idx="3">
                  <c:v>75</c:v>
                </c:pt>
                <c:pt idx="4">
                  <c:v>40</c:v>
                </c:pt>
                <c:pt idx="5">
                  <c:v>23</c:v>
                </c:pt>
                <c:pt idx="6">
                  <c:v>83</c:v>
                </c:pt>
                <c:pt idx="7">
                  <c:v>25</c:v>
                </c:pt>
                <c:pt idx="8">
                  <c:v>25</c:v>
                </c:pt>
                <c:pt idx="9">
                  <c:v>42</c:v>
                </c:pt>
              </c:numCache>
            </c:numRef>
          </c:val>
          <c:extLst>
            <c:ext xmlns:c16="http://schemas.microsoft.com/office/drawing/2014/chart" uri="{C3380CC4-5D6E-409C-BE32-E72D297353CC}">
              <c16:uniqueId val="{00000000-C76E-407D-8F12-BDE09EBC19B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Recruitment</a:t>
            </a:r>
            <a:r>
              <a:rPr lang="en-GB" baseline="0"/>
              <a:t> and Turnover across Departments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Leavers %</c:v>
                </c:pt>
              </c:strCache>
            </c:strRef>
          </c:tx>
          <c:spPr>
            <a:ln w="28575" cap="rnd">
              <a:solidFill>
                <a:schemeClr val="accent1"/>
              </a:solidFill>
              <a:round/>
            </a:ln>
            <a:effectLst/>
          </c:spPr>
          <c:marker>
            <c:symbol val="none"/>
          </c:marker>
          <c:cat>
            <c:strRef>
              <c:f>Sheet1!$A$2:$A$11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Sheet1!$B$2:$B$11</c:f>
              <c:numCache>
                <c:formatCode>General</c:formatCode>
                <c:ptCount val="10"/>
                <c:pt idx="0">
                  <c:v>23</c:v>
                </c:pt>
                <c:pt idx="1">
                  <c:v>27</c:v>
                </c:pt>
                <c:pt idx="2">
                  <c:v>13</c:v>
                </c:pt>
                <c:pt idx="3">
                  <c:v>50</c:v>
                </c:pt>
                <c:pt idx="4">
                  <c:v>27</c:v>
                </c:pt>
                <c:pt idx="5">
                  <c:v>23</c:v>
                </c:pt>
                <c:pt idx="6">
                  <c:v>50</c:v>
                </c:pt>
                <c:pt idx="7">
                  <c:v>33</c:v>
                </c:pt>
                <c:pt idx="8">
                  <c:v>25</c:v>
                </c:pt>
                <c:pt idx="9">
                  <c:v>25</c:v>
                </c:pt>
              </c:numCache>
            </c:numRef>
          </c:val>
          <c:smooth val="0"/>
          <c:extLst>
            <c:ext xmlns:c16="http://schemas.microsoft.com/office/drawing/2014/chart" uri="{C3380CC4-5D6E-409C-BE32-E72D297353CC}">
              <c16:uniqueId val="{00000000-EBDC-4120-A1F4-EE0E1E2F40AC}"/>
            </c:ext>
          </c:extLst>
        </c:ser>
        <c:ser>
          <c:idx val="1"/>
          <c:order val="1"/>
          <c:tx>
            <c:strRef>
              <c:f>Sheet1!$C$1</c:f>
              <c:strCache>
                <c:ptCount val="1"/>
                <c:pt idx="0">
                  <c:v>Vacancies %</c:v>
                </c:pt>
              </c:strCache>
            </c:strRef>
          </c:tx>
          <c:spPr>
            <a:ln w="28575" cap="rnd">
              <a:solidFill>
                <a:schemeClr val="accent2"/>
              </a:solidFill>
              <a:round/>
            </a:ln>
            <a:effectLst/>
          </c:spPr>
          <c:marker>
            <c:symbol val="none"/>
          </c:marker>
          <c:cat>
            <c:strRef>
              <c:f>Sheet1!$A$2:$A$11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Sheet1!$C$2:$C$11</c:f>
              <c:numCache>
                <c:formatCode>General</c:formatCode>
                <c:ptCount val="10"/>
                <c:pt idx="0">
                  <c:v>31</c:v>
                </c:pt>
                <c:pt idx="1">
                  <c:v>33</c:v>
                </c:pt>
                <c:pt idx="2">
                  <c:v>50</c:v>
                </c:pt>
                <c:pt idx="3">
                  <c:v>75</c:v>
                </c:pt>
                <c:pt idx="4">
                  <c:v>40</c:v>
                </c:pt>
                <c:pt idx="5">
                  <c:v>23</c:v>
                </c:pt>
                <c:pt idx="6">
                  <c:v>83</c:v>
                </c:pt>
                <c:pt idx="7">
                  <c:v>25</c:v>
                </c:pt>
                <c:pt idx="8">
                  <c:v>25</c:v>
                </c:pt>
                <c:pt idx="9">
                  <c:v>42</c:v>
                </c:pt>
              </c:numCache>
            </c:numRef>
          </c:val>
          <c:smooth val="0"/>
          <c:extLst>
            <c:ext xmlns:c16="http://schemas.microsoft.com/office/drawing/2014/chart" uri="{C3380CC4-5D6E-409C-BE32-E72D297353CC}">
              <c16:uniqueId val="{00000001-EBDC-4120-A1F4-EE0E1E2F40AC}"/>
            </c:ext>
          </c:extLst>
        </c:ser>
        <c:ser>
          <c:idx val="2"/>
          <c:order val="2"/>
          <c:tx>
            <c:strRef>
              <c:f>Sheet1!$D$1</c:f>
              <c:strCache>
                <c:ptCount val="1"/>
                <c:pt idx="0">
                  <c:v>Filled %</c:v>
                </c:pt>
              </c:strCache>
            </c:strRef>
          </c:tx>
          <c:spPr>
            <a:ln w="28575" cap="rnd">
              <a:solidFill>
                <a:schemeClr val="accent3"/>
              </a:solidFill>
              <a:round/>
            </a:ln>
            <a:effectLst/>
          </c:spPr>
          <c:marker>
            <c:symbol val="none"/>
          </c:marker>
          <c:cat>
            <c:strRef>
              <c:f>Sheet1!$A$2:$A$11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Sheet1!$D$2:$D$11</c:f>
              <c:numCache>
                <c:formatCode>General</c:formatCode>
                <c:ptCount val="10"/>
                <c:pt idx="0">
                  <c:v>12</c:v>
                </c:pt>
                <c:pt idx="1">
                  <c:v>33</c:v>
                </c:pt>
                <c:pt idx="2">
                  <c:v>50</c:v>
                </c:pt>
                <c:pt idx="3">
                  <c:v>75</c:v>
                </c:pt>
                <c:pt idx="4">
                  <c:v>40</c:v>
                </c:pt>
                <c:pt idx="5">
                  <c:v>9</c:v>
                </c:pt>
                <c:pt idx="6">
                  <c:v>33</c:v>
                </c:pt>
                <c:pt idx="7">
                  <c:v>25</c:v>
                </c:pt>
                <c:pt idx="8">
                  <c:v>23</c:v>
                </c:pt>
                <c:pt idx="9">
                  <c:v>17</c:v>
                </c:pt>
              </c:numCache>
            </c:numRef>
          </c:val>
          <c:smooth val="0"/>
          <c:extLst>
            <c:ext xmlns:c16="http://schemas.microsoft.com/office/drawing/2014/chart" uri="{C3380CC4-5D6E-409C-BE32-E72D297353CC}">
              <c16:uniqueId val="{00000002-EBDC-4120-A1F4-EE0E1E2F40AC}"/>
            </c:ext>
          </c:extLst>
        </c:ser>
        <c:dLbls>
          <c:showLegendKey val="0"/>
          <c:showVal val="0"/>
          <c:showCatName val="0"/>
          <c:showSerName val="0"/>
          <c:showPercent val="0"/>
          <c:showBubbleSize val="0"/>
        </c:dLbls>
        <c:smooth val="0"/>
        <c:axId val="1352622272"/>
        <c:axId val="1352620608"/>
      </c:lineChart>
      <c:catAx>
        <c:axId val="1352622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2620608"/>
        <c:crosses val="autoZero"/>
        <c:auto val="1"/>
        <c:lblAlgn val="ctr"/>
        <c:lblOffset val="100"/>
        <c:noMultiLvlLbl val="0"/>
      </c:catAx>
      <c:valAx>
        <c:axId val="1352620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262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10531</TotalTime>
  <Pages>1</Pages>
  <Words>6870</Words>
  <Characters>39162</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184</cp:revision>
  <dcterms:created xsi:type="dcterms:W3CDTF">2025-12-30T13:26:00Z</dcterms:created>
  <dcterms:modified xsi:type="dcterms:W3CDTF">2026-01-25T12:01:00Z</dcterms:modified>
</cp:coreProperties>
</file>