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C63507">
      <w:r>
        <w:t>Ffion Grant</w:t>
      </w:r>
    </w:p>
    <w:p w:rsidR="007E4409" w:rsidRDefault="00C63507">
      <w:r>
        <w:t>PC 6722</w:t>
      </w:r>
      <w:r w:rsidR="00E41B08">
        <w:t xml:space="preserve"> - </w:t>
      </w:r>
      <w:r w:rsidR="007E4409">
        <w:t>South Wales Police</w:t>
      </w:r>
    </w:p>
    <w:p w:rsidR="008C4C08" w:rsidRDefault="007E4409">
      <w:r>
        <w:t xml:space="preserve">Student Number: </w:t>
      </w:r>
      <w:r w:rsidR="00C63507">
        <w:t>1922466</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8C4C08">
      <w:r>
        <w:t>Section 9 1(a) of the Theft Act 1968 states that if a person enters a building or part of a building as a trespasser with intent to:</w:t>
      </w:r>
    </w:p>
    <w:p w:rsidR="008C4C08" w:rsidRDefault="008C4C08">
      <w:r>
        <w:t>Steal anything therein or</w:t>
      </w:r>
    </w:p>
    <w:p w:rsidR="008C4C08" w:rsidRDefault="008C4C08">
      <w:r>
        <w:t xml:space="preserve">Inflict grievous bodily harm on anyone therein or </w:t>
      </w:r>
    </w:p>
    <w:p w:rsidR="008C4C08" w:rsidRDefault="008C4C08">
      <w:r>
        <w:t>Damage any property therein,</w:t>
      </w:r>
    </w:p>
    <w:p w:rsidR="008C4C08" w:rsidRDefault="008C4C08">
      <w:r>
        <w:t>then they shall be g</w:t>
      </w:r>
      <w:r w:rsidR="00BD4660">
        <w:t>uilty of an offence of burglary contrary to section 9 1(a) of the Theft Act 1968.</w:t>
      </w:r>
    </w:p>
    <w:p w:rsidR="00682F3B" w:rsidRDefault="00682F3B"/>
    <w:p w:rsidR="00682F3B" w:rsidRDefault="00682F3B">
      <w:r>
        <w:t>Question 2</w:t>
      </w:r>
    </w:p>
    <w:p w:rsidR="00682F3B" w:rsidRDefault="0079402C">
      <w:r>
        <w:t xml:space="preserve">It is good practice when dealing with any situation to apply the national decision making model as this will aid the officer. When arriving at a scene an officer should first gather information and intelligence. This could be from a variety of sources including the control room, PNC, victim and witness information and also information they are gathering via their first hand observations. </w:t>
      </w:r>
      <w:r w:rsidR="005E3D0E">
        <w:t>Secondly, using this information the officer must assess the situation. That is assess the risk and the threat they view in front of them. An officer will conduct a static risk assessment i.e. risk factors which are present and will not change during the course of the incident. Secondly, the officer will conduct a dynamic risk assessment i.e. a continual risk assessment based on factors which have the potential to change during the course of the incident. An officer may prioritise their duties by firstly attending to any persons who may need protection or medical assistance. It is important to remember than as an officer their first and foremost duty is the preservation of life. At this stage, the officer should consider what, if any, additional support is needed and what resources are available to the officer at that time. Following this, the officer should communicate. This could include communicating via radio to the control room to receive additional response units, medical assistance or assistance of specialist units depending on the circumstances. The officer should clearly communicate to the surrounding public e.g. instructions for their own health and safety. Furthermore, it is vital that the officer demonstrates good communication between them and their colleagues if present. This is crucial for the officer’s personal safety, their colleague’s safety and the safety of the public.</w:t>
      </w:r>
    </w:p>
    <w:p w:rsidR="00682F3B" w:rsidRDefault="00682F3B"/>
    <w:p w:rsidR="00682F3B" w:rsidRDefault="00682F3B" w:rsidP="00682F3B">
      <w:r>
        <w:t>Question 3</w:t>
      </w:r>
    </w:p>
    <w:p w:rsidR="000D0141" w:rsidRDefault="000D0141">
      <w:r>
        <w:t xml:space="preserve">The ‘Golden Hour’ is used to refer to the hour immediately following the commission of an offence. At this stage there is an abundance of evidence available for collection. If evidence is secured, preserved and collected correctly and efficiently at this stage this could enhance the efficiency of the investigation immensely. It is important to consider the following when arriving at a scene. </w:t>
      </w:r>
      <w:r w:rsidR="009A0747">
        <w:t xml:space="preserve">The area </w:t>
      </w:r>
      <w:r w:rsidR="009A0747">
        <w:lastRenderedPageBreak/>
        <w:t>should be cordoned off to prevent cross-contamination from members of the public. A direct route in and out should be clearly established, again to prevent cross-contamination and the destruction of evidence. Contacting your local crime investigation unit should be considered and follow any advice they provide. The c</w:t>
      </w:r>
      <w:r>
        <w:t>ollection of any perishable evidence</w:t>
      </w:r>
      <w:r w:rsidR="009A0747">
        <w:t xml:space="preserve"> should be done as soon as is reasonably practicable</w:t>
      </w:r>
      <w:r>
        <w:t xml:space="preserve"> e.g. footprints or DNA.</w:t>
      </w:r>
      <w:r w:rsidR="009A0747">
        <w:t xml:space="preserve"> If collection is not possible then all efforts to protect evidence should be made e.g. covering footprints with a plastic box to protect from rain.</w:t>
      </w:r>
      <w:r>
        <w:t xml:space="preserve"> The fact the offender may still be present at the scene. If so the officer must detain the offender as soon as is reasonably practicable and search for any evidence that the offender might have on them. For example, it may be likely the offender has a weapon or DNA on their clothing. </w:t>
      </w:r>
      <w:r w:rsidR="00FD7860">
        <w:t>Moreo</w:t>
      </w:r>
      <w:r w:rsidR="00202AB5">
        <w:t>ver, it is important to collect statements from victims, witnesses and third parties as soon as possible. This includes going around the local area and questioning people from house to house (or if in another location such as a shopping centre, the local businesses). This is crucial because as time progresses the memories of victims, witnesses and third parties worsen and the likelihood of obtaining accurate information diminishes.</w:t>
      </w:r>
    </w:p>
    <w:p w:rsidR="00682F3B" w:rsidRDefault="00682F3B"/>
    <w:p w:rsidR="00682F3B" w:rsidRDefault="00682F3B" w:rsidP="00682F3B">
      <w:r>
        <w:t>Question 4</w:t>
      </w:r>
    </w:p>
    <w:p w:rsidR="00682F3B" w:rsidRDefault="004C51F7">
      <w:r>
        <w:t>Section 8 (1) of the Theft Act 1968 states that if any person</w:t>
      </w:r>
    </w:p>
    <w:p w:rsidR="004C51F7" w:rsidRDefault="000D0141">
      <w:r>
        <w:t>Steals and a</w:t>
      </w:r>
      <w:r w:rsidR="004C51F7">
        <w:t>t the time of doing so or  immediately before doing so and in order to do so uses force on another or puts someone in fear of being then and there subjected to force then they shall be guilty of the offence of robbery contrary to section 8 (1) of the Theft Act 1968.</w:t>
      </w:r>
    </w:p>
    <w:p w:rsidR="00682F3B" w:rsidRDefault="00682F3B"/>
    <w:p w:rsidR="00682F3B" w:rsidRDefault="00682F3B" w:rsidP="00682F3B">
      <w:r>
        <w:t>Question 5</w:t>
      </w:r>
    </w:p>
    <w:p w:rsidR="007E7400" w:rsidRDefault="007E7400" w:rsidP="00682F3B">
      <w:r>
        <w:t>Discrimination is treating another less favourably due to their personal characteristics e.g. race, religion, belief, sexual orientation, disability or transgender status. The Equality Act 2010 states that no person should be discriminated against due to their personal characteristics. The difference between discretion and discrimination is that discretion allows a police officer to decide what actions are appropriate in the circumstances e.g. to arrest, caution or issue a PND. In contrast to this discrimination is to decide a less favourable option for someone, not because it is necessarily the most effective and justifiable thing to do in the circumstance, based on their personal characteristics or presumed personal characteristics. To avoid this a police officer must always apply objective and professional judgement in all circumstances. For example, two people of differing personal characteristics should be treated equally regardless of their personal characteristics.</w:t>
      </w:r>
      <w:r w:rsidR="00C06C44">
        <w:t xml:space="preserve"> To avoid professional discrimination being perceived as discriminatory a police officer’s actions should be consistent and they should be able to reasonably justify their actions.</w:t>
      </w:r>
    </w:p>
    <w:p w:rsidR="00682F3B" w:rsidRDefault="00682F3B"/>
    <w:p w:rsidR="00682F3B" w:rsidRDefault="00682F3B"/>
    <w:p w:rsidR="00682F3B" w:rsidRDefault="00682F3B" w:rsidP="00682F3B">
      <w:r>
        <w:t>Question 6</w:t>
      </w:r>
    </w:p>
    <w:p w:rsidR="004C51F7" w:rsidRDefault="004C51F7">
      <w:r>
        <w:t>When a statutory offence has been committed a constable may arrest someone without a warrant if he/she is either:</w:t>
      </w:r>
    </w:p>
    <w:p w:rsidR="004C51F7" w:rsidRDefault="004C51F7">
      <w:r>
        <w:t xml:space="preserve">Guilty of the commission of an offence or </w:t>
      </w:r>
    </w:p>
    <w:p w:rsidR="004C51F7" w:rsidRDefault="004C51F7">
      <w:r>
        <w:lastRenderedPageBreak/>
        <w:t>The constable suspects that they are guilty of an offence</w:t>
      </w:r>
    </w:p>
    <w:p w:rsidR="004C51F7" w:rsidRDefault="004C51F7">
      <w:r>
        <w:t>This is contrary to Section 24 (3) of the Police and Criminal Evidence Act 1968</w:t>
      </w:r>
    </w:p>
    <w:p w:rsidR="00682F3B" w:rsidRDefault="00682F3B"/>
    <w:p w:rsidR="00682F3B" w:rsidRDefault="00682F3B" w:rsidP="00682F3B">
      <w:r>
        <w:t>Question 7</w:t>
      </w:r>
    </w:p>
    <w:p w:rsidR="00682F3B" w:rsidRDefault="004C51F7">
      <w:r>
        <w:t>Code G covers the statutory powers of arrest. It states that a constable must have reasonable grounds for arrest and believe the arrest is necessary for one or more of the following:</w:t>
      </w:r>
    </w:p>
    <w:p w:rsidR="004C51F7" w:rsidRDefault="004C51F7">
      <w:r>
        <w:t>To ensure a prompt and effective investigation, to prevent the disappearance of the offender, to protect a child or other vulnerable person from harm, to prevent obstruction of the highway, to prevent public indecency, prevent further loss or damage to property, to prevent physical harm to the offender or other person, to obtain the offender’s name and to obtain the offender’s address.</w:t>
      </w:r>
    </w:p>
    <w:p w:rsidR="00682F3B" w:rsidRDefault="00682F3B"/>
    <w:p w:rsidR="00682F3B" w:rsidRDefault="00682F3B" w:rsidP="00682F3B">
      <w:r>
        <w:t>Question 8</w:t>
      </w:r>
    </w:p>
    <w:p w:rsidR="00682F3B" w:rsidRDefault="004C51F7">
      <w:r>
        <w:t xml:space="preserve">Police officers rely upon Section 117 of the Police and Criminal Evidence Act when dealing with conflict and the use of force. This legislation states that a constable may use force in the circumstances if reasonable if it is deemed necessary. </w:t>
      </w:r>
    </w:p>
    <w:p w:rsidR="00682F3B" w:rsidRDefault="00682F3B"/>
    <w:p w:rsidR="00682F3B" w:rsidRDefault="00682F3B" w:rsidP="00682F3B">
      <w:r>
        <w:t>Question 9</w:t>
      </w:r>
    </w:p>
    <w:p w:rsidR="00682F3B" w:rsidRDefault="00CE6594">
      <w:r>
        <w:t>Why they are under arrest and for what offence, grounds for arrest, the ‘when caution’, the necessity for thei</w:t>
      </w:r>
      <w:r w:rsidR="00CA46F0">
        <w:t>r arrest, that they are under arrest</w:t>
      </w:r>
      <w:r>
        <w:t xml:space="preserve"> and the time of arrest. </w:t>
      </w:r>
    </w:p>
    <w:p w:rsidR="00682F3B" w:rsidRDefault="00682F3B"/>
    <w:p w:rsidR="00682F3B" w:rsidRDefault="00682F3B" w:rsidP="00682F3B">
      <w:r>
        <w:t>Question 10</w:t>
      </w:r>
    </w:p>
    <w:p w:rsidR="00682F3B" w:rsidRDefault="00D81FCF">
      <w:r>
        <w:t>The national decision model consists of 6 elements. Firstly, is gathering information and intelligence. This is a crucial stage as it the quality of information and intelligence gathered at this stage can impact the efficiency of the investigation. Sources should be carefully considered. A variety of sources may be used e.g. PNC, control room, victims, witnesses, third parties and forensic evidence. The second stage, which is heavily reliant on the first stage, is assessing threat and risk and developing a working strategy. In this stage we must conduct dynamic risk assessments (i.e. a risk assessment which is ongoing and may change during the incident) and a static risk assessment (i.e. risks that are there for the entirety of the incident). This stage we may consider impact factors e.g. people, objects or places which increase or decrease or risk assessment. Moreover, we may consider the offender behaviour. The third stage is considering powers and policies. This stage is crucial as it can help us understand, but not limited to, has a person committed an offence and what are my powers or arrest.</w:t>
      </w:r>
      <w:r w:rsidR="00AB6505">
        <w:t xml:space="preserve"> The fourth stage is options and contingencies. We must decide given the analysis that we have conducted and through considering our powers and policies what options and contingencies do I have. For example, it may lead an officer to the conclusion that they should arrest and individual. Moreover, it could provide lines of enquiries for a criminal investigation. The final stage of the model is assessing and reviewing. This stage obliges the officer to conduct an assessment of their actions. They may consider things that went positively or negatively. In addition, they may consider how to improve for next time or share their findings with other officers.</w:t>
      </w:r>
    </w:p>
    <w:p w:rsidR="00AB6505" w:rsidRDefault="00AB6505">
      <w:r>
        <w:lastRenderedPageBreak/>
        <w:t>In the core of the national decision mode is the code of ethics. It is important when conducting each stage that the officer is reminded of the core competencies and values contained in the code of ethics and ensure they adhere to them at all stages.</w:t>
      </w:r>
    </w:p>
    <w:p w:rsidR="00682F3B" w:rsidRDefault="00682F3B"/>
    <w:p w:rsidR="00682F3B" w:rsidRDefault="00682F3B" w:rsidP="00682F3B">
      <w:r>
        <w:t>Question 11</w:t>
      </w:r>
    </w:p>
    <w:p w:rsidR="00682F3B" w:rsidRDefault="008E34D5">
      <w:r>
        <w:t>Section 17 of the police and criminal evidence act states and officer may enter and search a premises if he/she has reasonable grounds to suspect they need to save life and limb, to execute a warrant, to capture a person lawfully at large or to arrest for an indictable offence.</w:t>
      </w:r>
      <w:r w:rsidR="00CA46F0">
        <w:t xml:space="preserve"> </w:t>
      </w:r>
    </w:p>
    <w:p w:rsidR="00682F3B" w:rsidRDefault="00682F3B"/>
    <w:p w:rsidR="00682F3B" w:rsidRDefault="00682F3B" w:rsidP="00682F3B">
      <w:r>
        <w:t>Question 12</w:t>
      </w:r>
    </w:p>
    <w:p w:rsidR="00682F3B" w:rsidRDefault="00340A22">
      <w:r>
        <w:t xml:space="preserve">Dependant on the court a jury may apply one of two tests of dishonesty. Traditionally courts used the ‘Ghosh’ test of dishonesty. This looks at the objective stance of what a standard, ordinary person would agree is dishonest. If deemed dishonest, the jury would then consider given what the defendant knew and believed at the time if their actions were dishonest. </w:t>
      </w:r>
    </w:p>
    <w:p w:rsidR="00340A22" w:rsidRDefault="00340A22">
      <w:r>
        <w:t xml:space="preserve">Recently it was ruled in court that the ‘Ivey Formulation’ is also an appropriate test of dishonesty. </w:t>
      </w:r>
      <w:r w:rsidR="00C32D99">
        <w:t xml:space="preserve">This test reverses the Ghosh test of dishonesty and looks firstly at the subjective reasoning of the defendant i.e. what was his/her knowledge or beliefs at the time of the occurrence. After this, the jury will consider if by an ordinary person’s standards of dishonesty, if this act was in fact dishonest or not. </w:t>
      </w:r>
    </w:p>
    <w:p w:rsidR="00151605" w:rsidRDefault="00151605"/>
    <w:p w:rsidR="00151605" w:rsidRDefault="00151605">
      <w:r>
        <w:t>Originally, before the ruling of the Ivey formulation, it was thought that the Ghosh test of dishonesty was the upheld standard. However, a court may decide which to use. They now may use either the Ghosh test or Ivey test.</w:t>
      </w:r>
    </w:p>
    <w:p w:rsidR="00682F3B" w:rsidRDefault="00682F3B"/>
    <w:p w:rsidR="00682F3B" w:rsidRDefault="00682F3B" w:rsidP="00682F3B">
      <w:r>
        <w:t>Question 13</w:t>
      </w:r>
    </w:p>
    <w:p w:rsidR="008E34D5" w:rsidRDefault="008E34D5">
      <w:r>
        <w:t xml:space="preserve">Call handlers use codes to consider the threat level. </w:t>
      </w:r>
      <w:r w:rsidR="00CA46F0">
        <w:t xml:space="preserve">It begins at 1 and ends at 5. 1 is considered the most urgent and serious and 5 is considered the least urgent. They grade the calls based on the information they receive and conduct a threat and risk assessment. </w:t>
      </w:r>
      <w:r>
        <w:t xml:space="preserve">A ‘G1’ is an emergency call which needs to be attended within 15 minutes. A ‘G2’ is a less urgent call which needs to be attended within an hour. A ‘G3’ is a visit which </w:t>
      </w:r>
      <w:r w:rsidR="00EE2A67">
        <w:t>needs to be conducted within a</w:t>
      </w:r>
      <w:r>
        <w:t xml:space="preserve"> day. A ‘G4’ is a call which may be dealt with remotely or with a visit.</w:t>
      </w:r>
      <w:r w:rsidR="006C3884">
        <w:t xml:space="preserve"> A ‘G5’ is the least urgent of all.</w:t>
      </w:r>
    </w:p>
    <w:p w:rsidR="00682F3B" w:rsidRDefault="00682F3B"/>
    <w:p w:rsidR="00682F3B" w:rsidRDefault="00682F3B" w:rsidP="00682F3B">
      <w:r>
        <w:t>Question 14</w:t>
      </w:r>
    </w:p>
    <w:p w:rsidR="002225A6" w:rsidRDefault="002225A6" w:rsidP="00682F3B">
      <w:r>
        <w:t>Vulnerable means an individual or group of individuals who may not be competent to look after their own interests and need some form of protection. A vulnerability may be physical or mental. For example, an elderly person may be vulnerable due to age due to the decrease of muscle mass and the lack of ability to physically defend themselves from an attack. On the other hand a child may be mentally vulnerable as their brain has not sufficiently developed to comprehend or understand certain things leaving them vulnerable.</w:t>
      </w:r>
    </w:p>
    <w:p w:rsidR="00682F3B" w:rsidRDefault="00682F3B"/>
    <w:p w:rsidR="00682F3B" w:rsidRDefault="00682F3B"/>
    <w:p w:rsidR="00682F3B" w:rsidRDefault="00682F3B" w:rsidP="00682F3B">
      <w:r>
        <w:t>Question 15</w:t>
      </w:r>
    </w:p>
    <w:p w:rsidR="00682F3B" w:rsidRDefault="0026706E">
      <w:r>
        <w:t>Anti-social behaviour is described as behaviour which can cause harassment, alarm or distress.</w:t>
      </w:r>
      <w:r w:rsidR="00CA46F0">
        <w:t xml:space="preserve"> This usually impacts on the local community and their members.</w:t>
      </w:r>
      <w:r>
        <w:t xml:space="preserve"> </w:t>
      </w:r>
      <w:r w:rsidR="006C3884">
        <w:t>This can include situations such as being drunk and disorderly, public order offences, graffiti, littering</w:t>
      </w:r>
      <w:r w:rsidR="00CA46F0">
        <w:t>, loitering</w:t>
      </w:r>
      <w:r w:rsidR="006C3884">
        <w:t xml:space="preserve"> or not obeying a public spaces protection order. </w:t>
      </w:r>
      <w:r w:rsidR="00CE6594">
        <w:t>This may also occur within a dwelling so long as it effects the other residents.</w:t>
      </w:r>
    </w:p>
    <w:p w:rsidR="00682F3B" w:rsidRDefault="00682F3B"/>
    <w:p w:rsidR="00682F3B" w:rsidRDefault="00682F3B" w:rsidP="00682F3B">
      <w:r>
        <w:t>Question 16</w:t>
      </w:r>
    </w:p>
    <w:p w:rsidR="00682F3B" w:rsidRDefault="0026706E">
      <w:r>
        <w:t xml:space="preserve">The powers conferred under section 35 of the Anti-Social Behaviour, Crime and Policing Act 2014 is known as a dispersal power. This means that a constable, with authorisation from an inspector or above, may issue to an individual who is demonstrating anti-social actions and behaviours a dispersal order. This orders that individual to leave a specific area (usually marked out and shown on a map) for a 24 hours. The purpose of this power is to reduce the levels of anti-social behaviour in a specific area. </w:t>
      </w:r>
    </w:p>
    <w:p w:rsidR="00682F3B" w:rsidRDefault="00682F3B"/>
    <w:p w:rsidR="00682F3B" w:rsidRDefault="00682F3B" w:rsidP="00682F3B">
      <w:r>
        <w:t>Question 17</w:t>
      </w:r>
    </w:p>
    <w:p w:rsidR="00682F3B" w:rsidRDefault="0026706E">
      <w:r>
        <w:t>The routine activity theory developed by Cohen and Felson defines three minimal elements needed for a crime to occur. This is a shift from traditional criminology and looks at how crimes occur across time and space. The three elements involved are: a likely offender, a target/victim and the absence of a capable guardian. Using the ‘OSARA’ problem solving method, it can be used during the first ‘A’ stage i.e. analysis. The routine activity theory can be used to understand why crimes occur within a specific location or to a specific target. It allows us to consider the routine activity theories of society and alter them to produce less opportunity for crime. For example, it might highlight the absence of a suitable guardian and therefore, crime prevention techniques may need to be considered. Moreover, a specific victim by be repeatedly targeted, highlighting the need for that vulnerable repeat victim to be protected.</w:t>
      </w:r>
    </w:p>
    <w:p w:rsidR="00682F3B" w:rsidRDefault="00682F3B"/>
    <w:p w:rsidR="00682F3B" w:rsidRDefault="00682F3B" w:rsidP="00682F3B">
      <w:r>
        <w:t>Question 18</w:t>
      </w:r>
    </w:p>
    <w:p w:rsidR="00682F3B" w:rsidRDefault="00E12087">
      <w:r>
        <w:t xml:space="preserve">Evidence based policing involves using accurate and established evidence to inform the direction of investigations and to amend and create further legislation and inform strategies. </w:t>
      </w:r>
    </w:p>
    <w:p w:rsidR="00E12087" w:rsidRDefault="00E12087">
      <w:r>
        <w:t>The evidence based policing approach is crucial as it aids the police in effectively targeting resources. For example, if evidence can show the grouping of organised crime then resources and go towards targeting the weakest points of the organised crime to eradicate it. This is important as resources become strained it is important they are targeted effectively to achieve the most efficient outcome.</w:t>
      </w:r>
    </w:p>
    <w:p w:rsidR="00E12087" w:rsidRDefault="00E12087">
      <w:r>
        <w:t>Evidence based policing information and intelligence may also come from the public and local communities. Therefore, a neighbourhood policing approach is important to gather information from local communities which may lead to further arrests or information on local crime gangs.</w:t>
      </w:r>
    </w:p>
    <w:p w:rsidR="00E12087" w:rsidRDefault="00E12087">
      <w:r>
        <w:lastRenderedPageBreak/>
        <w:t>Moreover, evidence based policing is an important tool as it aids us to work with other forces and organisations. This has an exponential effect on the rate of evidence that is available. In turn this increases accuracy and adequacy of intelligence and improves the effectiveness of investigations.</w:t>
      </w:r>
    </w:p>
    <w:p w:rsidR="00682F3B" w:rsidRDefault="00682F3B"/>
    <w:p w:rsidR="00682F3B" w:rsidRDefault="00682F3B" w:rsidP="00682F3B">
      <w:r>
        <w:t>Question 19</w:t>
      </w:r>
    </w:p>
    <w:p w:rsidR="00682F3B" w:rsidRDefault="00AD6E75">
      <w:r>
        <w:t>The problem solving model ‘OSARA’ may be used to analyse and solve crimes. The first stage is objective. This is establishing what is the issue at hand which needs to be solved and how will we do this. It is important at this stage that our objective is ‘SMART’ i.e. it’s specific, measurable, achievable, relevant and timely. If our objective meets this criteria then it is easier to assess if the outcomes are effective. The second stage is scanning. This is gathering information and intelligence. This stage is crucial and is will help to form our strategy. A variety of sources may be used including the police national computer, victims, witnesses, other organisations and community information. The third stage is analysis. This is where all the information and intelligence gathered is assessed and perhaps categorised using the 3 x 5 x 2 intelligence model. At this stage we may consider other crime models. For example, we may use the Routine Activity Theory to consider what 3 elements present are leading to our crime occurring. If, for example, there is an absence of a suitable guardian we may consider dealing with this by putting features in place e.g. CCTV or security guards. More over the Rational Choice Theory may aid us in explaining why criminals commit the crime we are analysing. For example, is the crime appealing to them and is the benefit appearing better than the cost. Again, we may consider strategies to tackle this such as the 25 crime prevention techniques. The next stage of the model is result. At this stage we may refer back to our objective and consider has it been met, was it done in a timely manner and has the crime rate fallen. The final stage is assessment. This is where we review our actions to solve the crime and consider if they were efficient, positive or negative. We may consider sharing and disseminating our findings to that other forces and colleague may learn from our actions. Moreover, this affords to opportunity to receive feedback and improve. It will aid in tackling a similar crime in the future.</w:t>
      </w:r>
    </w:p>
    <w:p w:rsidR="00AD6E75" w:rsidRDefault="00AD6E75">
      <w:r>
        <w:t xml:space="preserve">The problem analysis triangle may aid in understanding the relationship between the offender, the location and the victim. We may consider if there is a way we may alter the relationship between these 3 factors to reduce crime. </w:t>
      </w:r>
    </w:p>
    <w:p w:rsidR="00682F3B" w:rsidRDefault="00682F3B"/>
    <w:p w:rsidR="00682F3B" w:rsidRDefault="00682F3B" w:rsidP="00682F3B">
      <w:r>
        <w:t>Question 20</w:t>
      </w:r>
    </w:p>
    <w:p w:rsidR="00682F3B" w:rsidRDefault="00AD6E75">
      <w:r>
        <w:t xml:space="preserve">Critical incidents are situations of anti-social behaviour </w:t>
      </w:r>
      <w:r w:rsidR="006B344C">
        <w:t>where</w:t>
      </w:r>
      <w:r w:rsidR="004B1F96">
        <w:t xml:space="preserve"> it is reoccurring</w:t>
      </w:r>
      <w:r w:rsidR="00357E85">
        <w:t xml:space="preserve"> and it is a persistent issue for the community or a specific individual</w:t>
      </w:r>
      <w:r w:rsidR="004B1F96">
        <w:t>.</w:t>
      </w:r>
      <w:r w:rsidR="001A22BD">
        <w:t xml:space="preserve"> For example this may be incidents on 3 separate occasions within the space of 6 months. </w:t>
      </w:r>
      <w:r w:rsidR="00357E85">
        <w:t>This could be where serious distress is cause</w:t>
      </w:r>
      <w:r w:rsidR="007774A3">
        <w:t>d</w:t>
      </w:r>
      <w:r w:rsidR="00357E85">
        <w:t xml:space="preserve"> and is seriously harming the victim of the anti-social behaviour. </w:t>
      </w:r>
      <w:r w:rsidR="001A22BD">
        <w:t>A senior officer may declare an incident critical.</w:t>
      </w:r>
      <w:r w:rsidR="00357E85">
        <w:t xml:space="preserve"> This may include situations of serious harassment to an individual and perhaps targeting that individual due to their personal characteristics.</w:t>
      </w:r>
      <w:r w:rsidR="00D45A89">
        <w:t xml:space="preserve"> An example of this would be the case of Fiona Pilkington where her and her disabled daughter experienced persistent harassment alarm and distress throughout a specified period and led to severe consequences. </w:t>
      </w:r>
    </w:p>
    <w:p w:rsidR="00682F3B" w:rsidRDefault="00682F3B"/>
    <w:p w:rsidR="00682F3B" w:rsidRDefault="00682F3B" w:rsidP="00682F3B">
      <w:r>
        <w:t>Question 21</w:t>
      </w:r>
    </w:p>
    <w:p w:rsidR="00682F3B" w:rsidRDefault="00F22F4D">
      <w:r>
        <w:lastRenderedPageBreak/>
        <w:t>Section 1 of the Police and Criminal Evidence Act 1984 states that a constable may search and detain a person, a vehicle or part of or on a vehicle if they have reasonable grounds to believe they may have on/in them one of the following:</w:t>
      </w:r>
    </w:p>
    <w:p w:rsidR="00F22F4D" w:rsidRDefault="00F22F4D">
      <w:r>
        <w:t>A stolen or prohibited article, a prohibited firework, an offensive weapon or bladed article or anything for the use of or in connection with the following offences: theft, burglary, taking a conveyance, criminal damage or fraud.</w:t>
      </w:r>
    </w:p>
    <w:p w:rsidR="00682F3B" w:rsidRDefault="00682F3B"/>
    <w:p w:rsidR="00682F3B" w:rsidRDefault="00682F3B" w:rsidP="00682F3B">
      <w:r>
        <w:t>Question 22</w:t>
      </w:r>
    </w:p>
    <w:p w:rsidR="00682F3B" w:rsidRDefault="003A2AA9">
      <w:r>
        <w:t>It is good practice before beginning information prior to a search to make use of the body worn camera and inform the person you are searching that the camera is on and that it is recoding. Prior to a search a constable must explain to the person being search the grounds for the search i.e. what reasonable grounds they have to search that person or vehicle. An officer must also state the objective i.e. what they are looking for. Following this, if an officer is not in uniform or if the person being search requests, the officer should present a warrant card to confirm his/her identity. Moreover, the officer should state their force number and what station they are attached to. The officer must then state what powers they are using to search the person/vehicle e.g. this could be section 1 of the Police and Criminal Evidence Act 1984 or Section 23 of the Misuse of Drugs Act. The officer must then inform the person being searched that they are entitled to a copy of a report. The officer must either present a physical copy or explain to the person how to access this electronically. Finally, the officer must clearly say to the person being search that they are “Detained for the purpose of the search.”</w:t>
      </w:r>
    </w:p>
    <w:p w:rsidR="00682F3B" w:rsidRDefault="00682F3B"/>
    <w:p w:rsidR="00682F3B" w:rsidRDefault="00682F3B" w:rsidP="00682F3B">
      <w:r>
        <w:t>Question 23</w:t>
      </w:r>
    </w:p>
    <w:p w:rsidR="008E34D5" w:rsidRDefault="008E34D5" w:rsidP="00682F3B">
      <w:r>
        <w:t>The best use of stop and search has many components including lay observation policy. That is allowing members of the public to join police on patrol and to witness accounts of stop and search. Secondly, if there are many community triggers and complaints then an official investigation will be me as to why a specific area is complaining about the use of stop and search and police powers. The best use of stop and search also states that no person should be discriminated against and that an officer should have reasonable grounds when using stop and search on another person.</w:t>
      </w:r>
      <w:r w:rsidR="00CA46F0">
        <w:t xml:space="preserve"> Officers should consider section 149 of the Equality Act 2010 which states when conducting a stop and search no person should be discriminated, victimised or harassed due to their personal characteristics, equality of opportunity should be sought between persons with do not share personal characteristics and good relations between people who do not share personal characteristics should be sought.</w:t>
      </w:r>
      <w:r w:rsidR="00583602">
        <w:t xml:space="preserve"> Furthermore the policy aims to reduce the amount of section 60 notices that are handed out and reducing their specified time from 24 hours to 15 hours.</w:t>
      </w:r>
      <w:bookmarkStart w:id="0" w:name="_GoBack"/>
      <w:bookmarkEnd w:id="0"/>
    </w:p>
    <w:p w:rsidR="00682F3B" w:rsidRDefault="00682F3B"/>
    <w:p w:rsidR="00682F3B" w:rsidRDefault="00682F3B" w:rsidP="00682F3B">
      <w:r>
        <w:t>Question 24</w:t>
      </w:r>
    </w:p>
    <w:p w:rsidR="00682F3B" w:rsidRDefault="004B1F96">
      <w:r>
        <w:t xml:space="preserve">The national intelligence model allows information to be accurately and adequately categorised. It is also known as the 3 x 5 x 2 model. The first stage considers the sources reliability i.e. reliable, untested or unreliable. The second stage allows us to consider the information the source has and how much we can rely on it i.e. it was known to the source, it was known indirectly but corroborated, known indirectly, not known or suspected to be false. Lastly we must establish the </w:t>
      </w:r>
      <w:r>
        <w:lastRenderedPageBreak/>
        <w:t>sharing agreement i.e. lawful sharing permitted (that is for a policing purpose) or lawful sharing permitted with conditions.</w:t>
      </w:r>
    </w:p>
    <w:p w:rsidR="004B1F96" w:rsidRDefault="004B1F96">
      <w:r>
        <w:t>The golden nominal concept of intelligence states that accurate information and intelligence increases the efficiency of the police and the national intelligence model aids in this.</w:t>
      </w:r>
      <w:r w:rsidR="001A22BD">
        <w:t xml:space="preserve"> It also allows for information to be analysed and stored efficiently so that information is not repeated and is adequate.</w:t>
      </w:r>
    </w:p>
    <w:p w:rsidR="00682F3B" w:rsidRDefault="00682F3B"/>
    <w:p w:rsidR="00682F3B" w:rsidRDefault="00682F3B" w:rsidP="00682F3B">
      <w:r>
        <w:t>Question 25</w:t>
      </w:r>
    </w:p>
    <w:p w:rsidR="00682F3B" w:rsidRDefault="004B1F96" w:rsidP="00682F3B">
      <w:r>
        <w:t>General Data protection act</w:t>
      </w:r>
    </w:p>
    <w:p w:rsidR="004B1F96" w:rsidRDefault="004B1F96" w:rsidP="00682F3B">
      <w:r>
        <w:t>Law enforcement directive</w:t>
      </w:r>
    </w:p>
    <w:p w:rsidR="008E34D5" w:rsidRDefault="008E34D5" w:rsidP="00682F3B">
      <w:r>
        <w:t>Freedom of information act</w:t>
      </w:r>
    </w:p>
    <w:p w:rsidR="004B1F96" w:rsidRDefault="004B1F96" w:rsidP="00682F3B">
      <w:r>
        <w:t>Data protection act</w:t>
      </w:r>
    </w:p>
    <w:p w:rsidR="004B1F96" w:rsidRDefault="004B1F96" w:rsidP="00682F3B">
      <w:r>
        <w:t>Human rights act (i.e. the right to a private family life)</w:t>
      </w:r>
    </w:p>
    <w:p w:rsidR="004B1F96" w:rsidRDefault="004B1F96" w:rsidP="00682F3B">
      <w:r>
        <w:t xml:space="preserve">Regulatory powers of investigations act </w:t>
      </w:r>
    </w:p>
    <w:p w:rsidR="008E34D5" w:rsidRDefault="008E34D5" w:rsidP="00682F3B">
      <w:r>
        <w:t>Information agreement Act</w:t>
      </w:r>
    </w:p>
    <w:p w:rsidR="004B1F96" w:rsidRDefault="004B1F96" w:rsidP="00682F3B">
      <w:r>
        <w:t>European convention of human rights</w:t>
      </w:r>
    </w:p>
    <w:p w:rsidR="004B1F96" w:rsidRDefault="004B1F96" w:rsidP="00682F3B">
      <w:r>
        <w:t xml:space="preserve">Common law </w:t>
      </w:r>
    </w:p>
    <w:p w:rsidR="00682F3B" w:rsidRDefault="00682F3B" w:rsidP="00682F3B"/>
    <w:sectPr w:rsidR="00682F3B" w:rsidSect="003B498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6594" w:rsidRDefault="00CE6594" w:rsidP="003B498C">
      <w:pPr>
        <w:spacing w:after="0" w:line="240" w:lineRule="auto"/>
      </w:pPr>
      <w:r>
        <w:separator/>
      </w:r>
    </w:p>
  </w:endnote>
  <w:endnote w:type="continuationSeparator" w:id="0">
    <w:p w:rsidR="00CE6594" w:rsidRDefault="00CE6594" w:rsidP="003B4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Footer"/>
      <w:rPr>
        <w:color w:val="000000"/>
        <w:sz w:val="17"/>
      </w:rPr>
    </w:pPr>
    <w:bookmarkStart w:id="3" w:name="TITUS1FooterEvenPages"/>
    <w:r>
      <w:rPr>
        <w:color w:val="000000"/>
        <w:sz w:val="17"/>
      </w:rPr>
      <w:t> </w:t>
    </w:r>
  </w:p>
  <w:bookmarkEnd w:id="3"/>
  <w:p w:rsidR="00CE6594" w:rsidRDefault="00CE6594" w:rsidP="004C51F7">
    <w:pPr>
      <w:pStyle w:val="Footer"/>
    </w:pPr>
  </w:p>
  <w:p w:rsidR="00CE6594" w:rsidRDefault="00CE65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Footer"/>
      <w:rPr>
        <w:color w:val="000000"/>
        <w:sz w:val="17"/>
      </w:rPr>
    </w:pPr>
    <w:bookmarkStart w:id="4" w:name="TITUS1FooterPrimary"/>
    <w:r>
      <w:rPr>
        <w:color w:val="000000"/>
        <w:sz w:val="17"/>
      </w:rPr>
      <w:t> </w:t>
    </w:r>
  </w:p>
  <w:bookmarkEnd w:id="4"/>
  <w:p w:rsidR="00CE6594" w:rsidRDefault="00CE65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Footer"/>
      <w:rPr>
        <w:color w:val="000000"/>
        <w:sz w:val="17"/>
      </w:rPr>
    </w:pPr>
    <w:bookmarkStart w:id="6" w:name="TITUS1FooterFirstPage"/>
    <w:r>
      <w:rPr>
        <w:color w:val="000000"/>
        <w:sz w:val="17"/>
      </w:rPr>
      <w:t> </w:t>
    </w:r>
  </w:p>
  <w:bookmarkEnd w:id="6"/>
  <w:p w:rsidR="00CE6594" w:rsidRDefault="00CE6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6594" w:rsidRDefault="00CE6594" w:rsidP="003B498C">
      <w:pPr>
        <w:spacing w:after="0" w:line="240" w:lineRule="auto"/>
      </w:pPr>
      <w:r>
        <w:separator/>
      </w:r>
    </w:p>
  </w:footnote>
  <w:footnote w:type="continuationSeparator" w:id="0">
    <w:p w:rsidR="00CE6594" w:rsidRDefault="00CE6594" w:rsidP="003B4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Header"/>
      <w:rPr>
        <w:color w:val="000000"/>
        <w:sz w:val="17"/>
      </w:rPr>
    </w:pPr>
    <w:bookmarkStart w:id="1" w:name="TITUS1HeaderEvenPages"/>
    <w:r>
      <w:rPr>
        <w:color w:val="000000"/>
        <w:sz w:val="17"/>
      </w:rPr>
      <w:t> </w:t>
    </w:r>
  </w:p>
  <w:bookmarkEnd w:id="1"/>
  <w:p w:rsidR="00CE6594" w:rsidRDefault="00CE6594" w:rsidP="004C51F7">
    <w:pPr>
      <w:pStyle w:val="Header"/>
    </w:pPr>
  </w:p>
  <w:p w:rsidR="00CE6594" w:rsidRDefault="00CE65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Header"/>
      <w:rPr>
        <w:color w:val="000000"/>
        <w:sz w:val="17"/>
      </w:rPr>
    </w:pPr>
    <w:bookmarkStart w:id="2" w:name="TITUS1HeaderPrimary"/>
    <w:r>
      <w:rPr>
        <w:color w:val="000000"/>
        <w:sz w:val="17"/>
      </w:rPr>
      <w:t> </w:t>
    </w:r>
  </w:p>
  <w:bookmarkEnd w:id="2"/>
  <w:p w:rsidR="00CE6594" w:rsidRDefault="00CE65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6594" w:rsidRDefault="0086539B" w:rsidP="0086539B">
    <w:pPr>
      <w:pStyle w:val="Header"/>
      <w:rPr>
        <w:color w:val="000000"/>
        <w:sz w:val="17"/>
      </w:rPr>
    </w:pPr>
    <w:bookmarkStart w:id="5" w:name="TITUS1HeaderFirstPage"/>
    <w:r>
      <w:rPr>
        <w:color w:val="000000"/>
        <w:sz w:val="17"/>
      </w:rPr>
      <w:t> </w:t>
    </w:r>
  </w:p>
  <w:bookmarkEnd w:id="5"/>
  <w:p w:rsidR="00CE6594" w:rsidRDefault="00CE65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0141"/>
    <w:rsid w:val="00121DF7"/>
    <w:rsid w:val="00151605"/>
    <w:rsid w:val="001A22BD"/>
    <w:rsid w:val="00202AB5"/>
    <w:rsid w:val="002225A6"/>
    <w:rsid w:val="0026706E"/>
    <w:rsid w:val="00340A22"/>
    <w:rsid w:val="00357E85"/>
    <w:rsid w:val="003A2AA9"/>
    <w:rsid w:val="003B498C"/>
    <w:rsid w:val="004B1F96"/>
    <w:rsid w:val="004C51F7"/>
    <w:rsid w:val="00544969"/>
    <w:rsid w:val="00583602"/>
    <w:rsid w:val="005E3D0E"/>
    <w:rsid w:val="00682F3B"/>
    <w:rsid w:val="00696742"/>
    <w:rsid w:val="006B344C"/>
    <w:rsid w:val="006C3884"/>
    <w:rsid w:val="007774A3"/>
    <w:rsid w:val="0079402C"/>
    <w:rsid w:val="007E4409"/>
    <w:rsid w:val="007E7400"/>
    <w:rsid w:val="0086539B"/>
    <w:rsid w:val="00877432"/>
    <w:rsid w:val="008C4C08"/>
    <w:rsid w:val="008E34D5"/>
    <w:rsid w:val="009A0747"/>
    <w:rsid w:val="00AB6505"/>
    <w:rsid w:val="00AD1A95"/>
    <w:rsid w:val="00AD6E75"/>
    <w:rsid w:val="00B24C71"/>
    <w:rsid w:val="00BD4660"/>
    <w:rsid w:val="00C06C44"/>
    <w:rsid w:val="00C32D99"/>
    <w:rsid w:val="00C63507"/>
    <w:rsid w:val="00CA46F0"/>
    <w:rsid w:val="00CE6594"/>
    <w:rsid w:val="00CF0D92"/>
    <w:rsid w:val="00D45A89"/>
    <w:rsid w:val="00D81FCF"/>
    <w:rsid w:val="00E12087"/>
    <w:rsid w:val="00E41B08"/>
    <w:rsid w:val="00EE2A67"/>
    <w:rsid w:val="00F22F4D"/>
    <w:rsid w:val="00F552E2"/>
    <w:rsid w:val="00F643BE"/>
    <w:rsid w:val="00FD7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294BC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98C"/>
  </w:style>
  <w:style w:type="paragraph" w:styleId="Footer">
    <w:name w:val="footer"/>
    <w:basedOn w:val="Normal"/>
    <w:link w:val="FooterChar"/>
    <w:uiPriority w:val="99"/>
    <w:unhideWhenUsed/>
    <w:rsid w:val="003B4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8</Pages>
  <Words>3213</Words>
  <Characters>18318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Grant,Ffion swp6722</cp:lastModifiedBy>
  <cp:revision>35</cp:revision>
  <dcterms:created xsi:type="dcterms:W3CDTF">2020-09-04T08:31:00Z</dcterms:created>
  <dcterms:modified xsi:type="dcterms:W3CDTF">2020-09-04T14:09:00Z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