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7D8C8"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b/>
          <w:bCs/>
          <w:color w:val="000000"/>
          <w:kern w:val="0"/>
          <w:lang w:eastAsia="en-GB"/>
          <w14:ligatures w14:val="none"/>
        </w:rPr>
        <w:t xml:space="preserve">Critically evaluate ONE learning theory and discuss how this theory can be used in the </w:t>
      </w:r>
      <w:proofErr w:type="gramStart"/>
      <w:r w:rsidRPr="00FA4533">
        <w:rPr>
          <w:rFonts w:ascii="Calibri" w:eastAsia="Times New Roman" w:hAnsi="Calibri" w:cs="Calibri"/>
          <w:b/>
          <w:bCs/>
          <w:color w:val="000000"/>
          <w:kern w:val="0"/>
          <w:lang w:eastAsia="en-GB"/>
          <w14:ligatures w14:val="none"/>
        </w:rPr>
        <w:t>classroom</w:t>
      </w:r>
      <w:proofErr w:type="gramEnd"/>
    </w:p>
    <w:p w14:paraId="69E45642"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77CE0780" w14:textId="3F1D2CF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xml:space="preserve">Piaget introduced a theory named “The cognitive development theory”, the theory is best described as the capacity for knowing, perceiving, or understanding. Piaget </w:t>
      </w:r>
      <w:r w:rsidR="00B34E55" w:rsidRPr="00556018">
        <w:rPr>
          <w:rFonts w:ascii="Calibri" w:eastAsia="Times New Roman" w:hAnsi="Calibri" w:cs="Calibri"/>
          <w:color w:val="000000"/>
          <w:kern w:val="0"/>
          <w:lang w:eastAsia="en-GB"/>
          <w14:ligatures w14:val="none"/>
        </w:rPr>
        <w:t xml:space="preserve">administered </w:t>
      </w:r>
      <w:r w:rsidRPr="00FA4533">
        <w:rPr>
          <w:rFonts w:ascii="Calibri" w:eastAsia="Times New Roman" w:hAnsi="Calibri" w:cs="Calibri"/>
          <w:color w:val="000000"/>
          <w:kern w:val="0"/>
          <w:lang w:eastAsia="en-GB"/>
          <w14:ligatures w14:val="none"/>
        </w:rPr>
        <w:t xml:space="preserve">research on how </w:t>
      </w:r>
      <w:r w:rsidR="00A620FE">
        <w:rPr>
          <w:rFonts w:ascii="Calibri" w:eastAsia="Times New Roman" w:hAnsi="Calibri" w:cs="Calibri"/>
          <w:color w:val="000000"/>
          <w:kern w:val="0"/>
          <w:lang w:eastAsia="en-GB"/>
          <w14:ligatures w14:val="none"/>
        </w:rPr>
        <w:t xml:space="preserve">infants </w:t>
      </w:r>
      <w:r w:rsidR="00B4366E">
        <w:rPr>
          <w:rFonts w:ascii="Calibri" w:eastAsia="Times New Roman" w:hAnsi="Calibri" w:cs="Calibri"/>
          <w:color w:val="000000"/>
          <w:kern w:val="0"/>
          <w:lang w:eastAsia="en-GB"/>
          <w14:ligatures w14:val="none"/>
        </w:rPr>
        <w:t>promote</w:t>
      </w:r>
      <w:r w:rsidRPr="00FA4533">
        <w:rPr>
          <w:rFonts w:ascii="Calibri" w:eastAsia="Times New Roman" w:hAnsi="Calibri" w:cs="Calibri"/>
          <w:color w:val="000000"/>
          <w:kern w:val="0"/>
          <w:lang w:eastAsia="en-GB"/>
          <w14:ligatures w14:val="none"/>
        </w:rPr>
        <w:t xml:space="preserve"> the </w:t>
      </w:r>
      <w:r w:rsidR="007E73E1">
        <w:rPr>
          <w:rFonts w:ascii="Calibri" w:eastAsia="Times New Roman" w:hAnsi="Calibri" w:cs="Calibri"/>
          <w:color w:val="000000"/>
          <w:kern w:val="0"/>
          <w:lang w:eastAsia="en-GB"/>
          <w14:ligatures w14:val="none"/>
        </w:rPr>
        <w:t xml:space="preserve">quantity </w:t>
      </w:r>
      <w:r w:rsidRPr="00FA4533">
        <w:rPr>
          <w:rFonts w:ascii="Calibri" w:eastAsia="Times New Roman" w:hAnsi="Calibri" w:cs="Calibri"/>
          <w:color w:val="000000"/>
          <w:kern w:val="0"/>
          <w:lang w:eastAsia="en-GB"/>
          <w14:ligatures w14:val="none"/>
        </w:rPr>
        <w:t>for logical and scientific thought. Assimilation as well as accommodation are necessary for effective education, according to Piaget. Piaget formulated the premise that children learn by experiences, independently of their environment, while having a natural desire to learn. Piaget established certain assumptions regarding children, including: 1) children construct their knowledge as a result of their experiences; 2) children gain knowledge without interference from those around; and 3) children are naturally driven to study. Equilibrium, Experience, Social Transmission, and Maturation are the four foundational components of cognitive development (</w:t>
      </w:r>
      <w:proofErr w:type="spellStart"/>
      <w:r w:rsidRPr="00FA4533">
        <w:rPr>
          <w:rFonts w:ascii="Calibri" w:eastAsia="Times New Roman" w:hAnsi="Calibri" w:cs="Calibri"/>
          <w:color w:val="000000"/>
          <w:kern w:val="0"/>
          <w:lang w:eastAsia="en-GB"/>
          <w14:ligatures w14:val="none"/>
        </w:rPr>
        <w:t>Huitt</w:t>
      </w:r>
      <w:proofErr w:type="spellEnd"/>
      <w:r w:rsidRPr="00FA4533">
        <w:rPr>
          <w:rFonts w:ascii="Calibri" w:eastAsia="Times New Roman" w:hAnsi="Calibri" w:cs="Calibri"/>
          <w:color w:val="000000"/>
          <w:kern w:val="0"/>
          <w:lang w:eastAsia="en-GB"/>
          <w14:ligatures w14:val="none"/>
        </w:rPr>
        <w:t xml:space="preserve"> &amp; Hummel, 2003).</w:t>
      </w:r>
    </w:p>
    <w:p w14:paraId="3602BE6C"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22501811" w14:textId="5F405209"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xml:space="preserve">Piaget stated that within his theory there are Cognitive Developmental Stages, these specific stages allow cognition to go through as it develops (Piaget, 1976). The stages mirror the staircase model of development in several ways. The stages are completed in the same sequence, with no step missed (Eggen &amp; Kauchak, 2013). Every step is a development from the stage before it (Berk, 1997). The latter stages are included into the later stages. Piaget's phases are age-specific while including expectations for what children should accomplish at each level (Hetherington et al., 1999). According to Piaget, the development of cognition takes place in separate phases that occur in the same sequence. The Sensorimotor stage (from </w:t>
      </w:r>
      <w:r w:rsidR="009D34E6">
        <w:rPr>
          <w:rFonts w:ascii="Calibri" w:eastAsia="Times New Roman" w:hAnsi="Calibri" w:cs="Calibri"/>
          <w:color w:val="000000"/>
          <w:kern w:val="0"/>
          <w:lang w:eastAsia="en-GB"/>
          <w14:ligatures w14:val="none"/>
        </w:rPr>
        <w:t>zero</w:t>
      </w:r>
      <w:r w:rsidRPr="00FA4533">
        <w:rPr>
          <w:rFonts w:ascii="Calibri" w:eastAsia="Times New Roman" w:hAnsi="Calibri" w:cs="Calibri"/>
          <w:color w:val="000000"/>
          <w:kern w:val="0"/>
          <w:lang w:eastAsia="en-GB"/>
          <w14:ligatures w14:val="none"/>
        </w:rPr>
        <w:t xml:space="preserve"> to two years), Preoperational stage (from t</w:t>
      </w:r>
      <w:r w:rsidR="009D34E6">
        <w:rPr>
          <w:rFonts w:ascii="Calibri" w:eastAsia="Times New Roman" w:hAnsi="Calibri" w:cs="Calibri"/>
          <w:color w:val="000000"/>
          <w:kern w:val="0"/>
          <w:lang w:eastAsia="en-GB"/>
          <w14:ligatures w14:val="none"/>
        </w:rPr>
        <w:t>hree</w:t>
      </w:r>
      <w:r w:rsidRPr="00FA4533">
        <w:rPr>
          <w:rFonts w:ascii="Calibri" w:eastAsia="Times New Roman" w:hAnsi="Calibri" w:cs="Calibri"/>
          <w:color w:val="000000"/>
          <w:kern w:val="0"/>
          <w:lang w:eastAsia="en-GB"/>
          <w14:ligatures w14:val="none"/>
        </w:rPr>
        <w:t xml:space="preserve"> to seven years), Concrete operational stage (from </w:t>
      </w:r>
      <w:r w:rsidR="00364383">
        <w:rPr>
          <w:rFonts w:ascii="Calibri" w:eastAsia="Times New Roman" w:hAnsi="Calibri" w:cs="Calibri"/>
          <w:color w:val="000000"/>
          <w:kern w:val="0"/>
          <w:lang w:eastAsia="en-GB"/>
          <w14:ligatures w14:val="none"/>
        </w:rPr>
        <w:t xml:space="preserve">eight </w:t>
      </w:r>
      <w:r w:rsidRPr="00FA4533">
        <w:rPr>
          <w:rFonts w:ascii="Calibri" w:eastAsia="Times New Roman" w:hAnsi="Calibri" w:cs="Calibri"/>
          <w:color w:val="000000"/>
          <w:kern w:val="0"/>
          <w:lang w:eastAsia="en-GB"/>
          <w14:ligatures w14:val="none"/>
        </w:rPr>
        <w:t>to eleven years), and Formal operational stage (11 years and beyond). At the sensorimotor stage of cognitive development, behaviours are goal-directed and exhibit object permanence, mental representation, cause-and-effect relationships, and coordinated space. There are six further substages within the sensorimotor stage (</w:t>
      </w:r>
      <w:proofErr w:type="spellStart"/>
      <w:r w:rsidRPr="00FA4533">
        <w:rPr>
          <w:rFonts w:ascii="Calibri" w:eastAsia="Times New Roman" w:hAnsi="Calibri" w:cs="Calibri"/>
          <w:color w:val="000000"/>
          <w:kern w:val="0"/>
          <w:lang w:eastAsia="en-GB"/>
          <w14:ligatures w14:val="none"/>
        </w:rPr>
        <w:t>Rabindran</w:t>
      </w:r>
      <w:proofErr w:type="spellEnd"/>
      <w:r w:rsidRPr="00FA4533">
        <w:rPr>
          <w:rFonts w:ascii="Calibri" w:eastAsia="Times New Roman" w:hAnsi="Calibri" w:cs="Calibri"/>
          <w:color w:val="000000"/>
          <w:kern w:val="0"/>
          <w:lang w:eastAsia="en-GB"/>
          <w14:ligatures w14:val="none"/>
        </w:rPr>
        <w:t xml:space="preserve"> &amp; </w:t>
      </w:r>
      <w:proofErr w:type="spellStart"/>
      <w:r w:rsidRPr="00FA4533">
        <w:rPr>
          <w:rFonts w:ascii="Calibri" w:eastAsia="Times New Roman" w:hAnsi="Calibri" w:cs="Calibri"/>
          <w:color w:val="000000"/>
          <w:kern w:val="0"/>
          <w:lang w:eastAsia="en-GB"/>
          <w14:ligatures w14:val="none"/>
        </w:rPr>
        <w:t>Madanagopal</w:t>
      </w:r>
      <w:proofErr w:type="spellEnd"/>
      <w:r w:rsidRPr="00FA4533">
        <w:rPr>
          <w:rFonts w:ascii="Calibri" w:eastAsia="Times New Roman" w:hAnsi="Calibri" w:cs="Calibri"/>
          <w:color w:val="000000"/>
          <w:kern w:val="0"/>
          <w:lang w:eastAsia="en-GB"/>
          <w14:ligatures w14:val="none"/>
        </w:rPr>
        <w:t>, 2020).</w:t>
      </w:r>
    </w:p>
    <w:p w14:paraId="75B80E0D"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31000CAC" w14:textId="66DCD824"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xml:space="preserve">Jean Piaget (1986), </w:t>
      </w:r>
      <w:r w:rsidR="00BB4332">
        <w:rPr>
          <w:rFonts w:ascii="Calibri" w:eastAsia="Times New Roman" w:hAnsi="Calibri" w:cs="Calibri"/>
          <w:color w:val="000000"/>
          <w:kern w:val="0"/>
          <w:lang w:eastAsia="en-GB"/>
          <w14:ligatures w14:val="none"/>
        </w:rPr>
        <w:t xml:space="preserve">who was a </w:t>
      </w:r>
      <w:r w:rsidRPr="00FA4533">
        <w:rPr>
          <w:rFonts w:ascii="Calibri" w:eastAsia="Times New Roman" w:hAnsi="Calibri" w:cs="Calibri"/>
          <w:color w:val="000000"/>
          <w:kern w:val="0"/>
          <w:lang w:eastAsia="en-GB"/>
          <w14:ligatures w14:val="none"/>
        </w:rPr>
        <w:t xml:space="preserve">Swiss psychologist, </w:t>
      </w:r>
      <w:r w:rsidR="007F0E4A">
        <w:rPr>
          <w:rFonts w:ascii="Calibri" w:eastAsia="Times New Roman" w:hAnsi="Calibri" w:cs="Calibri"/>
          <w:color w:val="000000"/>
          <w:kern w:val="0"/>
          <w:lang w:eastAsia="en-GB"/>
          <w14:ligatures w14:val="none"/>
        </w:rPr>
        <w:t xml:space="preserve">had </w:t>
      </w:r>
      <w:r w:rsidRPr="00FA4533">
        <w:rPr>
          <w:rFonts w:ascii="Calibri" w:eastAsia="Times New Roman" w:hAnsi="Calibri" w:cs="Calibri"/>
          <w:color w:val="000000"/>
          <w:kern w:val="0"/>
          <w:lang w:eastAsia="en-GB"/>
          <w14:ligatures w14:val="none"/>
        </w:rPr>
        <w:t xml:space="preserve">dedicated nearly five decades to </w:t>
      </w:r>
      <w:r w:rsidR="00A86959">
        <w:rPr>
          <w:rFonts w:ascii="Calibri" w:eastAsia="Times New Roman" w:hAnsi="Calibri" w:cs="Calibri"/>
          <w:color w:val="000000"/>
          <w:kern w:val="0"/>
          <w:lang w:eastAsia="en-GB"/>
          <w14:ligatures w14:val="none"/>
        </w:rPr>
        <w:t xml:space="preserve">surveying </w:t>
      </w:r>
      <w:r w:rsidRPr="00FA4533">
        <w:rPr>
          <w:rFonts w:ascii="Calibri" w:eastAsia="Times New Roman" w:hAnsi="Calibri" w:cs="Calibri"/>
          <w:color w:val="000000"/>
          <w:kern w:val="0"/>
          <w:lang w:eastAsia="en-GB"/>
          <w14:ligatures w14:val="none"/>
        </w:rPr>
        <w:t xml:space="preserve">children's cognitive development (Posser, 2003). Piaget used systematic observation </w:t>
      </w:r>
      <w:proofErr w:type="gramStart"/>
      <w:r w:rsidRPr="00FA4533">
        <w:rPr>
          <w:rFonts w:ascii="Calibri" w:eastAsia="Times New Roman" w:hAnsi="Calibri" w:cs="Calibri"/>
          <w:color w:val="000000"/>
          <w:kern w:val="0"/>
          <w:lang w:eastAsia="en-GB"/>
          <w14:ligatures w14:val="none"/>
        </w:rPr>
        <w:t>in order to</w:t>
      </w:r>
      <w:proofErr w:type="gramEnd"/>
      <w:r w:rsidRPr="00FA4533">
        <w:rPr>
          <w:rFonts w:ascii="Calibri" w:eastAsia="Times New Roman" w:hAnsi="Calibri" w:cs="Calibri"/>
          <w:color w:val="000000"/>
          <w:kern w:val="0"/>
          <w:lang w:eastAsia="en-GB"/>
          <w14:ligatures w14:val="none"/>
        </w:rPr>
        <w:t xml:space="preserve"> comprehend cognitive development (</w:t>
      </w:r>
      <w:proofErr w:type="spellStart"/>
      <w:r w:rsidRPr="00FA4533">
        <w:rPr>
          <w:rFonts w:ascii="Calibri" w:eastAsia="Times New Roman" w:hAnsi="Calibri" w:cs="Calibri"/>
          <w:color w:val="000000"/>
          <w:kern w:val="0"/>
          <w:lang w:eastAsia="en-GB"/>
          <w14:ligatures w14:val="none"/>
        </w:rPr>
        <w:t>Rabindran</w:t>
      </w:r>
      <w:proofErr w:type="spellEnd"/>
      <w:r w:rsidRPr="00FA4533">
        <w:rPr>
          <w:rFonts w:ascii="Calibri" w:eastAsia="Times New Roman" w:hAnsi="Calibri" w:cs="Calibri"/>
          <w:color w:val="000000"/>
          <w:kern w:val="0"/>
          <w:lang w:eastAsia="en-GB"/>
          <w14:ligatures w14:val="none"/>
        </w:rPr>
        <w:t xml:space="preserve"> &amp; </w:t>
      </w:r>
      <w:proofErr w:type="spellStart"/>
      <w:r w:rsidRPr="00FA4533">
        <w:rPr>
          <w:rFonts w:ascii="Calibri" w:eastAsia="Times New Roman" w:hAnsi="Calibri" w:cs="Calibri"/>
          <w:color w:val="000000"/>
          <w:kern w:val="0"/>
          <w:lang w:eastAsia="en-GB"/>
          <w14:ligatures w14:val="none"/>
        </w:rPr>
        <w:t>Madanagopal</w:t>
      </w:r>
      <w:proofErr w:type="spellEnd"/>
      <w:r w:rsidRPr="00FA4533">
        <w:rPr>
          <w:rFonts w:ascii="Calibri" w:eastAsia="Times New Roman" w:hAnsi="Calibri" w:cs="Calibri"/>
          <w:color w:val="000000"/>
          <w:kern w:val="0"/>
          <w:lang w:eastAsia="en-GB"/>
          <w14:ligatures w14:val="none"/>
        </w:rPr>
        <w:t xml:space="preserve">, 2019). He meticulously recorded </w:t>
      </w:r>
      <w:proofErr w:type="gramStart"/>
      <w:r w:rsidRPr="00FA4533">
        <w:rPr>
          <w:rFonts w:ascii="Calibri" w:eastAsia="Times New Roman" w:hAnsi="Calibri" w:cs="Calibri"/>
          <w:color w:val="000000"/>
          <w:kern w:val="0"/>
          <w:lang w:eastAsia="en-GB"/>
          <w14:ligatures w14:val="none"/>
        </w:rPr>
        <w:t>all of</w:t>
      </w:r>
      <w:proofErr w:type="gramEnd"/>
      <w:r w:rsidRPr="00FA4533">
        <w:rPr>
          <w:rFonts w:ascii="Calibri" w:eastAsia="Times New Roman" w:hAnsi="Calibri" w:cs="Calibri"/>
          <w:color w:val="000000"/>
          <w:kern w:val="0"/>
          <w:lang w:eastAsia="en-GB"/>
          <w14:ligatures w14:val="none"/>
        </w:rPr>
        <w:t xml:space="preserve"> the participant's behaviours throughout the observation. (Butler-Bowdon, 2007/2017).</w:t>
      </w:r>
      <w:r w:rsidR="00AD6263">
        <w:rPr>
          <w:rFonts w:ascii="Calibri" w:eastAsia="Times New Roman" w:hAnsi="Calibri" w:cs="Calibri"/>
          <w:color w:val="000000"/>
          <w:kern w:val="0"/>
          <w:lang w:eastAsia="en-GB"/>
          <w14:ligatures w14:val="none"/>
        </w:rPr>
        <w:t xml:space="preserve"> Several years of hard work</w:t>
      </w:r>
      <w:r w:rsidRPr="00FA4533">
        <w:rPr>
          <w:rFonts w:ascii="Calibri" w:eastAsia="Times New Roman" w:hAnsi="Calibri" w:cs="Calibri"/>
          <w:color w:val="000000"/>
          <w:kern w:val="0"/>
          <w:lang w:eastAsia="en-GB"/>
          <w14:ligatures w14:val="none"/>
        </w:rPr>
        <w:t xml:space="preserve"> </w:t>
      </w:r>
      <w:proofErr w:type="gramStart"/>
      <w:r w:rsidR="00D00605">
        <w:rPr>
          <w:rFonts w:ascii="Calibri" w:eastAsia="Times New Roman" w:hAnsi="Calibri" w:cs="Calibri"/>
          <w:color w:val="000000"/>
          <w:kern w:val="0"/>
          <w:lang w:eastAsia="en-GB"/>
          <w14:ligatures w14:val="none"/>
        </w:rPr>
        <w:t>lead</w:t>
      </w:r>
      <w:proofErr w:type="gramEnd"/>
      <w:r w:rsidR="00D00605">
        <w:rPr>
          <w:rFonts w:ascii="Calibri" w:eastAsia="Times New Roman" w:hAnsi="Calibri" w:cs="Calibri"/>
          <w:color w:val="000000"/>
          <w:kern w:val="0"/>
          <w:lang w:eastAsia="en-GB"/>
          <w14:ligatures w14:val="none"/>
        </w:rPr>
        <w:t xml:space="preserve"> to Piaget </w:t>
      </w:r>
      <w:r w:rsidRPr="00FA4533">
        <w:rPr>
          <w:rFonts w:ascii="Calibri" w:eastAsia="Times New Roman" w:hAnsi="Calibri" w:cs="Calibri"/>
          <w:color w:val="000000"/>
          <w:kern w:val="0"/>
          <w:lang w:eastAsia="en-GB"/>
          <w14:ligatures w14:val="none"/>
        </w:rPr>
        <w:t>eventually publish</w:t>
      </w:r>
      <w:r w:rsidR="00D00605">
        <w:rPr>
          <w:rFonts w:ascii="Calibri" w:eastAsia="Times New Roman" w:hAnsi="Calibri" w:cs="Calibri"/>
          <w:color w:val="000000"/>
          <w:kern w:val="0"/>
          <w:lang w:eastAsia="en-GB"/>
          <w14:ligatures w14:val="none"/>
        </w:rPr>
        <w:t xml:space="preserve">ing </w:t>
      </w:r>
      <w:r w:rsidRPr="00FA4533">
        <w:rPr>
          <w:rFonts w:ascii="Calibri" w:eastAsia="Times New Roman" w:hAnsi="Calibri" w:cs="Calibri"/>
          <w:color w:val="000000"/>
          <w:kern w:val="0"/>
          <w:lang w:eastAsia="en-GB"/>
          <w14:ligatures w14:val="none"/>
        </w:rPr>
        <w:t>his views and postulated four global cognitive growth phases for children, the four stages are: sensorimotor, preoperational, concrete operational, and formal operational (Bernstein, 2007). </w:t>
      </w:r>
    </w:p>
    <w:p w14:paraId="69F2F760"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2909165D" w14:textId="003F5421"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xml:space="preserve">The sensorimotor stage is the initial stage of cognitive development, lasting between </w:t>
      </w:r>
      <w:r w:rsidR="00AE176C">
        <w:rPr>
          <w:rFonts w:ascii="Calibri" w:eastAsia="Times New Roman" w:hAnsi="Calibri" w:cs="Calibri"/>
          <w:color w:val="000000"/>
          <w:kern w:val="0"/>
          <w:lang w:eastAsia="en-GB"/>
          <w14:ligatures w14:val="none"/>
        </w:rPr>
        <w:t>zero</w:t>
      </w:r>
      <w:r w:rsidRPr="00FA4533">
        <w:rPr>
          <w:rFonts w:ascii="Calibri" w:eastAsia="Times New Roman" w:hAnsi="Calibri" w:cs="Calibri"/>
          <w:color w:val="000000"/>
          <w:kern w:val="0"/>
          <w:lang w:eastAsia="en-GB"/>
          <w14:ligatures w14:val="none"/>
        </w:rPr>
        <w:t xml:space="preserve"> until two years of age. (</w:t>
      </w:r>
      <w:proofErr w:type="spellStart"/>
      <w:r w:rsidRPr="00FA4533">
        <w:rPr>
          <w:rFonts w:ascii="Calibri" w:eastAsia="Times New Roman" w:hAnsi="Calibri" w:cs="Calibri"/>
          <w:color w:val="000000"/>
          <w:kern w:val="0"/>
          <w:lang w:eastAsia="en-GB"/>
          <w14:ligatures w14:val="none"/>
        </w:rPr>
        <w:t>Kasschau</w:t>
      </w:r>
      <w:proofErr w:type="spellEnd"/>
      <w:r w:rsidRPr="00FA4533">
        <w:rPr>
          <w:rFonts w:ascii="Calibri" w:eastAsia="Times New Roman" w:hAnsi="Calibri" w:cs="Calibri"/>
          <w:color w:val="000000"/>
          <w:kern w:val="0"/>
          <w:lang w:eastAsia="en-GB"/>
          <w14:ligatures w14:val="none"/>
        </w:rPr>
        <w:t xml:space="preserve"> et al., 2014). At this stage of development, infants use sensory activity to attempt to interpret objects. (Moreno, 2010).  This stage is </w:t>
      </w:r>
      <w:r w:rsidR="001A473E">
        <w:rPr>
          <w:rFonts w:ascii="Calibri" w:eastAsia="Times New Roman" w:hAnsi="Calibri" w:cs="Calibri"/>
          <w:color w:val="000000"/>
          <w:kern w:val="0"/>
          <w:lang w:eastAsia="en-GB"/>
          <w14:ligatures w14:val="none"/>
        </w:rPr>
        <w:t xml:space="preserve">dignified </w:t>
      </w:r>
      <w:r w:rsidR="008F1999">
        <w:rPr>
          <w:rFonts w:ascii="Calibri" w:eastAsia="Times New Roman" w:hAnsi="Calibri" w:cs="Calibri"/>
          <w:color w:val="000000"/>
          <w:kern w:val="0"/>
          <w:lang w:eastAsia="en-GB"/>
          <w14:ligatures w14:val="none"/>
        </w:rPr>
        <w:t xml:space="preserve">through </w:t>
      </w:r>
      <w:r w:rsidRPr="00FA4533">
        <w:rPr>
          <w:rFonts w:ascii="Calibri" w:eastAsia="Times New Roman" w:hAnsi="Calibri" w:cs="Calibri"/>
          <w:color w:val="000000"/>
          <w:kern w:val="0"/>
          <w:lang w:eastAsia="en-GB"/>
          <w14:ligatures w14:val="none"/>
        </w:rPr>
        <w:t xml:space="preserve">object permanence and delayed imitation (Goswami, 2014).  According to Piaget's hypothesis, three important changes emerge within the sensorimotor stage. Initially, children can only communicate a restricted </w:t>
      </w:r>
      <w:r w:rsidR="00FE1523">
        <w:rPr>
          <w:rFonts w:ascii="Calibri" w:eastAsia="Times New Roman" w:hAnsi="Calibri" w:cs="Calibri"/>
          <w:color w:val="000000"/>
          <w:kern w:val="0"/>
          <w:lang w:eastAsia="en-GB"/>
          <w14:ligatures w14:val="none"/>
        </w:rPr>
        <w:t xml:space="preserve">terminology </w:t>
      </w:r>
      <w:r w:rsidRPr="00FA4533">
        <w:rPr>
          <w:rFonts w:ascii="Calibri" w:eastAsia="Times New Roman" w:hAnsi="Calibri" w:cs="Calibri"/>
          <w:color w:val="000000"/>
          <w:kern w:val="0"/>
          <w:lang w:eastAsia="en-GB"/>
          <w14:ligatures w14:val="none"/>
        </w:rPr>
        <w:t xml:space="preserve">by the age of 18 months, however </w:t>
      </w:r>
      <w:r w:rsidR="00FE1523">
        <w:rPr>
          <w:rFonts w:ascii="Calibri" w:eastAsia="Times New Roman" w:hAnsi="Calibri" w:cs="Calibri"/>
          <w:color w:val="000000"/>
          <w:kern w:val="0"/>
          <w:lang w:eastAsia="en-GB"/>
          <w14:ligatures w14:val="none"/>
        </w:rPr>
        <w:t>from</w:t>
      </w:r>
      <w:r w:rsidRPr="00FA4533">
        <w:rPr>
          <w:rFonts w:ascii="Calibri" w:eastAsia="Times New Roman" w:hAnsi="Calibri" w:cs="Calibri"/>
          <w:color w:val="000000"/>
          <w:kern w:val="0"/>
          <w:lang w:eastAsia="en-GB"/>
          <w14:ligatures w14:val="none"/>
        </w:rPr>
        <w:t xml:space="preserve"> the age of two, </w:t>
      </w:r>
      <w:r w:rsidR="00FE1523">
        <w:rPr>
          <w:rFonts w:ascii="Calibri" w:eastAsia="Times New Roman" w:hAnsi="Calibri" w:cs="Calibri"/>
          <w:color w:val="000000"/>
          <w:kern w:val="0"/>
          <w:lang w:eastAsia="en-GB"/>
          <w14:ligatures w14:val="none"/>
        </w:rPr>
        <w:t>infants</w:t>
      </w:r>
      <w:r w:rsidRPr="00FA4533">
        <w:rPr>
          <w:rFonts w:ascii="Calibri" w:eastAsia="Times New Roman" w:hAnsi="Calibri" w:cs="Calibri"/>
          <w:color w:val="000000"/>
          <w:kern w:val="0"/>
          <w:lang w:eastAsia="en-GB"/>
          <w14:ligatures w14:val="none"/>
        </w:rPr>
        <w:t xml:space="preserve"> can convey short, meaningful phrases (Cacioppo &amp; Freberg, 2013). The </w:t>
      </w:r>
      <w:r w:rsidR="001E671B">
        <w:rPr>
          <w:rFonts w:ascii="Calibri" w:eastAsia="Times New Roman" w:hAnsi="Calibri" w:cs="Calibri"/>
          <w:color w:val="000000"/>
          <w:kern w:val="0"/>
          <w:lang w:eastAsia="en-GB"/>
          <w14:ligatures w14:val="none"/>
        </w:rPr>
        <w:t xml:space="preserve">competence </w:t>
      </w:r>
      <w:r w:rsidRPr="00FA4533">
        <w:rPr>
          <w:rFonts w:ascii="Calibri" w:eastAsia="Times New Roman" w:hAnsi="Calibri" w:cs="Calibri"/>
          <w:color w:val="000000"/>
          <w:kern w:val="0"/>
          <w:lang w:eastAsia="en-GB"/>
          <w14:ligatures w14:val="none"/>
        </w:rPr>
        <w:t xml:space="preserve">to </w:t>
      </w:r>
      <w:r w:rsidR="00447B2A">
        <w:rPr>
          <w:rFonts w:ascii="Calibri" w:eastAsia="Times New Roman" w:hAnsi="Calibri" w:cs="Calibri"/>
          <w:color w:val="000000"/>
          <w:kern w:val="0"/>
          <w:lang w:eastAsia="en-GB"/>
          <w14:ligatures w14:val="none"/>
        </w:rPr>
        <w:t xml:space="preserve">imitate </w:t>
      </w:r>
      <w:r w:rsidRPr="00FA4533">
        <w:rPr>
          <w:rFonts w:ascii="Calibri" w:eastAsia="Times New Roman" w:hAnsi="Calibri" w:cs="Calibri"/>
          <w:color w:val="000000"/>
          <w:kern w:val="0"/>
          <w:lang w:eastAsia="en-GB"/>
          <w14:ligatures w14:val="none"/>
        </w:rPr>
        <w:t xml:space="preserve">others, which Piaget termed "deferred imitation," also develops in children near the completion of the sensorimotor stage (Martin et al., 2011). Deferred imitation can be </w:t>
      </w:r>
      <w:r w:rsidR="00DA22BC">
        <w:rPr>
          <w:rFonts w:ascii="Calibri" w:eastAsia="Times New Roman" w:hAnsi="Calibri" w:cs="Calibri"/>
          <w:color w:val="000000"/>
          <w:kern w:val="0"/>
          <w:lang w:eastAsia="en-GB"/>
          <w14:ligatures w14:val="none"/>
        </w:rPr>
        <w:t xml:space="preserve">outlined </w:t>
      </w:r>
      <w:r w:rsidRPr="00FA4533">
        <w:rPr>
          <w:rFonts w:ascii="Calibri" w:eastAsia="Times New Roman" w:hAnsi="Calibri" w:cs="Calibri"/>
          <w:color w:val="000000"/>
          <w:kern w:val="0"/>
          <w:lang w:eastAsia="en-GB"/>
          <w14:ligatures w14:val="none"/>
        </w:rPr>
        <w:t xml:space="preserve">as “the ability to reproduce a modelled activity that has been witnessed at some point in the past” (Shaffer &amp; </w:t>
      </w:r>
      <w:proofErr w:type="spellStart"/>
      <w:r w:rsidRPr="00FA4533">
        <w:rPr>
          <w:rFonts w:ascii="Calibri" w:eastAsia="Times New Roman" w:hAnsi="Calibri" w:cs="Calibri"/>
          <w:color w:val="000000"/>
          <w:kern w:val="0"/>
          <w:lang w:eastAsia="en-GB"/>
          <w14:ligatures w14:val="none"/>
        </w:rPr>
        <w:t>Kipp</w:t>
      </w:r>
      <w:proofErr w:type="spellEnd"/>
      <w:r w:rsidRPr="00FA4533">
        <w:rPr>
          <w:rFonts w:ascii="Calibri" w:eastAsia="Times New Roman" w:hAnsi="Calibri" w:cs="Calibri"/>
          <w:color w:val="000000"/>
          <w:kern w:val="0"/>
          <w:lang w:eastAsia="en-GB"/>
          <w14:ligatures w14:val="none"/>
        </w:rPr>
        <w:t>, 2010)</w:t>
      </w:r>
      <w:r w:rsidRPr="00FA4533">
        <w:rPr>
          <w:rFonts w:ascii="Calibri" w:eastAsia="Times New Roman" w:hAnsi="Calibri" w:cs="Calibri"/>
          <w:b/>
          <w:bCs/>
          <w:color w:val="000000"/>
          <w:kern w:val="0"/>
          <w:lang w:eastAsia="en-GB"/>
          <w14:ligatures w14:val="none"/>
        </w:rPr>
        <w:t xml:space="preserve">. </w:t>
      </w:r>
      <w:r w:rsidRPr="00FA4533">
        <w:rPr>
          <w:rFonts w:ascii="Calibri" w:eastAsia="Times New Roman" w:hAnsi="Calibri" w:cs="Calibri"/>
          <w:color w:val="000000"/>
          <w:kern w:val="0"/>
          <w:lang w:eastAsia="en-GB"/>
          <w14:ligatures w14:val="none"/>
        </w:rPr>
        <w:t xml:space="preserve">It is believed that </w:t>
      </w:r>
      <w:r w:rsidR="00974670">
        <w:rPr>
          <w:rFonts w:ascii="Calibri" w:eastAsia="Times New Roman" w:hAnsi="Calibri" w:cs="Calibri"/>
          <w:color w:val="000000"/>
          <w:kern w:val="0"/>
          <w:lang w:eastAsia="en-GB"/>
          <w14:ligatures w14:val="none"/>
        </w:rPr>
        <w:t xml:space="preserve">once infants </w:t>
      </w:r>
      <w:r w:rsidRPr="00FA4533">
        <w:rPr>
          <w:rFonts w:ascii="Calibri" w:eastAsia="Times New Roman" w:hAnsi="Calibri" w:cs="Calibri"/>
          <w:color w:val="000000"/>
          <w:kern w:val="0"/>
          <w:lang w:eastAsia="en-GB"/>
          <w14:ligatures w14:val="none"/>
        </w:rPr>
        <w:t xml:space="preserve">reach the sensorimotor stage, </w:t>
      </w:r>
      <w:r w:rsidR="00974670">
        <w:rPr>
          <w:rFonts w:ascii="Calibri" w:eastAsia="Times New Roman" w:hAnsi="Calibri" w:cs="Calibri"/>
          <w:color w:val="000000"/>
          <w:kern w:val="0"/>
          <w:lang w:eastAsia="en-GB"/>
          <w14:ligatures w14:val="none"/>
        </w:rPr>
        <w:t xml:space="preserve">they </w:t>
      </w:r>
      <w:r w:rsidRPr="00FA4533">
        <w:rPr>
          <w:rFonts w:ascii="Calibri" w:eastAsia="Times New Roman" w:hAnsi="Calibri" w:cs="Calibri"/>
          <w:color w:val="000000"/>
          <w:kern w:val="0"/>
          <w:lang w:eastAsia="en-GB"/>
          <w14:ligatures w14:val="none"/>
        </w:rPr>
        <w:t>may reasonably conceptualise and depict symbols (Martin et al., 2011).</w:t>
      </w:r>
    </w:p>
    <w:p w14:paraId="5CABA442"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3FC953D7" w14:textId="7FBA2056"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In one of Piaget's important investigations on object permanence, he conducted a one-on-one experiment with infants, he removed a toy from the kids hold and concealed it under a blanket whil</w:t>
      </w:r>
      <w:r w:rsidR="0023119F">
        <w:rPr>
          <w:rFonts w:ascii="Calibri" w:eastAsia="Times New Roman" w:hAnsi="Calibri" w:cs="Calibri"/>
          <w:color w:val="000000"/>
          <w:kern w:val="0"/>
          <w:lang w:eastAsia="en-GB"/>
          <w14:ligatures w14:val="none"/>
        </w:rPr>
        <w:t>st</w:t>
      </w:r>
      <w:r w:rsidRPr="00FA4533">
        <w:rPr>
          <w:rFonts w:ascii="Calibri" w:eastAsia="Times New Roman" w:hAnsi="Calibri" w:cs="Calibri"/>
          <w:color w:val="000000"/>
          <w:kern w:val="0"/>
          <w:lang w:eastAsia="en-GB"/>
          <w14:ligatures w14:val="none"/>
        </w:rPr>
        <w:t xml:space="preserve"> the child</w:t>
      </w:r>
      <w:r w:rsidR="00B60357">
        <w:rPr>
          <w:rFonts w:ascii="Calibri" w:eastAsia="Times New Roman" w:hAnsi="Calibri" w:cs="Calibri"/>
          <w:color w:val="000000"/>
          <w:kern w:val="0"/>
          <w:lang w:eastAsia="en-GB"/>
          <w14:ligatures w14:val="none"/>
        </w:rPr>
        <w:t xml:space="preserve"> observed</w:t>
      </w:r>
      <w:r w:rsidRPr="00FA4533">
        <w:rPr>
          <w:rFonts w:ascii="Calibri" w:eastAsia="Times New Roman" w:hAnsi="Calibri" w:cs="Calibri"/>
          <w:color w:val="000000"/>
          <w:kern w:val="0"/>
          <w:lang w:eastAsia="en-GB"/>
          <w14:ligatures w14:val="none"/>
        </w:rPr>
        <w:t>. If the young child</w:t>
      </w:r>
      <w:r w:rsidR="00CA7031">
        <w:rPr>
          <w:rFonts w:ascii="Calibri" w:eastAsia="Times New Roman" w:hAnsi="Calibri" w:cs="Calibri"/>
          <w:color w:val="000000"/>
          <w:kern w:val="0"/>
          <w:lang w:eastAsia="en-GB"/>
          <w14:ligatures w14:val="none"/>
        </w:rPr>
        <w:t xml:space="preserve"> searched for the toy</w:t>
      </w:r>
      <w:r w:rsidRPr="00FA4533">
        <w:rPr>
          <w:rFonts w:ascii="Calibri" w:eastAsia="Times New Roman" w:hAnsi="Calibri" w:cs="Calibri"/>
          <w:color w:val="000000"/>
          <w:kern w:val="0"/>
          <w:lang w:eastAsia="en-GB"/>
          <w14:ligatures w14:val="none"/>
        </w:rPr>
        <w:t xml:space="preserve">, this would imply that the child </w:t>
      </w:r>
      <w:r w:rsidRPr="00FA4533">
        <w:rPr>
          <w:rFonts w:ascii="Calibri" w:eastAsia="Times New Roman" w:hAnsi="Calibri" w:cs="Calibri"/>
          <w:color w:val="000000"/>
          <w:kern w:val="0"/>
          <w:lang w:eastAsia="en-GB"/>
          <w14:ligatures w14:val="none"/>
        </w:rPr>
        <w:lastRenderedPageBreak/>
        <w:t xml:space="preserve">could comprehend that the object remained to </w:t>
      </w:r>
      <w:r w:rsidR="00A53F6C">
        <w:rPr>
          <w:rFonts w:ascii="Calibri" w:eastAsia="Times New Roman" w:hAnsi="Calibri" w:cs="Calibri"/>
          <w:color w:val="000000"/>
          <w:kern w:val="0"/>
          <w:lang w:eastAsia="en-GB"/>
          <w14:ligatures w14:val="none"/>
        </w:rPr>
        <w:t>be present</w:t>
      </w:r>
      <w:r w:rsidRPr="00FA4533">
        <w:rPr>
          <w:rFonts w:ascii="Calibri" w:eastAsia="Times New Roman" w:hAnsi="Calibri" w:cs="Calibri"/>
          <w:color w:val="000000"/>
          <w:kern w:val="0"/>
          <w:lang w:eastAsia="en-GB"/>
          <w14:ligatures w14:val="none"/>
        </w:rPr>
        <w:t xml:space="preserve"> even wh</w:t>
      </w:r>
      <w:r w:rsidR="00A53F6C">
        <w:rPr>
          <w:rFonts w:ascii="Calibri" w:eastAsia="Times New Roman" w:hAnsi="Calibri" w:cs="Calibri"/>
          <w:color w:val="000000"/>
          <w:kern w:val="0"/>
          <w:lang w:eastAsia="en-GB"/>
          <w14:ligatures w14:val="none"/>
        </w:rPr>
        <w:t>en</w:t>
      </w:r>
      <w:r w:rsidRPr="00FA4533">
        <w:rPr>
          <w:rFonts w:ascii="Calibri" w:eastAsia="Times New Roman" w:hAnsi="Calibri" w:cs="Calibri"/>
          <w:color w:val="000000"/>
          <w:kern w:val="0"/>
          <w:lang w:eastAsia="en-GB"/>
          <w14:ligatures w14:val="none"/>
        </w:rPr>
        <w:t xml:space="preserve"> </w:t>
      </w:r>
      <w:r w:rsidR="00A53F6C">
        <w:rPr>
          <w:rFonts w:ascii="Calibri" w:eastAsia="Times New Roman" w:hAnsi="Calibri" w:cs="Calibri"/>
          <w:color w:val="000000"/>
          <w:kern w:val="0"/>
          <w:lang w:eastAsia="en-GB"/>
          <w14:ligatures w14:val="none"/>
        </w:rPr>
        <w:t xml:space="preserve">the toy </w:t>
      </w:r>
      <w:r w:rsidRPr="00FA4533">
        <w:rPr>
          <w:rFonts w:ascii="Calibri" w:eastAsia="Times New Roman" w:hAnsi="Calibri" w:cs="Calibri"/>
          <w:color w:val="000000"/>
          <w:kern w:val="0"/>
          <w:lang w:eastAsia="en-GB"/>
          <w14:ligatures w14:val="none"/>
        </w:rPr>
        <w:t xml:space="preserve">was hidden, exhibiting object permanence. One limitation of this study consists of </w:t>
      </w:r>
      <w:r w:rsidR="00875E0E" w:rsidRPr="00875E0E">
        <w:rPr>
          <w:rFonts w:ascii="Calibri" w:eastAsia="Times New Roman" w:hAnsi="Calibri" w:cs="Calibri"/>
          <w:color w:val="000000"/>
          <w:kern w:val="0"/>
          <w:lang w:eastAsia="en-GB"/>
          <w14:ligatures w14:val="none"/>
        </w:rPr>
        <w:t xml:space="preserve">evidence that </w:t>
      </w:r>
      <w:r w:rsidRPr="00FA4533">
        <w:rPr>
          <w:rFonts w:ascii="Calibri" w:eastAsia="Times New Roman" w:hAnsi="Calibri" w:cs="Calibri"/>
          <w:color w:val="000000"/>
          <w:kern w:val="0"/>
          <w:lang w:eastAsia="en-GB"/>
          <w14:ligatures w14:val="none"/>
        </w:rPr>
        <w:t xml:space="preserve">infants under the age of 8 months did not conduct a search for the </w:t>
      </w:r>
      <w:r w:rsidR="002452F5">
        <w:rPr>
          <w:rFonts w:ascii="Calibri" w:eastAsia="Times New Roman" w:hAnsi="Calibri" w:cs="Calibri"/>
          <w:color w:val="000000"/>
          <w:kern w:val="0"/>
          <w:lang w:eastAsia="en-GB"/>
          <w14:ligatures w14:val="none"/>
        </w:rPr>
        <w:t xml:space="preserve">object </w:t>
      </w:r>
      <w:r w:rsidRPr="00FA4533">
        <w:rPr>
          <w:rFonts w:ascii="Calibri" w:eastAsia="Times New Roman" w:hAnsi="Calibri" w:cs="Calibri"/>
          <w:color w:val="000000"/>
          <w:kern w:val="0"/>
          <w:lang w:eastAsia="en-GB"/>
          <w14:ligatures w14:val="none"/>
        </w:rPr>
        <w:t xml:space="preserve">for </w:t>
      </w:r>
      <w:r w:rsidR="002452F5">
        <w:rPr>
          <w:rFonts w:ascii="Calibri" w:eastAsia="Times New Roman" w:hAnsi="Calibri" w:cs="Calibri"/>
          <w:color w:val="000000"/>
          <w:kern w:val="0"/>
          <w:lang w:eastAsia="en-GB"/>
          <w14:ligatures w14:val="none"/>
        </w:rPr>
        <w:t xml:space="preserve">numerous </w:t>
      </w:r>
      <w:r w:rsidRPr="00FA4533">
        <w:rPr>
          <w:rFonts w:ascii="Calibri" w:eastAsia="Times New Roman" w:hAnsi="Calibri" w:cs="Calibri"/>
          <w:color w:val="000000"/>
          <w:kern w:val="0"/>
          <w:lang w:eastAsia="en-GB"/>
          <w14:ligatures w14:val="none"/>
        </w:rPr>
        <w:t xml:space="preserve">reasons, </w:t>
      </w:r>
      <w:r w:rsidR="002452F5">
        <w:rPr>
          <w:rFonts w:ascii="Calibri" w:eastAsia="Times New Roman" w:hAnsi="Calibri" w:cs="Calibri"/>
          <w:color w:val="000000"/>
          <w:kern w:val="0"/>
          <w:lang w:eastAsia="en-GB"/>
          <w14:ligatures w14:val="none"/>
        </w:rPr>
        <w:t xml:space="preserve">which </w:t>
      </w:r>
      <w:r w:rsidRPr="00FA4533">
        <w:rPr>
          <w:rFonts w:ascii="Calibri" w:eastAsia="Times New Roman" w:hAnsi="Calibri" w:cs="Calibri"/>
          <w:color w:val="000000"/>
          <w:kern w:val="0"/>
          <w:lang w:eastAsia="en-GB"/>
          <w14:ligatures w14:val="none"/>
        </w:rPr>
        <w:t>inclu</w:t>
      </w:r>
      <w:r w:rsidR="002452F5">
        <w:rPr>
          <w:rFonts w:ascii="Calibri" w:eastAsia="Times New Roman" w:hAnsi="Calibri" w:cs="Calibri"/>
          <w:color w:val="000000"/>
          <w:kern w:val="0"/>
          <w:lang w:eastAsia="en-GB"/>
          <w14:ligatures w14:val="none"/>
        </w:rPr>
        <w:t xml:space="preserve">de </w:t>
      </w:r>
      <w:r w:rsidRPr="00FA4533">
        <w:rPr>
          <w:rFonts w:ascii="Calibri" w:eastAsia="Times New Roman" w:hAnsi="Calibri" w:cs="Calibri"/>
          <w:color w:val="000000"/>
          <w:kern w:val="0"/>
          <w:lang w:eastAsia="en-GB"/>
          <w14:ligatures w14:val="none"/>
        </w:rPr>
        <w:t>a lack of motor skills, a lack of curiosity, or th</w:t>
      </w:r>
      <w:r w:rsidR="009060ED">
        <w:rPr>
          <w:rFonts w:ascii="Calibri" w:eastAsia="Times New Roman" w:hAnsi="Calibri" w:cs="Calibri"/>
          <w:color w:val="000000"/>
          <w:kern w:val="0"/>
          <w:lang w:eastAsia="en-GB"/>
          <w14:ligatures w14:val="none"/>
        </w:rPr>
        <w:t>at the</w:t>
      </w:r>
      <w:r w:rsidRPr="00FA4533">
        <w:rPr>
          <w:rFonts w:ascii="Calibri" w:eastAsia="Times New Roman" w:hAnsi="Calibri" w:cs="Calibri"/>
          <w:color w:val="000000"/>
          <w:kern w:val="0"/>
          <w:lang w:eastAsia="en-GB"/>
          <w14:ligatures w14:val="none"/>
        </w:rPr>
        <w:t xml:space="preserve"> purposeful concealment of the item lead</w:t>
      </w:r>
      <w:r w:rsidR="009060ED">
        <w:rPr>
          <w:rFonts w:ascii="Calibri" w:eastAsia="Times New Roman" w:hAnsi="Calibri" w:cs="Calibri"/>
          <w:color w:val="000000"/>
          <w:kern w:val="0"/>
          <w:lang w:eastAsia="en-GB"/>
          <w14:ligatures w14:val="none"/>
        </w:rPr>
        <w:t xml:space="preserve"> the child</w:t>
      </w:r>
      <w:r w:rsidRPr="00FA4533">
        <w:rPr>
          <w:rFonts w:ascii="Calibri" w:eastAsia="Times New Roman" w:hAnsi="Calibri" w:cs="Calibri"/>
          <w:color w:val="000000"/>
          <w:kern w:val="0"/>
          <w:lang w:eastAsia="en-GB"/>
          <w14:ligatures w14:val="none"/>
        </w:rPr>
        <w:t xml:space="preserve"> to </w:t>
      </w:r>
      <w:r w:rsidR="00ED10A0">
        <w:rPr>
          <w:rFonts w:ascii="Calibri" w:eastAsia="Times New Roman" w:hAnsi="Calibri" w:cs="Calibri"/>
          <w:color w:val="000000"/>
          <w:kern w:val="0"/>
          <w:lang w:eastAsia="en-GB"/>
          <w14:ligatures w14:val="none"/>
        </w:rPr>
        <w:t xml:space="preserve">conclude </w:t>
      </w:r>
      <w:r w:rsidRPr="00FA4533">
        <w:rPr>
          <w:rFonts w:ascii="Calibri" w:eastAsia="Times New Roman" w:hAnsi="Calibri" w:cs="Calibri"/>
          <w:color w:val="000000"/>
          <w:kern w:val="0"/>
          <w:lang w:eastAsia="en-GB"/>
          <w14:ligatures w14:val="none"/>
        </w:rPr>
        <w:t>it was prohibited. Piaget's tests were criti</w:t>
      </w:r>
      <w:r w:rsidR="00A728D3">
        <w:rPr>
          <w:rFonts w:ascii="Calibri" w:eastAsia="Times New Roman" w:hAnsi="Calibri" w:cs="Calibri"/>
          <w:color w:val="000000"/>
          <w:kern w:val="0"/>
          <w:lang w:eastAsia="en-GB"/>
          <w14:ligatures w14:val="none"/>
        </w:rPr>
        <w:t>qued</w:t>
      </w:r>
      <w:r w:rsidRPr="00FA4533">
        <w:rPr>
          <w:rFonts w:ascii="Calibri" w:eastAsia="Times New Roman" w:hAnsi="Calibri" w:cs="Calibri"/>
          <w:color w:val="000000"/>
          <w:kern w:val="0"/>
          <w:lang w:eastAsia="en-GB"/>
          <w14:ligatures w14:val="none"/>
        </w:rPr>
        <w:t xml:space="preserve"> for lacking 'human sensibility,' with detractors </w:t>
      </w:r>
      <w:r w:rsidR="008A4657">
        <w:rPr>
          <w:rFonts w:ascii="Calibri" w:eastAsia="Times New Roman" w:hAnsi="Calibri" w:cs="Calibri"/>
          <w:color w:val="000000"/>
          <w:kern w:val="0"/>
          <w:lang w:eastAsia="en-GB"/>
          <w14:ligatures w14:val="none"/>
        </w:rPr>
        <w:t xml:space="preserve">challenging </w:t>
      </w:r>
      <w:r w:rsidRPr="00FA4533">
        <w:rPr>
          <w:rFonts w:ascii="Calibri" w:eastAsia="Times New Roman" w:hAnsi="Calibri" w:cs="Calibri"/>
          <w:color w:val="000000"/>
          <w:kern w:val="0"/>
          <w:lang w:eastAsia="en-GB"/>
          <w14:ligatures w14:val="none"/>
        </w:rPr>
        <w:t>that his theory undervalues the age at which toddlers learn object permanence. According to other researchers, like Bower and Wishart, children who are just as three months old can exhibit object permanence. The</w:t>
      </w:r>
      <w:r w:rsidR="00CC6819">
        <w:rPr>
          <w:rFonts w:ascii="Calibri" w:eastAsia="Times New Roman" w:hAnsi="Calibri" w:cs="Calibri"/>
          <w:color w:val="000000"/>
          <w:kern w:val="0"/>
          <w:lang w:eastAsia="en-GB"/>
          <w14:ligatures w14:val="none"/>
        </w:rPr>
        <w:t xml:space="preserve"> lights were switched off </w:t>
      </w:r>
      <w:proofErr w:type="gramStart"/>
      <w:r w:rsidR="00CC6819">
        <w:rPr>
          <w:rFonts w:ascii="Calibri" w:eastAsia="Times New Roman" w:hAnsi="Calibri" w:cs="Calibri"/>
          <w:color w:val="000000"/>
          <w:kern w:val="0"/>
          <w:lang w:eastAsia="en-GB"/>
          <w14:ligatures w14:val="none"/>
        </w:rPr>
        <w:t>in order to</w:t>
      </w:r>
      <w:proofErr w:type="gramEnd"/>
      <w:r w:rsidR="00CC6819">
        <w:rPr>
          <w:rFonts w:ascii="Calibri" w:eastAsia="Times New Roman" w:hAnsi="Calibri" w:cs="Calibri"/>
          <w:color w:val="000000"/>
          <w:kern w:val="0"/>
          <w:lang w:eastAsia="en-GB"/>
          <w14:ligatures w14:val="none"/>
        </w:rPr>
        <w:t xml:space="preserve"> use </w:t>
      </w:r>
      <w:r w:rsidR="00352534">
        <w:rPr>
          <w:rFonts w:ascii="Calibri" w:eastAsia="Times New Roman" w:hAnsi="Calibri" w:cs="Calibri"/>
          <w:color w:val="000000"/>
          <w:kern w:val="0"/>
          <w:lang w:eastAsia="en-GB"/>
          <w14:ligatures w14:val="none"/>
        </w:rPr>
        <w:t>an infrared</w:t>
      </w:r>
      <w:r w:rsidRPr="00FA4533">
        <w:rPr>
          <w:rFonts w:ascii="Calibri" w:eastAsia="Times New Roman" w:hAnsi="Calibri" w:cs="Calibri"/>
          <w:color w:val="000000"/>
          <w:kern w:val="0"/>
          <w:lang w:eastAsia="en-GB"/>
          <w14:ligatures w14:val="none"/>
        </w:rPr>
        <w:t xml:space="preserve"> camera to monitor the child. When it was dark, they discovered that babies were continually reaching for things, indicating that they are aware of their presence (</w:t>
      </w:r>
      <w:proofErr w:type="spellStart"/>
      <w:r w:rsidRPr="00FA4533">
        <w:rPr>
          <w:rFonts w:ascii="Calibri" w:eastAsia="Times New Roman" w:hAnsi="Calibri" w:cs="Calibri"/>
          <w:color w:val="000000"/>
          <w:kern w:val="0"/>
          <w:lang w:eastAsia="en-GB"/>
          <w14:ligatures w14:val="none"/>
        </w:rPr>
        <w:t>MyTutor</w:t>
      </w:r>
      <w:proofErr w:type="spellEnd"/>
      <w:r w:rsidRPr="00FA4533">
        <w:rPr>
          <w:rFonts w:ascii="Calibri" w:eastAsia="Times New Roman" w:hAnsi="Calibri" w:cs="Calibri"/>
          <w:color w:val="000000"/>
          <w:kern w:val="0"/>
          <w:lang w:eastAsia="en-GB"/>
          <w14:ligatures w14:val="none"/>
        </w:rPr>
        <w:t>, 2013). </w:t>
      </w:r>
    </w:p>
    <w:p w14:paraId="29A22D1C"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7EFF873B" w14:textId="35B90FC3" w:rsidR="00462C0B" w:rsidRDefault="00FA4533" w:rsidP="00FA4533">
      <w:pPr>
        <w:spacing w:after="0" w:line="240" w:lineRule="auto"/>
        <w:rPr>
          <w:rFonts w:ascii="Calibri" w:eastAsia="Times New Roman" w:hAnsi="Calibri" w:cs="Calibri"/>
          <w:color w:val="000000"/>
          <w:kern w:val="0"/>
          <w:lang w:eastAsia="en-GB"/>
          <w14:ligatures w14:val="none"/>
        </w:rPr>
      </w:pPr>
      <w:r w:rsidRPr="00FA4533">
        <w:rPr>
          <w:rFonts w:ascii="Calibri" w:eastAsia="Times New Roman" w:hAnsi="Calibri" w:cs="Calibri"/>
          <w:color w:val="000000"/>
          <w:kern w:val="0"/>
          <w:lang w:eastAsia="en-GB"/>
          <w14:ligatures w14:val="none"/>
        </w:rPr>
        <w:t xml:space="preserve">According to Piaget's hypothesis, the next stage of cognitive development is the preoperational stage. This period lasts from two to seven years (Cacioppo &amp; Freberg, 2013). An infant's capacity for symbolic expression, such as the use of words and images is used to represent the physical environment, this </w:t>
      </w:r>
      <w:r w:rsidR="001C34A4">
        <w:rPr>
          <w:rFonts w:ascii="Calibri" w:eastAsia="Times New Roman" w:hAnsi="Calibri" w:cs="Calibri"/>
          <w:color w:val="000000"/>
          <w:kern w:val="0"/>
          <w:lang w:eastAsia="en-GB"/>
          <w14:ligatures w14:val="none"/>
        </w:rPr>
        <w:t xml:space="preserve">progresses </w:t>
      </w:r>
      <w:r w:rsidRPr="00FA4533">
        <w:rPr>
          <w:rFonts w:ascii="Calibri" w:eastAsia="Times New Roman" w:hAnsi="Calibri" w:cs="Calibri"/>
          <w:color w:val="000000"/>
          <w:kern w:val="0"/>
          <w:lang w:eastAsia="en-GB"/>
          <w14:ligatures w14:val="none"/>
        </w:rPr>
        <w:t xml:space="preserve">throughout </w:t>
      </w:r>
      <w:proofErr w:type="gramStart"/>
      <w:r w:rsidRPr="00FA4533">
        <w:rPr>
          <w:rFonts w:ascii="Calibri" w:eastAsia="Times New Roman" w:hAnsi="Calibri" w:cs="Calibri"/>
          <w:color w:val="000000"/>
          <w:kern w:val="0"/>
          <w:lang w:eastAsia="en-GB"/>
          <w14:ligatures w14:val="none"/>
        </w:rPr>
        <w:t>a period of time</w:t>
      </w:r>
      <w:proofErr w:type="gramEnd"/>
      <w:r w:rsidR="001C34A4">
        <w:rPr>
          <w:rFonts w:ascii="Calibri" w:eastAsia="Times New Roman" w:hAnsi="Calibri" w:cs="Calibri"/>
          <w:color w:val="000000"/>
          <w:kern w:val="0"/>
          <w:lang w:eastAsia="en-GB"/>
          <w14:ligatures w14:val="none"/>
        </w:rPr>
        <w:t xml:space="preserve"> </w:t>
      </w:r>
      <w:r w:rsidRPr="00FA4533">
        <w:rPr>
          <w:rFonts w:ascii="Calibri" w:eastAsia="Times New Roman" w:hAnsi="Calibri" w:cs="Calibri"/>
          <w:color w:val="000000"/>
          <w:kern w:val="0"/>
          <w:lang w:eastAsia="en-GB"/>
          <w14:ligatures w14:val="none"/>
        </w:rPr>
        <w:t xml:space="preserve">(Shaffer &amp; </w:t>
      </w:r>
      <w:proofErr w:type="spellStart"/>
      <w:r w:rsidRPr="00FA4533">
        <w:rPr>
          <w:rFonts w:ascii="Calibri" w:eastAsia="Times New Roman" w:hAnsi="Calibri" w:cs="Calibri"/>
          <w:color w:val="000000"/>
          <w:kern w:val="0"/>
          <w:lang w:eastAsia="en-GB"/>
          <w14:ligatures w14:val="none"/>
        </w:rPr>
        <w:t>Kipp</w:t>
      </w:r>
      <w:proofErr w:type="spellEnd"/>
      <w:r w:rsidRPr="00FA4533">
        <w:rPr>
          <w:rFonts w:ascii="Calibri" w:eastAsia="Times New Roman" w:hAnsi="Calibri" w:cs="Calibri"/>
          <w:color w:val="000000"/>
          <w:kern w:val="0"/>
          <w:lang w:eastAsia="en-GB"/>
          <w14:ligatures w14:val="none"/>
        </w:rPr>
        <w:t xml:space="preserve">, 2010). </w:t>
      </w:r>
      <w:r w:rsidR="002C6B96">
        <w:rPr>
          <w:rFonts w:ascii="Calibri" w:eastAsia="Times New Roman" w:hAnsi="Calibri" w:cs="Calibri"/>
          <w:color w:val="000000"/>
          <w:kern w:val="0"/>
          <w:lang w:eastAsia="en-GB"/>
          <w14:ligatures w14:val="none"/>
        </w:rPr>
        <w:t xml:space="preserve">Infants ranging from age </w:t>
      </w:r>
      <w:r w:rsidRPr="00FA4533">
        <w:rPr>
          <w:rFonts w:ascii="Calibri" w:eastAsia="Times New Roman" w:hAnsi="Calibri" w:cs="Calibri"/>
          <w:color w:val="000000"/>
          <w:kern w:val="0"/>
          <w:lang w:eastAsia="en-GB"/>
          <w14:ligatures w14:val="none"/>
        </w:rPr>
        <w:t xml:space="preserve">2 and 4 can draw a picture, however, they </w:t>
      </w:r>
      <w:r w:rsidR="00637ACD">
        <w:rPr>
          <w:rFonts w:ascii="Calibri" w:eastAsia="Times New Roman" w:hAnsi="Calibri" w:cs="Calibri"/>
          <w:color w:val="000000"/>
          <w:kern w:val="0"/>
          <w:lang w:eastAsia="en-GB"/>
          <w14:ligatures w14:val="none"/>
        </w:rPr>
        <w:t xml:space="preserve">do not have </w:t>
      </w:r>
      <w:r w:rsidRPr="00FA4533">
        <w:rPr>
          <w:rFonts w:ascii="Calibri" w:eastAsia="Times New Roman" w:hAnsi="Calibri" w:cs="Calibri"/>
          <w:color w:val="000000"/>
          <w:kern w:val="0"/>
          <w:lang w:eastAsia="en-GB"/>
          <w14:ligatures w14:val="none"/>
        </w:rPr>
        <w:t xml:space="preserve">the </w:t>
      </w:r>
      <w:r w:rsidR="002241CC">
        <w:rPr>
          <w:rFonts w:ascii="Calibri" w:eastAsia="Times New Roman" w:hAnsi="Calibri" w:cs="Calibri"/>
          <w:color w:val="000000"/>
          <w:kern w:val="0"/>
          <w:lang w:eastAsia="en-GB"/>
          <w14:ligatures w14:val="none"/>
        </w:rPr>
        <w:t xml:space="preserve">understanding </w:t>
      </w:r>
      <w:r w:rsidRPr="00FA4533">
        <w:rPr>
          <w:rFonts w:ascii="Calibri" w:eastAsia="Times New Roman" w:hAnsi="Calibri" w:cs="Calibri"/>
          <w:color w:val="000000"/>
          <w:kern w:val="0"/>
          <w:lang w:eastAsia="en-GB"/>
          <w14:ligatures w14:val="none"/>
        </w:rPr>
        <w:t xml:space="preserve">to reason coherently (Bernstein, 2007 &amp; Santrock, 2011). Based on Piaget's theory, the first constraint of the preoperational stage is animism, Animism is the capacity to tell the difference among animate and inanimate items (Berk, 1997 &amp; Shaffer &amp; </w:t>
      </w:r>
      <w:proofErr w:type="spellStart"/>
      <w:r w:rsidRPr="00FA4533">
        <w:rPr>
          <w:rFonts w:ascii="Calibri" w:eastAsia="Times New Roman" w:hAnsi="Calibri" w:cs="Calibri"/>
          <w:color w:val="000000"/>
          <w:kern w:val="0"/>
          <w:lang w:eastAsia="en-GB"/>
          <w14:ligatures w14:val="none"/>
        </w:rPr>
        <w:t>Kipp</w:t>
      </w:r>
      <w:proofErr w:type="spellEnd"/>
      <w:r w:rsidRPr="00FA4533">
        <w:rPr>
          <w:rFonts w:ascii="Calibri" w:eastAsia="Times New Roman" w:hAnsi="Calibri" w:cs="Calibri"/>
          <w:color w:val="000000"/>
          <w:kern w:val="0"/>
          <w:lang w:eastAsia="en-GB"/>
          <w14:ligatures w14:val="none"/>
        </w:rPr>
        <w:t xml:space="preserve">, 2010). The belief that all that exists surrounding them is alive is prevalent at this period of development. (Bernstein, 2007). Egocentrism is another drawback of the preoperational stage (Santrock, 2011). Egocentrism corresponds to a child's incapacity to distinguish beyond the viewpoints of themselves and others (Kesselring &amp; Müller, 2011).  Piaget </w:t>
      </w:r>
      <w:r w:rsidR="002241CC">
        <w:rPr>
          <w:rFonts w:ascii="Calibri" w:eastAsia="Times New Roman" w:hAnsi="Calibri" w:cs="Calibri"/>
          <w:color w:val="000000"/>
          <w:kern w:val="0"/>
          <w:lang w:eastAsia="en-GB"/>
          <w14:ligatures w14:val="none"/>
        </w:rPr>
        <w:t>believed that to an</w:t>
      </w:r>
      <w:r w:rsidRPr="00FA4533">
        <w:rPr>
          <w:rFonts w:ascii="Calibri" w:eastAsia="Times New Roman" w:hAnsi="Calibri" w:cs="Calibri"/>
          <w:color w:val="000000"/>
          <w:kern w:val="0"/>
          <w:lang w:eastAsia="en-GB"/>
          <w14:ligatures w14:val="none"/>
        </w:rPr>
        <w:t xml:space="preserve"> age, children </w:t>
      </w:r>
      <w:r w:rsidR="00B135D8">
        <w:rPr>
          <w:rFonts w:ascii="Calibri" w:eastAsia="Times New Roman" w:hAnsi="Calibri" w:cs="Calibri"/>
          <w:color w:val="000000"/>
          <w:kern w:val="0"/>
          <w:lang w:eastAsia="en-GB"/>
          <w14:ligatures w14:val="none"/>
        </w:rPr>
        <w:t xml:space="preserve">can be </w:t>
      </w:r>
      <w:r w:rsidRPr="00FA4533">
        <w:rPr>
          <w:rFonts w:ascii="Calibri" w:eastAsia="Times New Roman" w:hAnsi="Calibri" w:cs="Calibri"/>
          <w:color w:val="000000"/>
          <w:kern w:val="0"/>
          <w:lang w:eastAsia="en-GB"/>
          <w14:ligatures w14:val="none"/>
        </w:rPr>
        <w:t xml:space="preserve">quite egocentric (Comer &amp; Gould, 2011). Although few investigations confirmed Piaget's theory that a young child is egocentric, </w:t>
      </w:r>
      <w:r w:rsidR="00462C0B">
        <w:rPr>
          <w:rFonts w:ascii="Calibri" w:eastAsia="Times New Roman" w:hAnsi="Calibri" w:cs="Calibri"/>
          <w:color w:val="000000"/>
          <w:kern w:val="0"/>
          <w:lang w:eastAsia="en-GB"/>
          <w14:ligatures w14:val="none"/>
        </w:rPr>
        <w:t>a</w:t>
      </w:r>
    </w:p>
    <w:p w14:paraId="4DA94205" w14:textId="7499C884" w:rsidR="00FA4533" w:rsidRPr="00FA4533" w:rsidRDefault="00462C0B" w:rsidP="00FA4533">
      <w:pPr>
        <w:spacing w:after="0" w:line="240" w:lineRule="auto"/>
        <w:rPr>
          <w:rFonts w:ascii="Times New Roman" w:eastAsia="Times New Roman" w:hAnsi="Times New Roman" w:cs="Times New Roman"/>
          <w:kern w:val="0"/>
          <w:sz w:val="24"/>
          <w:szCs w:val="24"/>
          <w:lang w:eastAsia="en-GB"/>
          <w14:ligatures w14:val="none"/>
        </w:rPr>
      </w:pPr>
      <w:r>
        <w:rPr>
          <w:rFonts w:ascii="Calibri" w:eastAsia="Times New Roman" w:hAnsi="Calibri" w:cs="Calibri"/>
          <w:color w:val="000000"/>
          <w:kern w:val="0"/>
          <w:lang w:eastAsia="en-GB"/>
          <w14:ligatures w14:val="none"/>
        </w:rPr>
        <w:t xml:space="preserve">large sum </w:t>
      </w:r>
      <w:r w:rsidR="00FA4533" w:rsidRPr="00FA4533">
        <w:rPr>
          <w:rFonts w:ascii="Calibri" w:eastAsia="Times New Roman" w:hAnsi="Calibri" w:cs="Calibri"/>
          <w:color w:val="000000"/>
          <w:kern w:val="0"/>
          <w:lang w:eastAsia="en-GB"/>
          <w14:ligatures w14:val="none"/>
        </w:rPr>
        <w:t>of studies have proven that a child may consider the perspectives other</w:t>
      </w:r>
      <w:r w:rsidR="00447D55">
        <w:rPr>
          <w:rFonts w:ascii="Calibri" w:eastAsia="Times New Roman" w:hAnsi="Calibri" w:cs="Calibri"/>
          <w:color w:val="000000"/>
          <w:kern w:val="0"/>
          <w:lang w:eastAsia="en-GB"/>
          <w14:ligatures w14:val="none"/>
        </w:rPr>
        <w:t xml:space="preserve">s </w:t>
      </w:r>
      <w:r w:rsidR="00FA4533" w:rsidRPr="00FA4533">
        <w:rPr>
          <w:rFonts w:ascii="Calibri" w:eastAsia="Times New Roman" w:hAnsi="Calibri" w:cs="Calibri"/>
          <w:color w:val="000000"/>
          <w:kern w:val="0"/>
          <w:lang w:eastAsia="en-GB"/>
          <w14:ligatures w14:val="none"/>
        </w:rPr>
        <w:t>have sooner than Piaget proposed (Comer &amp; Gould, 2011).</w:t>
      </w:r>
    </w:p>
    <w:p w14:paraId="71569227"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2131E84B" w14:textId="1A0DD255"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The concrete-operational stage represents a</w:t>
      </w:r>
      <w:r w:rsidR="00803D63">
        <w:rPr>
          <w:rFonts w:ascii="Calibri" w:eastAsia="Times New Roman" w:hAnsi="Calibri" w:cs="Calibri"/>
          <w:color w:val="000000"/>
          <w:kern w:val="0"/>
          <w:lang w:eastAsia="en-GB"/>
          <w14:ligatures w14:val="none"/>
        </w:rPr>
        <w:t xml:space="preserve"> </w:t>
      </w:r>
      <w:r w:rsidR="000B7A85">
        <w:rPr>
          <w:rFonts w:ascii="Calibri" w:eastAsia="Times New Roman" w:hAnsi="Calibri" w:cs="Calibri"/>
          <w:color w:val="000000"/>
          <w:kern w:val="0"/>
          <w:lang w:eastAsia="en-GB"/>
          <w14:ligatures w14:val="none"/>
        </w:rPr>
        <w:t>fundamental</w:t>
      </w:r>
      <w:r w:rsidRPr="00FA4533">
        <w:rPr>
          <w:rFonts w:ascii="Calibri" w:eastAsia="Times New Roman" w:hAnsi="Calibri" w:cs="Calibri"/>
          <w:color w:val="000000"/>
          <w:kern w:val="0"/>
          <w:lang w:eastAsia="en-GB"/>
          <w14:ligatures w14:val="none"/>
        </w:rPr>
        <w:t xml:space="preserve"> </w:t>
      </w:r>
      <w:r w:rsidR="000B7A85">
        <w:rPr>
          <w:rFonts w:ascii="Calibri" w:eastAsia="Times New Roman" w:hAnsi="Calibri" w:cs="Calibri"/>
          <w:color w:val="000000"/>
          <w:kern w:val="0"/>
          <w:lang w:eastAsia="en-GB"/>
          <w14:ligatures w14:val="none"/>
        </w:rPr>
        <w:t>duration</w:t>
      </w:r>
      <w:r w:rsidRPr="00FA4533">
        <w:rPr>
          <w:rFonts w:ascii="Calibri" w:eastAsia="Times New Roman" w:hAnsi="Calibri" w:cs="Calibri"/>
          <w:color w:val="000000"/>
          <w:kern w:val="0"/>
          <w:lang w:eastAsia="en-GB"/>
          <w14:ligatures w14:val="none"/>
        </w:rPr>
        <w:t xml:space="preserve"> </w:t>
      </w:r>
      <w:r w:rsidR="000B7A85">
        <w:rPr>
          <w:rFonts w:ascii="Calibri" w:eastAsia="Times New Roman" w:hAnsi="Calibri" w:cs="Calibri"/>
          <w:color w:val="000000"/>
          <w:kern w:val="0"/>
          <w:lang w:eastAsia="en-GB"/>
          <w14:ligatures w14:val="none"/>
        </w:rPr>
        <w:t>withi</w:t>
      </w:r>
      <w:r w:rsidRPr="00FA4533">
        <w:rPr>
          <w:rFonts w:ascii="Calibri" w:eastAsia="Times New Roman" w:hAnsi="Calibri" w:cs="Calibri"/>
          <w:color w:val="000000"/>
          <w:kern w:val="0"/>
          <w:lang w:eastAsia="en-GB"/>
          <w14:ligatures w14:val="none"/>
        </w:rPr>
        <w:t>n children's cognitive development (Piaget, 1947). According to Piaget, the current stage of th</w:t>
      </w:r>
      <w:r w:rsidR="003A256D">
        <w:rPr>
          <w:rFonts w:ascii="Calibri" w:eastAsia="Times New Roman" w:hAnsi="Calibri" w:cs="Calibri"/>
          <w:color w:val="000000"/>
          <w:kern w:val="0"/>
          <w:lang w:eastAsia="en-GB"/>
          <w14:ligatures w14:val="none"/>
        </w:rPr>
        <w:t>ought</w:t>
      </w:r>
      <w:r w:rsidRPr="00FA4533">
        <w:rPr>
          <w:rFonts w:ascii="Calibri" w:eastAsia="Times New Roman" w:hAnsi="Calibri" w:cs="Calibri"/>
          <w:color w:val="000000"/>
          <w:kern w:val="0"/>
          <w:lang w:eastAsia="en-GB"/>
          <w14:ligatures w14:val="none"/>
        </w:rPr>
        <w:t xml:space="preserve"> is di</w:t>
      </w:r>
      <w:r w:rsidR="00B35759">
        <w:rPr>
          <w:rFonts w:ascii="Calibri" w:eastAsia="Times New Roman" w:hAnsi="Calibri" w:cs="Calibri"/>
          <w:color w:val="000000"/>
          <w:kern w:val="0"/>
          <w:lang w:eastAsia="en-GB"/>
          <w14:ligatures w14:val="none"/>
        </w:rPr>
        <w:t>gnified</w:t>
      </w:r>
      <w:r w:rsidRPr="00FA4533">
        <w:rPr>
          <w:rFonts w:ascii="Calibri" w:eastAsia="Times New Roman" w:hAnsi="Calibri" w:cs="Calibri"/>
          <w:color w:val="000000"/>
          <w:kern w:val="0"/>
          <w:lang w:eastAsia="en-GB"/>
          <w14:ligatures w14:val="none"/>
        </w:rPr>
        <w:t xml:space="preserve"> </w:t>
      </w:r>
      <w:r w:rsidR="00B35759">
        <w:rPr>
          <w:rFonts w:ascii="Calibri" w:eastAsia="Times New Roman" w:hAnsi="Calibri" w:cs="Calibri"/>
          <w:color w:val="000000"/>
          <w:kern w:val="0"/>
          <w:lang w:eastAsia="en-GB"/>
          <w14:ligatures w14:val="none"/>
        </w:rPr>
        <w:t xml:space="preserve">through </w:t>
      </w:r>
      <w:r w:rsidRPr="00FA4533">
        <w:rPr>
          <w:rFonts w:ascii="Calibri" w:eastAsia="Times New Roman" w:hAnsi="Calibri" w:cs="Calibri"/>
          <w:color w:val="000000"/>
          <w:kern w:val="0"/>
          <w:lang w:eastAsia="en-GB"/>
          <w14:ligatures w14:val="none"/>
        </w:rPr>
        <w:t xml:space="preserve">logical processes </w:t>
      </w:r>
      <w:r w:rsidR="00B35759">
        <w:rPr>
          <w:rFonts w:ascii="Calibri" w:eastAsia="Times New Roman" w:hAnsi="Calibri" w:cs="Calibri"/>
          <w:color w:val="000000"/>
          <w:kern w:val="0"/>
          <w:lang w:eastAsia="en-GB"/>
          <w14:ligatures w14:val="none"/>
        </w:rPr>
        <w:t xml:space="preserve">that </w:t>
      </w:r>
      <w:r w:rsidRPr="00FA4533">
        <w:rPr>
          <w:rFonts w:ascii="Calibri" w:eastAsia="Times New Roman" w:hAnsi="Calibri" w:cs="Calibri"/>
          <w:color w:val="000000"/>
          <w:kern w:val="0"/>
          <w:lang w:eastAsia="en-GB"/>
          <w14:ligatures w14:val="none"/>
        </w:rPr>
        <w:t xml:space="preserve">include conservation, reversibility, or classification, that </w:t>
      </w:r>
      <w:r w:rsidR="00557DC8">
        <w:rPr>
          <w:rFonts w:ascii="Calibri" w:eastAsia="Times New Roman" w:hAnsi="Calibri" w:cs="Calibri"/>
          <w:color w:val="000000"/>
          <w:kern w:val="0"/>
          <w:lang w:eastAsia="en-GB"/>
          <w14:ligatures w14:val="none"/>
        </w:rPr>
        <w:t>grant</w:t>
      </w:r>
      <w:r w:rsidRPr="00FA4533">
        <w:rPr>
          <w:rFonts w:ascii="Calibri" w:eastAsia="Times New Roman" w:hAnsi="Calibri" w:cs="Calibri"/>
          <w:color w:val="000000"/>
          <w:kern w:val="0"/>
          <w:lang w:eastAsia="en-GB"/>
          <w14:ligatures w14:val="none"/>
        </w:rPr>
        <w:t xml:space="preserve"> </w:t>
      </w:r>
      <w:r w:rsidR="00E16762">
        <w:rPr>
          <w:rFonts w:ascii="Calibri" w:eastAsia="Times New Roman" w:hAnsi="Calibri" w:cs="Calibri"/>
          <w:color w:val="000000"/>
          <w:kern w:val="0"/>
          <w:lang w:eastAsia="en-GB"/>
          <w14:ligatures w14:val="none"/>
        </w:rPr>
        <w:t xml:space="preserve">in aid of </w:t>
      </w:r>
      <w:r w:rsidRPr="00FA4533">
        <w:rPr>
          <w:rFonts w:ascii="Calibri" w:eastAsia="Times New Roman" w:hAnsi="Calibri" w:cs="Calibri"/>
          <w:color w:val="000000"/>
          <w:kern w:val="0"/>
          <w:lang w:eastAsia="en-GB"/>
          <w14:ligatures w14:val="none"/>
        </w:rPr>
        <w:t xml:space="preserve">rational thought. These mental processes are </w:t>
      </w:r>
      <w:r w:rsidR="00101572">
        <w:rPr>
          <w:rFonts w:ascii="Calibri" w:eastAsia="Times New Roman" w:hAnsi="Calibri" w:cs="Calibri"/>
          <w:color w:val="000000"/>
          <w:kern w:val="0"/>
          <w:lang w:eastAsia="en-GB"/>
          <w14:ligatures w14:val="none"/>
        </w:rPr>
        <w:t>limited</w:t>
      </w:r>
      <w:r w:rsidRPr="00FA4533">
        <w:rPr>
          <w:rFonts w:ascii="Calibri" w:eastAsia="Times New Roman" w:hAnsi="Calibri" w:cs="Calibri"/>
          <w:color w:val="000000"/>
          <w:kern w:val="0"/>
          <w:lang w:eastAsia="en-GB"/>
          <w14:ligatures w14:val="none"/>
        </w:rPr>
        <w:t xml:space="preserve"> </w:t>
      </w:r>
      <w:r w:rsidR="00101572">
        <w:rPr>
          <w:rFonts w:ascii="Calibri" w:eastAsia="Times New Roman" w:hAnsi="Calibri" w:cs="Calibri"/>
          <w:color w:val="000000"/>
          <w:kern w:val="0"/>
          <w:lang w:eastAsia="en-GB"/>
          <w14:ligatures w14:val="none"/>
        </w:rPr>
        <w:t>with</w:t>
      </w:r>
      <w:r w:rsidRPr="00FA4533">
        <w:rPr>
          <w:rFonts w:ascii="Calibri" w:eastAsia="Times New Roman" w:hAnsi="Calibri" w:cs="Calibri"/>
          <w:color w:val="000000"/>
          <w:kern w:val="0"/>
          <w:lang w:eastAsia="en-GB"/>
          <w14:ligatures w14:val="none"/>
        </w:rPr>
        <w:t xml:space="preserve"> actual events and </w:t>
      </w:r>
      <w:r w:rsidR="00727A37">
        <w:rPr>
          <w:rFonts w:ascii="Calibri" w:eastAsia="Times New Roman" w:hAnsi="Calibri" w:cs="Calibri"/>
          <w:color w:val="000000"/>
          <w:kern w:val="0"/>
          <w:lang w:eastAsia="en-GB"/>
          <w14:ligatures w14:val="none"/>
        </w:rPr>
        <w:t>are not to</w:t>
      </w:r>
      <w:r w:rsidRPr="00FA4533">
        <w:rPr>
          <w:rFonts w:ascii="Calibri" w:eastAsia="Times New Roman" w:hAnsi="Calibri" w:cs="Calibri"/>
          <w:color w:val="000000"/>
          <w:kern w:val="0"/>
          <w:lang w:eastAsia="en-GB"/>
          <w14:ligatures w14:val="none"/>
        </w:rPr>
        <w:t xml:space="preserve"> be used </w:t>
      </w:r>
      <w:r w:rsidR="005D1DC3">
        <w:rPr>
          <w:rFonts w:ascii="Calibri" w:eastAsia="Times New Roman" w:hAnsi="Calibri" w:cs="Calibri"/>
          <w:color w:val="000000"/>
          <w:kern w:val="0"/>
          <w:lang w:eastAsia="en-GB"/>
          <w14:ligatures w14:val="none"/>
        </w:rPr>
        <w:t xml:space="preserve">within </w:t>
      </w:r>
      <w:r w:rsidRPr="00FA4533">
        <w:rPr>
          <w:rFonts w:ascii="Calibri" w:eastAsia="Times New Roman" w:hAnsi="Calibri" w:cs="Calibri"/>
          <w:color w:val="000000"/>
          <w:kern w:val="0"/>
          <w:lang w:eastAsia="en-GB"/>
          <w14:ligatures w14:val="none"/>
        </w:rPr>
        <w:t>hypothetical scenarios</w:t>
      </w:r>
      <w:r w:rsidR="005D1DC3">
        <w:rPr>
          <w:rFonts w:ascii="Calibri" w:eastAsia="Times New Roman" w:hAnsi="Calibri" w:cs="Calibri"/>
          <w:color w:val="000000"/>
          <w:kern w:val="0"/>
          <w:lang w:eastAsia="en-GB"/>
          <w14:ligatures w14:val="none"/>
        </w:rPr>
        <w:t>. Resulting from this</w:t>
      </w:r>
      <w:r w:rsidRPr="00FA4533">
        <w:rPr>
          <w:rFonts w:ascii="Calibri" w:eastAsia="Times New Roman" w:hAnsi="Calibri" w:cs="Calibri"/>
          <w:color w:val="000000"/>
          <w:kern w:val="0"/>
          <w:lang w:eastAsia="en-GB"/>
          <w14:ligatures w14:val="none"/>
        </w:rPr>
        <w:t xml:space="preserve">, concrete-operational thinking is </w:t>
      </w:r>
      <w:r w:rsidR="008B6B24">
        <w:rPr>
          <w:rFonts w:ascii="Calibri" w:eastAsia="Times New Roman" w:hAnsi="Calibri" w:cs="Calibri"/>
          <w:color w:val="000000"/>
          <w:kern w:val="0"/>
          <w:lang w:eastAsia="en-GB"/>
          <w14:ligatures w14:val="none"/>
        </w:rPr>
        <w:t>examined</w:t>
      </w:r>
      <w:r w:rsidR="00BA6FA3">
        <w:rPr>
          <w:rFonts w:ascii="Calibri" w:eastAsia="Times New Roman" w:hAnsi="Calibri" w:cs="Calibri"/>
          <w:color w:val="000000"/>
          <w:kern w:val="0"/>
          <w:lang w:eastAsia="en-GB"/>
          <w14:ligatures w14:val="none"/>
        </w:rPr>
        <w:t xml:space="preserve"> with </w:t>
      </w:r>
      <w:r w:rsidRPr="00FA4533">
        <w:rPr>
          <w:rFonts w:ascii="Calibri" w:eastAsia="Times New Roman" w:hAnsi="Calibri" w:cs="Calibri"/>
          <w:color w:val="000000"/>
          <w:kern w:val="0"/>
          <w:lang w:eastAsia="en-GB"/>
          <w14:ligatures w14:val="none"/>
        </w:rPr>
        <w:t xml:space="preserve">use of specialised tasks that portray concrete-operational principles. Recent study suggests </w:t>
      </w:r>
      <w:r w:rsidR="00164BF6">
        <w:rPr>
          <w:rFonts w:ascii="Calibri" w:eastAsia="Times New Roman" w:hAnsi="Calibri" w:cs="Calibri"/>
          <w:color w:val="000000"/>
          <w:kern w:val="0"/>
          <w:lang w:eastAsia="en-GB"/>
          <w14:ligatures w14:val="none"/>
        </w:rPr>
        <w:t xml:space="preserve">can be deemed </w:t>
      </w:r>
      <w:r w:rsidRPr="00FA4533">
        <w:rPr>
          <w:rFonts w:ascii="Calibri" w:eastAsia="Times New Roman" w:hAnsi="Calibri" w:cs="Calibri"/>
          <w:color w:val="000000"/>
          <w:kern w:val="0"/>
          <w:lang w:eastAsia="en-GB"/>
          <w14:ligatures w14:val="none"/>
        </w:rPr>
        <w:t>not acceptable to presume a concrete-operational stage, instead deciding to evaluate concrete operations as specific and independent (</w:t>
      </w:r>
      <w:proofErr w:type="spellStart"/>
      <w:r w:rsidRPr="00FA4533">
        <w:rPr>
          <w:rFonts w:ascii="Calibri" w:eastAsia="Times New Roman" w:hAnsi="Calibri" w:cs="Calibri"/>
          <w:color w:val="000000"/>
          <w:kern w:val="0"/>
          <w:lang w:eastAsia="en-GB"/>
          <w14:ligatures w14:val="none"/>
        </w:rPr>
        <w:t>Berzonsky</w:t>
      </w:r>
      <w:proofErr w:type="spellEnd"/>
      <w:r w:rsidRPr="00FA4533">
        <w:rPr>
          <w:rFonts w:ascii="Calibri" w:eastAsia="Times New Roman" w:hAnsi="Calibri" w:cs="Calibri"/>
          <w:color w:val="000000"/>
          <w:kern w:val="0"/>
          <w:lang w:eastAsia="en-GB"/>
          <w14:ligatures w14:val="none"/>
        </w:rPr>
        <w:t xml:space="preserve">, 1971; Carlson &amp; </w:t>
      </w:r>
      <w:proofErr w:type="spellStart"/>
      <w:r w:rsidRPr="00FA4533">
        <w:rPr>
          <w:rFonts w:ascii="Calibri" w:eastAsia="Times New Roman" w:hAnsi="Calibri" w:cs="Calibri"/>
          <w:color w:val="000000"/>
          <w:kern w:val="0"/>
          <w:lang w:eastAsia="en-GB"/>
          <w14:ligatures w14:val="none"/>
        </w:rPr>
        <w:t>Wiedl</w:t>
      </w:r>
      <w:proofErr w:type="spellEnd"/>
      <w:r w:rsidRPr="00FA4533">
        <w:rPr>
          <w:rFonts w:ascii="Calibri" w:eastAsia="Times New Roman" w:hAnsi="Calibri" w:cs="Calibri"/>
          <w:color w:val="000000"/>
          <w:kern w:val="0"/>
          <w:lang w:eastAsia="en-GB"/>
          <w14:ligatures w14:val="none"/>
        </w:rPr>
        <w:t>, 1977; Lourenço &amp; Machado, 1996). A limitation to the concrete operational stage would be that even while the child's awareness of the physical world improves because of new cognitive abilities, Piaget maintains that they are still unable to reason abstractly. Furthermore, they do not think in scientifically methodical methods. (</w:t>
      </w:r>
      <w:proofErr w:type="spellStart"/>
      <w:r w:rsidRPr="00FA4533">
        <w:rPr>
          <w:rFonts w:ascii="Calibri" w:eastAsia="Times New Roman" w:hAnsi="Calibri" w:cs="Calibri"/>
          <w:color w:val="000000"/>
          <w:kern w:val="0"/>
          <w:lang w:eastAsia="en-GB"/>
          <w14:ligatures w14:val="none"/>
        </w:rPr>
        <w:t>Inhelder</w:t>
      </w:r>
      <w:proofErr w:type="spellEnd"/>
      <w:r w:rsidRPr="00FA4533">
        <w:rPr>
          <w:rFonts w:ascii="Calibri" w:eastAsia="Times New Roman" w:hAnsi="Calibri" w:cs="Calibri"/>
          <w:color w:val="000000"/>
          <w:kern w:val="0"/>
          <w:lang w:eastAsia="en-GB"/>
          <w14:ligatures w14:val="none"/>
        </w:rPr>
        <w:t xml:space="preserve"> &amp; Piaget, 1958).</w:t>
      </w:r>
    </w:p>
    <w:p w14:paraId="12A93E1F"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01C0D992" w14:textId="75F9A76F"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xml:space="preserve">The individual </w:t>
      </w:r>
      <w:r w:rsidR="00420B49">
        <w:rPr>
          <w:rFonts w:ascii="Calibri" w:eastAsia="Times New Roman" w:hAnsi="Calibri" w:cs="Calibri"/>
          <w:color w:val="000000"/>
          <w:kern w:val="0"/>
          <w:lang w:eastAsia="en-GB"/>
          <w14:ligatures w14:val="none"/>
        </w:rPr>
        <w:t xml:space="preserve">will manage to </w:t>
      </w:r>
      <w:r w:rsidR="00370383">
        <w:rPr>
          <w:rFonts w:ascii="Calibri" w:eastAsia="Times New Roman" w:hAnsi="Calibri" w:cs="Calibri"/>
          <w:color w:val="000000"/>
          <w:kern w:val="0"/>
          <w:lang w:eastAsia="en-GB"/>
          <w14:ligatures w14:val="none"/>
        </w:rPr>
        <w:t xml:space="preserve">exhibit </w:t>
      </w:r>
      <w:r w:rsidRPr="00FA4533">
        <w:rPr>
          <w:rFonts w:ascii="Calibri" w:eastAsia="Times New Roman" w:hAnsi="Calibri" w:cs="Calibri"/>
          <w:color w:val="000000"/>
          <w:kern w:val="0"/>
          <w:lang w:eastAsia="en-GB"/>
          <w14:ligatures w14:val="none"/>
        </w:rPr>
        <w:t xml:space="preserve">that they have the </w:t>
      </w:r>
      <w:r w:rsidR="00BA7E67">
        <w:rPr>
          <w:rFonts w:ascii="Calibri" w:eastAsia="Times New Roman" w:hAnsi="Calibri" w:cs="Calibri"/>
          <w:color w:val="000000"/>
          <w:kern w:val="0"/>
          <w:lang w:eastAsia="en-GB"/>
          <w14:ligatures w14:val="none"/>
        </w:rPr>
        <w:t>competence</w:t>
      </w:r>
      <w:r w:rsidRPr="00FA4533">
        <w:rPr>
          <w:rFonts w:ascii="Calibri" w:eastAsia="Times New Roman" w:hAnsi="Calibri" w:cs="Calibri"/>
          <w:color w:val="000000"/>
          <w:kern w:val="0"/>
          <w:lang w:eastAsia="en-GB"/>
          <w14:ligatures w14:val="none"/>
        </w:rPr>
        <w:t xml:space="preserve"> to critically examine events whilst considering argument and logic into account throughout the formal operational stage. This stage is further distinguished through having the capacity to process information in more conceptual ways. For instance, an individual in this stage will begin to recognize that repercussions are the outcome of not complying with orders rather than comprehending how there are repercussions to acts, for instance getting in trouble or receiving punishment because of shouting at a parent</w:t>
      </w:r>
      <w:r w:rsidRPr="00FA4533">
        <w:rPr>
          <w:rFonts w:ascii="Calibri" w:eastAsia="Times New Roman" w:hAnsi="Calibri" w:cs="Calibri"/>
          <w:b/>
          <w:bCs/>
          <w:color w:val="000000"/>
          <w:kern w:val="0"/>
          <w:lang w:eastAsia="en-GB"/>
          <w14:ligatures w14:val="none"/>
        </w:rPr>
        <w:t xml:space="preserve">. </w:t>
      </w:r>
      <w:r w:rsidR="00EF51EE" w:rsidRPr="00AC3710">
        <w:rPr>
          <w:rFonts w:ascii="Calibri" w:eastAsia="Times New Roman" w:hAnsi="Calibri" w:cs="Calibri"/>
          <w:color w:val="000000"/>
          <w:kern w:val="0"/>
          <w:lang w:eastAsia="en-GB"/>
          <w14:ligatures w14:val="none"/>
        </w:rPr>
        <w:t xml:space="preserve">However, students </w:t>
      </w:r>
      <w:r w:rsidRPr="00FA4533">
        <w:rPr>
          <w:rFonts w:ascii="Calibri" w:eastAsia="Times New Roman" w:hAnsi="Calibri" w:cs="Calibri"/>
          <w:color w:val="000000"/>
          <w:kern w:val="0"/>
          <w:lang w:eastAsia="en-GB"/>
          <w14:ligatures w14:val="none"/>
        </w:rPr>
        <w:t xml:space="preserve">will </w:t>
      </w:r>
      <w:r w:rsidR="00FE1179" w:rsidRPr="00AC3710">
        <w:rPr>
          <w:rFonts w:ascii="Calibri" w:eastAsia="Times New Roman" w:hAnsi="Calibri" w:cs="Calibri"/>
          <w:color w:val="000000"/>
          <w:kern w:val="0"/>
          <w:lang w:eastAsia="en-GB"/>
          <w14:ligatures w14:val="none"/>
        </w:rPr>
        <w:t>acknowledge</w:t>
      </w:r>
      <w:r w:rsidRPr="00FA4533">
        <w:rPr>
          <w:rFonts w:ascii="Calibri" w:eastAsia="Times New Roman" w:hAnsi="Calibri" w:cs="Calibri"/>
          <w:color w:val="000000"/>
          <w:kern w:val="0"/>
          <w:lang w:eastAsia="en-GB"/>
          <w14:ligatures w14:val="none"/>
        </w:rPr>
        <w:t xml:space="preserve"> that repercussions </w:t>
      </w:r>
      <w:r w:rsidR="00426251">
        <w:rPr>
          <w:rFonts w:ascii="Calibri" w:eastAsia="Times New Roman" w:hAnsi="Calibri" w:cs="Calibri"/>
          <w:color w:val="000000"/>
          <w:kern w:val="0"/>
          <w:lang w:eastAsia="en-GB"/>
          <w14:ligatures w14:val="none"/>
        </w:rPr>
        <w:t xml:space="preserve">will expedite </w:t>
      </w:r>
      <w:r w:rsidRPr="00FA4533">
        <w:rPr>
          <w:rFonts w:ascii="Calibri" w:eastAsia="Times New Roman" w:hAnsi="Calibri" w:cs="Calibri"/>
          <w:color w:val="000000"/>
          <w:kern w:val="0"/>
          <w:lang w:eastAsia="en-GB"/>
          <w14:ligatures w14:val="none"/>
        </w:rPr>
        <w:t xml:space="preserve">moral and ethical concerns including distrust, emotional instability, and dishonour. An individual additionally begins to make judgements based on establishing an opinion regarding testing out scenarios when they reach the formal operational stage of cognitive development. A feeling of egocentrism, which is the development of ideas centred around a right-or-wrong philosophical thought, along with the </w:t>
      </w:r>
      <w:r w:rsidRPr="00FA4533">
        <w:rPr>
          <w:rFonts w:ascii="Calibri" w:eastAsia="Times New Roman" w:hAnsi="Calibri" w:cs="Calibri"/>
          <w:color w:val="000000"/>
          <w:kern w:val="0"/>
          <w:lang w:eastAsia="en-GB"/>
          <w14:ligatures w14:val="none"/>
        </w:rPr>
        <w:lastRenderedPageBreak/>
        <w:t>capacity to foresee future events, are other possible traits (McCallister, 2015). A limitation of this study is that one academic has remarked that, whereas Piaget's theory suggests four stages of cognitive development, there is empirical convincing proof that not all teenagers reach the formal operational stage. The formal operational stage is dependent upon the development of critical thinking abilities. Some children may not develop the necessary cognitive abilities to effectively enter this stage partly because of variables involving education, parenting, and cultural influences. (Cherry, 2021).</w:t>
      </w:r>
    </w:p>
    <w:p w14:paraId="5E677341"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w:t>
      </w:r>
    </w:p>
    <w:p w14:paraId="41BD6DD1"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The basis of Piaget’s theory has changed the way learning takes place in the classroom. An individual’s understanding of their surrounding environment is brought to life through interaction with that environment which creates a framework or schema that individuals refer to when absorbing and understanding further knowledge.</w:t>
      </w:r>
    </w:p>
    <w:p w14:paraId="1B2AB64E"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50A09DD6"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Piaget’s theory is important to apply within a classroom and can be the foundation for formative assessment where an individual’s existing knowledge and understanding is considered within their education along with their readiness to learn new information. The focus should be on experiential learning rather than memorising and regurgitating information for the purposes of assessment. The theory encourages individual led learning rather than through teaching strategies, and learning and development should be child centred with appropriate strategies in place to support an individuals’ learning. This should be enough to challenge a child by exposing them to new experiences and learning environments whilst considering their current knowledge and ability. This strategy is considered more favourable under Piaget’s model and learning experiences will encourage understanding of a topic or information rather than the teaching of facts with less applied understanding of how these facts transfer to real life contexts (LaMarr, 2022).</w:t>
      </w:r>
    </w:p>
    <w:p w14:paraId="3CD3E9DE"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28BFBC4C"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xml:space="preserve">Piaget stated that children learn through Assimilation, Accommodation and Equilibration. Each of these three processes are required for his learning model. Children assimilate knowledge to interact successfully with their environment, for example they may be aware that objects float as they will have observed this in the past. They might use this knowledge to play with others using a toy boat in a bowl of water. However, in the accommodation process, if the child discovers that a boat can sink if the volume of water isn’t enough, they will change this schema. Equilibration occurs with a balance of knowledge and understanding </w:t>
      </w:r>
      <w:proofErr w:type="gramStart"/>
      <w:r w:rsidRPr="00FA4533">
        <w:rPr>
          <w:rFonts w:ascii="Calibri" w:eastAsia="Times New Roman" w:hAnsi="Calibri" w:cs="Calibri"/>
          <w:color w:val="000000"/>
          <w:kern w:val="0"/>
          <w:lang w:eastAsia="en-GB"/>
          <w14:ligatures w14:val="none"/>
        </w:rPr>
        <w:t>and also</w:t>
      </w:r>
      <w:proofErr w:type="gramEnd"/>
      <w:r w:rsidRPr="00FA4533">
        <w:rPr>
          <w:rFonts w:ascii="Calibri" w:eastAsia="Times New Roman" w:hAnsi="Calibri" w:cs="Calibri"/>
          <w:color w:val="000000"/>
          <w:kern w:val="0"/>
          <w:lang w:eastAsia="en-GB"/>
          <w14:ligatures w14:val="none"/>
        </w:rPr>
        <w:t xml:space="preserve"> assimilation and accommodation. The child will test before deciding whether the boat will </w:t>
      </w:r>
      <w:proofErr w:type="gramStart"/>
      <w:r w:rsidRPr="00FA4533">
        <w:rPr>
          <w:rFonts w:ascii="Calibri" w:eastAsia="Times New Roman" w:hAnsi="Calibri" w:cs="Calibri"/>
          <w:color w:val="000000"/>
          <w:kern w:val="0"/>
          <w:lang w:eastAsia="en-GB"/>
          <w14:ligatures w14:val="none"/>
        </w:rPr>
        <w:t>float</w:t>
      </w:r>
      <w:proofErr w:type="gramEnd"/>
      <w:r w:rsidRPr="00FA4533">
        <w:rPr>
          <w:rFonts w:ascii="Calibri" w:eastAsia="Times New Roman" w:hAnsi="Calibri" w:cs="Calibri"/>
          <w:color w:val="000000"/>
          <w:kern w:val="0"/>
          <w:lang w:eastAsia="en-GB"/>
          <w14:ligatures w14:val="none"/>
        </w:rPr>
        <w:t xml:space="preserve"> and they can continue to play. It is at this point when a scheme is challenged, that an individual gains new knowledge to interact with their environment. This is why it is said that learning through experience is more valuable than repetition to memorise key facts, however the national curriculum dictates that summative assessments which are held at the end of a learning period determine the extent to which an individual learns. Formal key stage assessments have not been changed however and a criticism of such assessments is that they rely on recall and memory rather than understanding of a context (Hargraves, 2021).</w:t>
      </w:r>
    </w:p>
    <w:p w14:paraId="5EA7707F"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58939D83"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xml:space="preserve">Delivering the right tools to allow an individual to learn independently is far more favourable for learning. This </w:t>
      </w:r>
      <w:proofErr w:type="gramStart"/>
      <w:r w:rsidRPr="00FA4533">
        <w:rPr>
          <w:rFonts w:ascii="Calibri" w:eastAsia="Times New Roman" w:hAnsi="Calibri" w:cs="Calibri"/>
          <w:color w:val="000000"/>
          <w:kern w:val="0"/>
          <w:lang w:eastAsia="en-GB"/>
          <w14:ligatures w14:val="none"/>
        </w:rPr>
        <w:t>in itself can</w:t>
      </w:r>
      <w:proofErr w:type="gramEnd"/>
      <w:r w:rsidRPr="00FA4533">
        <w:rPr>
          <w:rFonts w:ascii="Calibri" w:eastAsia="Times New Roman" w:hAnsi="Calibri" w:cs="Calibri"/>
          <w:color w:val="000000"/>
          <w:kern w:val="0"/>
          <w:lang w:eastAsia="en-GB"/>
          <w14:ligatures w14:val="none"/>
        </w:rPr>
        <w:t xml:space="preserve"> be challenging because of differing abilities and learning styles within a classroom, and learning in a classroom environment requires differentiated tasks to bring out the best in an individual as well as ensuring that tasks are matched to current abilities and the potential abilities of an individual child (Western Governors University, 2020).</w:t>
      </w:r>
    </w:p>
    <w:p w14:paraId="320EA194"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76596F52"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xml:space="preserve">Peer and group work can form a crucial part of an individuals’ learning and development and is effective in presenting new information which can be used to inform knowledge and understanding. When planning and adapting schemes of work, formative assessments help to benchmark current understanding of a topic </w:t>
      </w:r>
      <w:proofErr w:type="gramStart"/>
      <w:r w:rsidRPr="00FA4533">
        <w:rPr>
          <w:rFonts w:ascii="Calibri" w:eastAsia="Times New Roman" w:hAnsi="Calibri" w:cs="Calibri"/>
          <w:color w:val="000000"/>
          <w:kern w:val="0"/>
          <w:lang w:eastAsia="en-GB"/>
          <w14:ligatures w14:val="none"/>
        </w:rPr>
        <w:t>in order to</w:t>
      </w:r>
      <w:proofErr w:type="gramEnd"/>
      <w:r w:rsidRPr="00FA4533">
        <w:rPr>
          <w:rFonts w:ascii="Calibri" w:eastAsia="Times New Roman" w:hAnsi="Calibri" w:cs="Calibri"/>
          <w:color w:val="000000"/>
          <w:kern w:val="0"/>
          <w:lang w:eastAsia="en-GB"/>
          <w14:ligatures w14:val="none"/>
        </w:rPr>
        <w:t xml:space="preserve"> ascertain what a pupil will be able to memorise and recall. Attempting to learn </w:t>
      </w:r>
      <w:proofErr w:type="gramStart"/>
      <w:r w:rsidRPr="00FA4533">
        <w:rPr>
          <w:rFonts w:ascii="Calibri" w:eastAsia="Times New Roman" w:hAnsi="Calibri" w:cs="Calibri"/>
          <w:color w:val="000000"/>
          <w:kern w:val="0"/>
          <w:lang w:eastAsia="en-GB"/>
          <w14:ligatures w14:val="none"/>
        </w:rPr>
        <w:t>particular answers</w:t>
      </w:r>
      <w:proofErr w:type="gramEnd"/>
      <w:r w:rsidRPr="00FA4533">
        <w:rPr>
          <w:rFonts w:ascii="Calibri" w:eastAsia="Times New Roman" w:hAnsi="Calibri" w:cs="Calibri"/>
          <w:color w:val="000000"/>
          <w:kern w:val="0"/>
          <w:lang w:eastAsia="en-GB"/>
          <w14:ligatures w14:val="none"/>
        </w:rPr>
        <w:t xml:space="preserve"> is pointless unless there is a basic level of understanding, and </w:t>
      </w:r>
      <w:r w:rsidRPr="00FA4533">
        <w:rPr>
          <w:rFonts w:ascii="Calibri" w:eastAsia="Times New Roman" w:hAnsi="Calibri" w:cs="Calibri"/>
          <w:color w:val="000000"/>
          <w:kern w:val="0"/>
          <w:lang w:eastAsia="en-GB"/>
          <w14:ligatures w14:val="none"/>
        </w:rPr>
        <w:lastRenderedPageBreak/>
        <w:t>although particular answers will help an individual be successful in some summative assessments, this does not necessarily mean that learning has taken place. The most successful means of integrating Piaget’s work into the classroom would be to incorporate discovery/experiential learning into schemes of work wherever resources allow (Hargraves, 2021).</w:t>
      </w:r>
    </w:p>
    <w:p w14:paraId="6010A4B5"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798BA0C5"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Piaget argued there are four main stages for progressional development which would also require consideration in delivering key learning ideas in the classroom. A learning environment such as a creche or nursery would be considered a form of learning environment which would aim to develop sensory-motor and preoperational stages up until the age of four. During this stage, a child’s learning and development moves on from tactile interactions and imagery based on objects that are present currently within the environment. Mastery of semiotic function is important because it indicates that a child can think and assimilate knowledge rather than merely act on objects that are physically present (LaMarr, 2022). This stage relies on perception and intuition.</w:t>
      </w:r>
    </w:p>
    <w:p w14:paraId="7CA3B0C8"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2EC1D561"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By the time an individual reaches the concrete operational stage, they begin to learn through logical thoughts without the need for direct stimuli. A child can begin to understand Mathematical functions such as inverse operations and can apply this to different contexts for example within a scientific experiment requiring the addition or removal of an element or ingredient. They also understand associativity which allows them to problem solve and draw on experiences to appreciate a range of ways to reach the same objective and that ideas are not fixed. At the formal operational stage, reasoning and application of ideas and concepts and the notion of problem solving is developed further with the individual being able to hypothesise based on already related concepts which have been learned through the experiences of the child through each progressional stage of Piaget’s model (Hargraves, 2021).</w:t>
      </w:r>
    </w:p>
    <w:p w14:paraId="5D23B34B" w14:textId="77777777"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p>
    <w:p w14:paraId="3DA221E8" w14:textId="6D00FEFD" w:rsidR="00FA4533" w:rsidRPr="00FA4533" w:rsidRDefault="00FA4533" w:rsidP="00FA4533">
      <w:pPr>
        <w:spacing w:after="0" w:line="240" w:lineRule="auto"/>
        <w:rPr>
          <w:rFonts w:ascii="Times New Roman" w:eastAsia="Times New Roman" w:hAnsi="Times New Roman" w:cs="Times New Roman"/>
          <w:kern w:val="0"/>
          <w:sz w:val="24"/>
          <w:szCs w:val="24"/>
          <w:lang w:eastAsia="en-GB"/>
          <w14:ligatures w14:val="none"/>
        </w:rPr>
      </w:pPr>
      <w:r w:rsidRPr="00FA4533">
        <w:rPr>
          <w:rFonts w:ascii="Calibri" w:eastAsia="Times New Roman" w:hAnsi="Calibri" w:cs="Calibri"/>
          <w:color w:val="000000"/>
          <w:kern w:val="0"/>
          <w:lang w:eastAsia="en-GB"/>
          <w14:ligatures w14:val="none"/>
        </w:rPr>
        <w:t xml:space="preserve">Piaget’s research into how young children acquire the capacity for logical and scientific thought led to other researchers undertaking similar investigations, many critiquing Piaget’s conclusions as “lacking human sensibility”. However, it is evident Piaget’s work has changed the way learning takes </w:t>
      </w:r>
      <w:r w:rsidRPr="00FA4533">
        <w:rPr>
          <w:rFonts w:ascii="Calibri" w:eastAsia="Times New Roman" w:hAnsi="Calibri" w:cs="Calibri"/>
          <w:color w:val="000000"/>
          <w:kern w:val="0"/>
          <w:lang w:eastAsia="en-GB"/>
          <w14:ligatures w14:val="none"/>
        </w:rPr>
        <w:t>place and</w:t>
      </w:r>
      <w:r w:rsidRPr="00FA4533">
        <w:rPr>
          <w:rFonts w:ascii="Calibri" w:eastAsia="Times New Roman" w:hAnsi="Calibri" w:cs="Calibri"/>
          <w:color w:val="000000"/>
          <w:kern w:val="0"/>
          <w:lang w:eastAsia="en-GB"/>
          <w14:ligatures w14:val="none"/>
        </w:rPr>
        <w:t xml:space="preserve"> is even shown to induce independent learning in children of all abilities. Whilst the theory has its limitations, it holds a strong basis which can be used successfully within a classroom. </w:t>
      </w:r>
    </w:p>
    <w:p w14:paraId="67460036" w14:textId="77777777" w:rsidR="00063AC0" w:rsidRDefault="00063AC0" w:rsidP="00FA4533">
      <w:pPr>
        <w:spacing w:line="240" w:lineRule="auto"/>
      </w:pPr>
    </w:p>
    <w:p w14:paraId="17AA2046" w14:textId="77777777" w:rsidR="00FA4533" w:rsidRDefault="00FA4533" w:rsidP="00FA4533">
      <w:pPr>
        <w:spacing w:line="240" w:lineRule="auto"/>
      </w:pPr>
    </w:p>
    <w:p w14:paraId="748A07F2" w14:textId="77777777" w:rsidR="00FA4533" w:rsidRDefault="00FA4533" w:rsidP="00FA4533">
      <w:pPr>
        <w:spacing w:line="240" w:lineRule="auto"/>
      </w:pPr>
    </w:p>
    <w:p w14:paraId="5A9A4852" w14:textId="77777777" w:rsidR="00FA4533" w:rsidRDefault="00FA4533" w:rsidP="00FA4533">
      <w:pPr>
        <w:spacing w:line="240" w:lineRule="auto"/>
      </w:pPr>
    </w:p>
    <w:p w14:paraId="7321B5DF" w14:textId="77777777" w:rsidR="00FA4533" w:rsidRDefault="00FA4533" w:rsidP="00FA4533">
      <w:pPr>
        <w:spacing w:line="240" w:lineRule="auto"/>
      </w:pPr>
    </w:p>
    <w:p w14:paraId="2E09787A" w14:textId="77777777" w:rsidR="00FA4533" w:rsidRDefault="00FA4533" w:rsidP="00FA4533">
      <w:pPr>
        <w:spacing w:line="240" w:lineRule="auto"/>
      </w:pPr>
    </w:p>
    <w:p w14:paraId="3BA9F447" w14:textId="77777777" w:rsidR="00FA4533" w:rsidRDefault="00FA4533" w:rsidP="00FA4533">
      <w:pPr>
        <w:spacing w:line="240" w:lineRule="auto"/>
      </w:pPr>
    </w:p>
    <w:p w14:paraId="4E8501DE" w14:textId="77777777" w:rsidR="00FA4533" w:rsidRDefault="00FA4533" w:rsidP="00FA4533">
      <w:pPr>
        <w:spacing w:line="240" w:lineRule="auto"/>
      </w:pPr>
    </w:p>
    <w:p w14:paraId="688B2996" w14:textId="77777777" w:rsidR="00FA4533" w:rsidRDefault="00FA4533" w:rsidP="00FA4533">
      <w:pPr>
        <w:spacing w:line="240" w:lineRule="auto"/>
      </w:pPr>
    </w:p>
    <w:p w14:paraId="217BC632" w14:textId="77777777" w:rsidR="00FA4533" w:rsidRDefault="00FA4533" w:rsidP="00FA4533">
      <w:pPr>
        <w:spacing w:line="240" w:lineRule="auto"/>
      </w:pPr>
    </w:p>
    <w:p w14:paraId="5995E049" w14:textId="77777777" w:rsidR="00FA4533" w:rsidRDefault="00FA4533" w:rsidP="00FA4533">
      <w:pPr>
        <w:spacing w:line="240" w:lineRule="auto"/>
      </w:pPr>
    </w:p>
    <w:p w14:paraId="1C59C876" w14:textId="77777777" w:rsidR="00FA4533" w:rsidRDefault="00FA4533" w:rsidP="00FA4533">
      <w:pPr>
        <w:spacing w:line="240" w:lineRule="auto"/>
      </w:pPr>
    </w:p>
    <w:p w14:paraId="3C5F71EC" w14:textId="77777777" w:rsidR="00FA4533" w:rsidRDefault="00FA4533" w:rsidP="00FA4533">
      <w:pPr>
        <w:spacing w:line="240" w:lineRule="auto"/>
      </w:pPr>
    </w:p>
    <w:p w14:paraId="51BD1B19" w14:textId="77777777" w:rsidR="00FA4533" w:rsidRDefault="00FA4533" w:rsidP="00FA4533">
      <w:pPr>
        <w:spacing w:line="240" w:lineRule="auto"/>
      </w:pPr>
    </w:p>
    <w:p w14:paraId="5683F6A8" w14:textId="148AB011" w:rsidR="00FA4533" w:rsidRPr="00FA4533" w:rsidRDefault="00FA4533" w:rsidP="00FA4533">
      <w:pPr>
        <w:spacing w:line="240" w:lineRule="auto"/>
        <w:rPr>
          <w:b/>
          <w:bCs/>
        </w:rPr>
      </w:pPr>
      <w:r w:rsidRPr="00FA4533">
        <w:rPr>
          <w:b/>
          <w:bCs/>
        </w:rPr>
        <w:lastRenderedPageBreak/>
        <w:t>Bibliography</w:t>
      </w:r>
    </w:p>
    <w:p w14:paraId="0BDD3D4E" w14:textId="77777777" w:rsidR="00FA4533" w:rsidRDefault="00FA4533" w:rsidP="00FA4533">
      <w:pPr>
        <w:spacing w:line="240" w:lineRule="auto"/>
      </w:pPr>
    </w:p>
    <w:p w14:paraId="4C1F2008" w14:textId="77777777" w:rsidR="00FA4533" w:rsidRDefault="00FA4533" w:rsidP="00FA4533">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t>Babakr</w:t>
      </w:r>
      <w:proofErr w:type="spellEnd"/>
      <w:r>
        <w:rPr>
          <w:rFonts w:ascii="Calibri" w:hAnsi="Calibri" w:cs="Calibri"/>
          <w:sz w:val="22"/>
          <w:szCs w:val="22"/>
        </w:rPr>
        <w:t xml:space="preserve">, Z. H., </w:t>
      </w:r>
      <w:proofErr w:type="spellStart"/>
      <w:r>
        <w:rPr>
          <w:rFonts w:ascii="Calibri" w:hAnsi="Calibri" w:cs="Calibri"/>
          <w:sz w:val="22"/>
          <w:szCs w:val="22"/>
        </w:rPr>
        <w:t>Mohamedamin</w:t>
      </w:r>
      <w:proofErr w:type="spellEnd"/>
      <w:r>
        <w:rPr>
          <w:rFonts w:ascii="Calibri" w:hAnsi="Calibri" w:cs="Calibri"/>
          <w:sz w:val="22"/>
          <w:szCs w:val="22"/>
        </w:rPr>
        <w:t xml:space="preserve">, P., &amp; </w:t>
      </w:r>
      <w:proofErr w:type="spellStart"/>
      <w:r>
        <w:rPr>
          <w:rFonts w:ascii="Calibri" w:hAnsi="Calibri" w:cs="Calibri"/>
          <w:sz w:val="22"/>
          <w:szCs w:val="22"/>
        </w:rPr>
        <w:t>Kakamad</w:t>
      </w:r>
      <w:proofErr w:type="spellEnd"/>
      <w:r>
        <w:rPr>
          <w:rFonts w:ascii="Calibri" w:hAnsi="Calibri" w:cs="Calibri"/>
          <w:sz w:val="22"/>
          <w:szCs w:val="22"/>
        </w:rPr>
        <w:t xml:space="preserve">, K. (2019). Piaget’s Cognitive Developmental Theory: Critical Review. </w:t>
      </w:r>
      <w:r>
        <w:rPr>
          <w:rFonts w:ascii="Calibri" w:hAnsi="Calibri" w:cs="Calibri"/>
          <w:i/>
          <w:iCs/>
          <w:sz w:val="22"/>
          <w:szCs w:val="22"/>
        </w:rPr>
        <w:t>Education Quarterly Reviews</w:t>
      </w:r>
      <w:r>
        <w:rPr>
          <w:rFonts w:ascii="Calibri" w:hAnsi="Calibri" w:cs="Calibri"/>
          <w:sz w:val="22"/>
          <w:szCs w:val="22"/>
        </w:rPr>
        <w:t xml:space="preserve">, </w:t>
      </w:r>
      <w:r>
        <w:rPr>
          <w:rFonts w:ascii="Calibri" w:hAnsi="Calibri" w:cs="Calibri"/>
          <w:i/>
          <w:iCs/>
          <w:sz w:val="22"/>
          <w:szCs w:val="22"/>
        </w:rPr>
        <w:t>2</w:t>
      </w:r>
      <w:r>
        <w:rPr>
          <w:rFonts w:ascii="Calibri" w:hAnsi="Calibri" w:cs="Calibri"/>
          <w:sz w:val="22"/>
          <w:szCs w:val="22"/>
        </w:rPr>
        <w:t>(3), 517–524. SSRN Product &amp; Service. https://doi.org/10.31014/aior.1993.02.03.84</w:t>
      </w:r>
    </w:p>
    <w:p w14:paraId="611CA7B9"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Berk, L. E. (1997). </w:t>
      </w:r>
      <w:r>
        <w:rPr>
          <w:rFonts w:ascii="Calibri" w:hAnsi="Calibri" w:cs="Calibri"/>
          <w:i/>
          <w:iCs/>
          <w:sz w:val="22"/>
          <w:szCs w:val="22"/>
        </w:rPr>
        <w:t>Child development</w:t>
      </w:r>
      <w:r>
        <w:rPr>
          <w:rFonts w:ascii="Calibri" w:hAnsi="Calibri" w:cs="Calibri"/>
          <w:sz w:val="22"/>
          <w:szCs w:val="22"/>
        </w:rPr>
        <w:t xml:space="preserve"> (4th ed., Vol. 1, pp. 101–150). Needham Heights, Massachusetts. https://www.worldcat.org/title/child-development/oclc/60153709</w:t>
      </w:r>
    </w:p>
    <w:p w14:paraId="235B55BA"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Bernstein, D. A. (2007). </w:t>
      </w:r>
      <w:r>
        <w:rPr>
          <w:rFonts w:ascii="Calibri" w:hAnsi="Calibri" w:cs="Calibri"/>
          <w:i/>
          <w:iCs/>
          <w:sz w:val="22"/>
          <w:szCs w:val="22"/>
        </w:rPr>
        <w:t>Psychology</w:t>
      </w:r>
      <w:r>
        <w:rPr>
          <w:rFonts w:ascii="Calibri" w:hAnsi="Calibri" w:cs="Calibri"/>
          <w:sz w:val="22"/>
          <w:szCs w:val="22"/>
        </w:rPr>
        <w:t xml:space="preserve"> (1st ed., Vol. 2). Houghton Mifflin. https://sangu.ge/images/EssentialsofPsychology.pdf</w:t>
      </w:r>
    </w:p>
    <w:p w14:paraId="01F47B2B" w14:textId="77777777" w:rsidR="00FA4533" w:rsidRDefault="00FA4533" w:rsidP="00FA4533">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t>Berzonsky</w:t>
      </w:r>
      <w:proofErr w:type="spellEnd"/>
      <w:r>
        <w:rPr>
          <w:rFonts w:ascii="Calibri" w:hAnsi="Calibri" w:cs="Calibri"/>
          <w:sz w:val="22"/>
          <w:szCs w:val="22"/>
        </w:rPr>
        <w:t xml:space="preserve">, M. D. (1971). Interdependence of </w:t>
      </w:r>
      <w:proofErr w:type="spellStart"/>
      <w:r>
        <w:rPr>
          <w:rFonts w:ascii="Calibri" w:hAnsi="Calibri" w:cs="Calibri"/>
          <w:sz w:val="22"/>
          <w:szCs w:val="22"/>
        </w:rPr>
        <w:t>Inhelder</w:t>
      </w:r>
      <w:proofErr w:type="spellEnd"/>
      <w:r>
        <w:rPr>
          <w:rFonts w:ascii="Calibri" w:hAnsi="Calibri" w:cs="Calibri"/>
          <w:sz w:val="22"/>
          <w:szCs w:val="22"/>
        </w:rPr>
        <w:t xml:space="preserve"> and Piaget’s model of logical thinking. </w:t>
      </w:r>
      <w:r>
        <w:rPr>
          <w:rFonts w:ascii="Calibri" w:hAnsi="Calibri" w:cs="Calibri"/>
          <w:i/>
          <w:iCs/>
          <w:sz w:val="22"/>
          <w:szCs w:val="22"/>
        </w:rPr>
        <w:t>Developmental Psychology</w:t>
      </w:r>
      <w:r>
        <w:rPr>
          <w:rFonts w:ascii="Calibri" w:hAnsi="Calibri" w:cs="Calibri"/>
          <w:sz w:val="22"/>
          <w:szCs w:val="22"/>
        </w:rPr>
        <w:t xml:space="preserve">, </w:t>
      </w:r>
      <w:r>
        <w:rPr>
          <w:rFonts w:ascii="Calibri" w:hAnsi="Calibri" w:cs="Calibri"/>
          <w:i/>
          <w:iCs/>
          <w:sz w:val="22"/>
          <w:szCs w:val="22"/>
        </w:rPr>
        <w:t>4</w:t>
      </w:r>
      <w:r>
        <w:rPr>
          <w:rFonts w:ascii="Calibri" w:hAnsi="Calibri" w:cs="Calibri"/>
          <w:sz w:val="22"/>
          <w:szCs w:val="22"/>
        </w:rPr>
        <w:t xml:space="preserve">(3), 469–476. APA </w:t>
      </w:r>
      <w:proofErr w:type="spellStart"/>
      <w:r>
        <w:rPr>
          <w:rFonts w:ascii="Calibri" w:hAnsi="Calibri" w:cs="Calibri"/>
          <w:sz w:val="22"/>
          <w:szCs w:val="22"/>
        </w:rPr>
        <w:t>PsycNet</w:t>
      </w:r>
      <w:proofErr w:type="spellEnd"/>
      <w:r>
        <w:rPr>
          <w:rFonts w:ascii="Calibri" w:hAnsi="Calibri" w:cs="Calibri"/>
          <w:sz w:val="22"/>
          <w:szCs w:val="22"/>
        </w:rPr>
        <w:t>. https://doi.org/10.1037/h0030961</w:t>
      </w:r>
    </w:p>
    <w:p w14:paraId="1B25D5BF" w14:textId="77777777" w:rsidR="00FA4533" w:rsidRDefault="00FA4533" w:rsidP="00FA4533">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t>Börnert-Ringleb</w:t>
      </w:r>
      <w:proofErr w:type="spellEnd"/>
      <w:r>
        <w:rPr>
          <w:rFonts w:ascii="Calibri" w:hAnsi="Calibri" w:cs="Calibri"/>
          <w:sz w:val="22"/>
          <w:szCs w:val="22"/>
        </w:rPr>
        <w:t xml:space="preserve">, M., &amp; Wilbert, J. (2018). The Association of Strategy Use and Concrete-Operational Thinking in Primary School. </w:t>
      </w:r>
      <w:r>
        <w:rPr>
          <w:rFonts w:ascii="Calibri" w:hAnsi="Calibri" w:cs="Calibri"/>
          <w:i/>
          <w:iCs/>
          <w:sz w:val="22"/>
          <w:szCs w:val="22"/>
        </w:rPr>
        <w:t>Frontiers in Education</w:t>
      </w:r>
      <w:r>
        <w:rPr>
          <w:rFonts w:ascii="Calibri" w:hAnsi="Calibri" w:cs="Calibri"/>
          <w:sz w:val="22"/>
          <w:szCs w:val="22"/>
        </w:rPr>
        <w:t xml:space="preserve">, </w:t>
      </w:r>
      <w:r>
        <w:rPr>
          <w:rFonts w:ascii="Calibri" w:hAnsi="Calibri" w:cs="Calibri"/>
          <w:i/>
          <w:iCs/>
          <w:sz w:val="22"/>
          <w:szCs w:val="22"/>
        </w:rPr>
        <w:t>3</w:t>
      </w:r>
      <w:r>
        <w:rPr>
          <w:rFonts w:ascii="Calibri" w:hAnsi="Calibri" w:cs="Calibri"/>
          <w:sz w:val="22"/>
          <w:szCs w:val="22"/>
        </w:rPr>
        <w:t>(38). Frontiers. https://doi.org/10.3389/feduc.2018.00038</w:t>
      </w:r>
    </w:p>
    <w:p w14:paraId="1585D1EA"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Butler-Bowdon, T. (2017). </w:t>
      </w:r>
      <w:r>
        <w:rPr>
          <w:rFonts w:ascii="Calibri" w:hAnsi="Calibri" w:cs="Calibri"/>
          <w:i/>
          <w:iCs/>
          <w:sz w:val="22"/>
          <w:szCs w:val="22"/>
        </w:rPr>
        <w:t>50 Philosophy Classics</w:t>
      </w:r>
      <w:r>
        <w:rPr>
          <w:rFonts w:ascii="Calibri" w:hAnsi="Calibri" w:cs="Calibri"/>
          <w:sz w:val="22"/>
          <w:szCs w:val="22"/>
        </w:rPr>
        <w:t xml:space="preserve"> (1st ed., Vol. 1). Nicholas Brealey. https://openlibrary.org/books/OL24052249M/50_psychology_classics. (Original work published 2007)</w:t>
      </w:r>
    </w:p>
    <w:p w14:paraId="49D2BA1A"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Cacioppo, J. T., &amp; Freberg, L. (2013). </w:t>
      </w:r>
      <w:r>
        <w:rPr>
          <w:rFonts w:ascii="Calibri" w:hAnsi="Calibri" w:cs="Calibri"/>
          <w:i/>
          <w:iCs/>
          <w:sz w:val="22"/>
          <w:szCs w:val="22"/>
        </w:rPr>
        <w:t xml:space="preserve">Discovering </w:t>
      </w:r>
      <w:proofErr w:type="gramStart"/>
      <w:r>
        <w:rPr>
          <w:rFonts w:ascii="Calibri" w:hAnsi="Calibri" w:cs="Calibri"/>
          <w:i/>
          <w:iCs/>
          <w:sz w:val="22"/>
          <w:szCs w:val="22"/>
        </w:rPr>
        <w:t>psychology :</w:t>
      </w:r>
      <w:proofErr w:type="gramEnd"/>
      <w:r>
        <w:rPr>
          <w:rFonts w:ascii="Calibri" w:hAnsi="Calibri" w:cs="Calibri"/>
          <w:i/>
          <w:iCs/>
          <w:sz w:val="22"/>
          <w:szCs w:val="22"/>
        </w:rPr>
        <w:t xml:space="preserve"> the science of mind</w:t>
      </w:r>
      <w:r>
        <w:rPr>
          <w:rFonts w:ascii="Calibri" w:hAnsi="Calibri" w:cs="Calibri"/>
          <w:sz w:val="22"/>
          <w:szCs w:val="22"/>
        </w:rPr>
        <w:t xml:space="preserve"> (1st ed., Vol. 1). Wadsworth Cengage Wadsworth. https://www.worldcat.org/title/discovering-psychology-the-science-of-mind/oclc/794973711</w:t>
      </w:r>
    </w:p>
    <w:p w14:paraId="343A44D9"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Carlson, J. S., &amp; </w:t>
      </w:r>
      <w:proofErr w:type="spellStart"/>
      <w:r>
        <w:rPr>
          <w:rFonts w:ascii="Calibri" w:hAnsi="Calibri" w:cs="Calibri"/>
          <w:sz w:val="22"/>
          <w:szCs w:val="22"/>
        </w:rPr>
        <w:t>Wiedl</w:t>
      </w:r>
      <w:proofErr w:type="spellEnd"/>
      <w:r>
        <w:rPr>
          <w:rFonts w:ascii="Calibri" w:hAnsi="Calibri" w:cs="Calibri"/>
          <w:sz w:val="22"/>
          <w:szCs w:val="22"/>
        </w:rPr>
        <w:t xml:space="preserve">, K. H. (1977). Modes of information integration and Piagetian measures of concrete operational thought. </w:t>
      </w:r>
      <w:r>
        <w:rPr>
          <w:rFonts w:ascii="Calibri" w:hAnsi="Calibri" w:cs="Calibri"/>
          <w:i/>
          <w:iCs/>
          <w:sz w:val="22"/>
          <w:szCs w:val="22"/>
        </w:rPr>
        <w:t>Intelligence</w:t>
      </w:r>
      <w:r>
        <w:rPr>
          <w:rFonts w:ascii="Calibri" w:hAnsi="Calibri" w:cs="Calibri"/>
          <w:sz w:val="22"/>
          <w:szCs w:val="22"/>
        </w:rPr>
        <w:t xml:space="preserve">, </w:t>
      </w:r>
      <w:r>
        <w:rPr>
          <w:rFonts w:ascii="Calibri" w:hAnsi="Calibri" w:cs="Calibri"/>
          <w:i/>
          <w:iCs/>
          <w:sz w:val="22"/>
          <w:szCs w:val="22"/>
        </w:rPr>
        <w:t>1</w:t>
      </w:r>
      <w:r>
        <w:rPr>
          <w:rFonts w:ascii="Calibri" w:hAnsi="Calibri" w:cs="Calibri"/>
          <w:sz w:val="22"/>
          <w:szCs w:val="22"/>
        </w:rPr>
        <w:t>(4), 335–342. ScienceDirect. https://doi.org/10.1016/0160-2896(77)90016-2</w:t>
      </w:r>
    </w:p>
    <w:p w14:paraId="3A7004A9"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Cherry, K. (2021, October 7). </w:t>
      </w:r>
      <w:r>
        <w:rPr>
          <w:rFonts w:ascii="Calibri" w:hAnsi="Calibri" w:cs="Calibri"/>
          <w:i/>
          <w:iCs/>
          <w:sz w:val="22"/>
          <w:szCs w:val="22"/>
        </w:rPr>
        <w:t>Formal Operational Stage of Cognitive Development</w:t>
      </w:r>
      <w:r>
        <w:rPr>
          <w:rFonts w:ascii="Calibri" w:hAnsi="Calibri" w:cs="Calibri"/>
          <w:sz w:val="22"/>
          <w:szCs w:val="22"/>
        </w:rPr>
        <w:t xml:space="preserve">. </w:t>
      </w:r>
      <w:proofErr w:type="spellStart"/>
      <w:r>
        <w:rPr>
          <w:rFonts w:ascii="Calibri" w:hAnsi="Calibri" w:cs="Calibri"/>
          <w:sz w:val="22"/>
          <w:szCs w:val="22"/>
        </w:rPr>
        <w:t>Verywell</w:t>
      </w:r>
      <w:proofErr w:type="spellEnd"/>
      <w:r>
        <w:rPr>
          <w:rFonts w:ascii="Calibri" w:hAnsi="Calibri" w:cs="Calibri"/>
          <w:sz w:val="22"/>
          <w:szCs w:val="22"/>
        </w:rPr>
        <w:t xml:space="preserve"> Mind. https://www.verywellmind.com/formal-operational-stage-of-cognitive-development-2795459</w:t>
      </w:r>
    </w:p>
    <w:p w14:paraId="766F9A56"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Comer, R. J., &amp; Gould, E. (2011). </w:t>
      </w:r>
      <w:r>
        <w:rPr>
          <w:rFonts w:ascii="Calibri" w:hAnsi="Calibri" w:cs="Calibri"/>
          <w:i/>
          <w:iCs/>
          <w:sz w:val="22"/>
          <w:szCs w:val="22"/>
        </w:rPr>
        <w:t>Psychology around us</w:t>
      </w:r>
      <w:r>
        <w:rPr>
          <w:rFonts w:ascii="Calibri" w:hAnsi="Calibri" w:cs="Calibri"/>
          <w:sz w:val="22"/>
          <w:szCs w:val="22"/>
        </w:rPr>
        <w:t xml:space="preserve"> (2nd ed., Vol. 1). Wiley. https://www.wiley.com/en-us/Psychology+Around+Us%2C+2nd+Edition-p-9781118091586</w:t>
      </w:r>
    </w:p>
    <w:p w14:paraId="3280D85E"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Eggen, P., &amp; Kauchak, D. (2013). </w:t>
      </w:r>
      <w:r>
        <w:rPr>
          <w:rFonts w:ascii="Calibri" w:hAnsi="Calibri" w:cs="Calibri"/>
          <w:i/>
          <w:iCs/>
          <w:sz w:val="22"/>
          <w:szCs w:val="22"/>
        </w:rPr>
        <w:t>Eggen, P. and Kauchak, D. (2004) Educational psychology Windows, classrooms. Pearson Prentice Hall, Upper Saddle River. - References - Scientific Research Publishing</w:t>
      </w:r>
      <w:r>
        <w:rPr>
          <w:rFonts w:ascii="Calibri" w:hAnsi="Calibri" w:cs="Calibri"/>
          <w:sz w:val="22"/>
          <w:szCs w:val="22"/>
        </w:rPr>
        <w:t xml:space="preserve">. Scirp.org; Scientific Research </w:t>
      </w:r>
      <w:proofErr w:type="gramStart"/>
      <w:r>
        <w:rPr>
          <w:rFonts w:ascii="Calibri" w:hAnsi="Calibri" w:cs="Calibri"/>
          <w:sz w:val="22"/>
          <w:szCs w:val="22"/>
        </w:rPr>
        <w:t>An</w:t>
      </w:r>
      <w:proofErr w:type="gramEnd"/>
      <w:r>
        <w:rPr>
          <w:rFonts w:ascii="Calibri" w:hAnsi="Calibri" w:cs="Calibri"/>
          <w:sz w:val="22"/>
          <w:szCs w:val="22"/>
        </w:rPr>
        <w:t xml:space="preserve"> Academic Publisher. https://scirp.org/reference/referencespapers.aspx?referenceid=741727</w:t>
      </w:r>
    </w:p>
    <w:p w14:paraId="13F96332"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Goswami, U. (2014). </w:t>
      </w:r>
      <w:r>
        <w:rPr>
          <w:rFonts w:ascii="Calibri" w:hAnsi="Calibri" w:cs="Calibri"/>
          <w:i/>
          <w:iCs/>
          <w:sz w:val="22"/>
          <w:szCs w:val="22"/>
        </w:rPr>
        <w:t>The Wiley-Blackwell handbook of childhood cognitive development</w:t>
      </w:r>
      <w:r>
        <w:rPr>
          <w:rFonts w:ascii="Calibri" w:hAnsi="Calibri" w:cs="Calibri"/>
          <w:sz w:val="22"/>
          <w:szCs w:val="22"/>
        </w:rPr>
        <w:t xml:space="preserve"> (2nd ed., Vol. 1). Wiley-Blackwell. https://www.researchgate.net/profile/Andrew-Meltzoff/publication/229558145_Social_Cognition_and_the_Origins_of_Imitation_Empathy_and_Theory_of_Mind/links/5c0988d14585157ac1adb429/Social-Cognition-and-the-Origins-of-Imitation-Empathy-and-Theory-of-Mind.pdf</w:t>
      </w:r>
    </w:p>
    <w:p w14:paraId="615F2EDB"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Hargraves, V. (2021, March 17). </w:t>
      </w:r>
      <w:r>
        <w:rPr>
          <w:rFonts w:ascii="Calibri" w:hAnsi="Calibri" w:cs="Calibri"/>
          <w:i/>
          <w:iCs/>
          <w:sz w:val="22"/>
          <w:szCs w:val="22"/>
        </w:rPr>
        <w:t>Piaget’s theory of education</w:t>
      </w:r>
      <w:r>
        <w:rPr>
          <w:rFonts w:ascii="Calibri" w:hAnsi="Calibri" w:cs="Calibri"/>
          <w:sz w:val="22"/>
          <w:szCs w:val="22"/>
        </w:rPr>
        <w:t>. The Education Hub; The Education Hub. https://theeducationhub.org.nz/piagets-theory-of-education/</w:t>
      </w:r>
    </w:p>
    <w:p w14:paraId="1B958285"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Hetherington, E., Mavis, E., Parke, S., Locke, C., &amp; Otis, V. (1999). </w:t>
      </w:r>
      <w:r>
        <w:rPr>
          <w:rFonts w:ascii="Calibri" w:hAnsi="Calibri" w:cs="Calibri"/>
          <w:i/>
          <w:iCs/>
          <w:sz w:val="22"/>
          <w:szCs w:val="22"/>
        </w:rPr>
        <w:t xml:space="preserve">APA </w:t>
      </w:r>
      <w:proofErr w:type="spellStart"/>
      <w:r>
        <w:rPr>
          <w:rFonts w:ascii="Calibri" w:hAnsi="Calibri" w:cs="Calibri"/>
          <w:i/>
          <w:iCs/>
          <w:sz w:val="22"/>
          <w:szCs w:val="22"/>
        </w:rPr>
        <w:t>PsycNet</w:t>
      </w:r>
      <w:proofErr w:type="spellEnd"/>
      <w:r>
        <w:rPr>
          <w:rFonts w:ascii="Calibri" w:hAnsi="Calibri" w:cs="Calibri"/>
          <w:sz w:val="22"/>
          <w:szCs w:val="22"/>
        </w:rPr>
        <w:t xml:space="preserve">. Psycnet.apa.org; APA </w:t>
      </w:r>
      <w:proofErr w:type="spellStart"/>
      <w:r>
        <w:rPr>
          <w:rFonts w:ascii="Calibri" w:hAnsi="Calibri" w:cs="Calibri"/>
          <w:sz w:val="22"/>
          <w:szCs w:val="22"/>
        </w:rPr>
        <w:t>PsycNet</w:t>
      </w:r>
      <w:proofErr w:type="spellEnd"/>
      <w:r>
        <w:rPr>
          <w:rFonts w:ascii="Calibri" w:hAnsi="Calibri" w:cs="Calibri"/>
          <w:sz w:val="22"/>
          <w:szCs w:val="22"/>
        </w:rPr>
        <w:t>. https://psycnet.apa.org/record/1999-02824-000</w:t>
      </w:r>
    </w:p>
    <w:p w14:paraId="51BCDE90" w14:textId="77777777" w:rsidR="00FA4533" w:rsidRDefault="00FA4533" w:rsidP="00FA4533">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t>Huitt</w:t>
      </w:r>
      <w:proofErr w:type="spellEnd"/>
      <w:r>
        <w:rPr>
          <w:rFonts w:ascii="Calibri" w:hAnsi="Calibri" w:cs="Calibri"/>
          <w:sz w:val="22"/>
          <w:szCs w:val="22"/>
        </w:rPr>
        <w:t xml:space="preserve">, W., &amp; Hummel, J. (2003). </w:t>
      </w:r>
      <w:r>
        <w:rPr>
          <w:rFonts w:ascii="Calibri" w:hAnsi="Calibri" w:cs="Calibri"/>
          <w:i/>
          <w:iCs/>
          <w:sz w:val="22"/>
          <w:szCs w:val="22"/>
        </w:rPr>
        <w:t>Educational Psychology Interactive: Cognitive Development</w:t>
      </w:r>
      <w:r>
        <w:rPr>
          <w:rFonts w:ascii="Calibri" w:hAnsi="Calibri" w:cs="Calibri"/>
          <w:sz w:val="22"/>
          <w:szCs w:val="22"/>
        </w:rPr>
        <w:t xml:space="preserve">. Edpsycinteractive.org; Scientific Research </w:t>
      </w:r>
      <w:proofErr w:type="gramStart"/>
      <w:r>
        <w:rPr>
          <w:rFonts w:ascii="Calibri" w:hAnsi="Calibri" w:cs="Calibri"/>
          <w:sz w:val="22"/>
          <w:szCs w:val="22"/>
        </w:rPr>
        <w:t>An</w:t>
      </w:r>
      <w:proofErr w:type="gramEnd"/>
      <w:r>
        <w:rPr>
          <w:rFonts w:ascii="Calibri" w:hAnsi="Calibri" w:cs="Calibri"/>
          <w:sz w:val="22"/>
          <w:szCs w:val="22"/>
        </w:rPr>
        <w:t xml:space="preserve"> Academic Publisher. http://www.edpsycinteractive.org/topics/cognition/piaget.html</w:t>
      </w:r>
    </w:p>
    <w:p w14:paraId="55B327A2" w14:textId="77777777" w:rsidR="00FA4533" w:rsidRDefault="00FA4533" w:rsidP="00FA4533">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t>Inhelder</w:t>
      </w:r>
      <w:proofErr w:type="spellEnd"/>
      <w:r>
        <w:rPr>
          <w:rFonts w:ascii="Calibri" w:hAnsi="Calibri" w:cs="Calibri"/>
          <w:sz w:val="22"/>
          <w:szCs w:val="22"/>
        </w:rPr>
        <w:t xml:space="preserve">, B., &amp; Piaget, J. (1958). The growth of logical thinking: From childhood to adolescence. </w:t>
      </w:r>
      <w:r>
        <w:rPr>
          <w:rFonts w:ascii="Calibri" w:hAnsi="Calibri" w:cs="Calibri"/>
          <w:i/>
          <w:iCs/>
          <w:sz w:val="22"/>
          <w:szCs w:val="22"/>
        </w:rPr>
        <w:t>Gender Differences in Formal Thinking: Their Impact on Right-Wing Authoritarianism and Religious Fundamentalism</w:t>
      </w:r>
      <w:r>
        <w:rPr>
          <w:rFonts w:ascii="Calibri" w:hAnsi="Calibri" w:cs="Calibri"/>
          <w:sz w:val="22"/>
          <w:szCs w:val="22"/>
        </w:rPr>
        <w:t xml:space="preserve">, </w:t>
      </w:r>
      <w:r>
        <w:rPr>
          <w:rFonts w:ascii="Calibri" w:hAnsi="Calibri" w:cs="Calibri"/>
          <w:i/>
          <w:iCs/>
          <w:sz w:val="22"/>
          <w:szCs w:val="22"/>
        </w:rPr>
        <w:t>6</w:t>
      </w:r>
      <w:r>
        <w:rPr>
          <w:rFonts w:ascii="Calibri" w:hAnsi="Calibri" w:cs="Calibri"/>
          <w:sz w:val="22"/>
          <w:szCs w:val="22"/>
        </w:rPr>
        <w:t xml:space="preserve">(13). Scientific Research </w:t>
      </w:r>
      <w:proofErr w:type="gramStart"/>
      <w:r>
        <w:rPr>
          <w:rFonts w:ascii="Calibri" w:hAnsi="Calibri" w:cs="Calibri"/>
          <w:sz w:val="22"/>
          <w:szCs w:val="22"/>
        </w:rPr>
        <w:t>An</w:t>
      </w:r>
      <w:proofErr w:type="gramEnd"/>
      <w:r>
        <w:rPr>
          <w:rFonts w:ascii="Calibri" w:hAnsi="Calibri" w:cs="Calibri"/>
          <w:sz w:val="22"/>
          <w:szCs w:val="22"/>
        </w:rPr>
        <w:t xml:space="preserve"> Academic publisher. https://doi.org/10.1037/10034-000</w:t>
      </w:r>
    </w:p>
    <w:p w14:paraId="55044C37" w14:textId="77777777" w:rsidR="00FA4533" w:rsidRDefault="00FA4533" w:rsidP="00FA4533">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lastRenderedPageBreak/>
        <w:t>Kasschau</w:t>
      </w:r>
      <w:proofErr w:type="spellEnd"/>
      <w:r>
        <w:rPr>
          <w:rFonts w:ascii="Calibri" w:hAnsi="Calibri" w:cs="Calibri"/>
          <w:sz w:val="22"/>
          <w:szCs w:val="22"/>
        </w:rPr>
        <w:t xml:space="preserve">, R. A., McTighe, J., McGraw-Hill Companies, &amp; McGraw-Hill Education (Firm. (2014). </w:t>
      </w:r>
      <w:r>
        <w:rPr>
          <w:rFonts w:ascii="Calibri" w:hAnsi="Calibri" w:cs="Calibri"/>
          <w:i/>
          <w:iCs/>
          <w:sz w:val="22"/>
          <w:szCs w:val="22"/>
        </w:rPr>
        <w:t>Chapter Tests and Lesson Quizzes</w:t>
      </w:r>
      <w:r>
        <w:rPr>
          <w:rFonts w:ascii="Calibri" w:hAnsi="Calibri" w:cs="Calibri"/>
          <w:sz w:val="22"/>
          <w:szCs w:val="22"/>
        </w:rPr>
        <w:t xml:space="preserve"> (1st ed., Vol. 2). Books and </w:t>
      </w:r>
      <w:proofErr w:type="gramStart"/>
      <w:r>
        <w:rPr>
          <w:rFonts w:ascii="Calibri" w:hAnsi="Calibri" w:cs="Calibri"/>
          <w:sz w:val="22"/>
          <w:szCs w:val="22"/>
        </w:rPr>
        <w:t>Beyond</w:t>
      </w:r>
      <w:proofErr w:type="gramEnd"/>
      <w:r>
        <w:rPr>
          <w:rFonts w:ascii="Calibri" w:hAnsi="Calibri" w:cs="Calibri"/>
          <w:sz w:val="22"/>
          <w:szCs w:val="22"/>
        </w:rPr>
        <w:t>. https://www.biblio.com/understanding-psychology-by-kasschau/work/3660375</w:t>
      </w:r>
    </w:p>
    <w:p w14:paraId="20ECB612"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Kesselring, T., &amp; Müller, U. (2011). The concept of egocentrism in the context of Piaget’s theory. </w:t>
      </w:r>
      <w:r>
        <w:rPr>
          <w:rFonts w:ascii="Calibri" w:hAnsi="Calibri" w:cs="Calibri"/>
          <w:i/>
          <w:iCs/>
          <w:sz w:val="22"/>
          <w:szCs w:val="22"/>
        </w:rPr>
        <w:t>New Ideas in Psychology</w:t>
      </w:r>
      <w:r>
        <w:rPr>
          <w:rFonts w:ascii="Calibri" w:hAnsi="Calibri" w:cs="Calibri"/>
          <w:sz w:val="22"/>
          <w:szCs w:val="22"/>
        </w:rPr>
        <w:t xml:space="preserve">, </w:t>
      </w:r>
      <w:r>
        <w:rPr>
          <w:rFonts w:ascii="Calibri" w:hAnsi="Calibri" w:cs="Calibri"/>
          <w:i/>
          <w:iCs/>
          <w:sz w:val="22"/>
          <w:szCs w:val="22"/>
        </w:rPr>
        <w:t>29</w:t>
      </w:r>
      <w:r>
        <w:rPr>
          <w:rFonts w:ascii="Calibri" w:hAnsi="Calibri" w:cs="Calibri"/>
          <w:sz w:val="22"/>
          <w:szCs w:val="22"/>
        </w:rPr>
        <w:t>(3), 327–345. https://doi.org/10.1016/j.newideapsych.2010.03.008</w:t>
      </w:r>
    </w:p>
    <w:p w14:paraId="34118D15"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LaMarr, T. (2022, April 24). </w:t>
      </w:r>
      <w:r>
        <w:rPr>
          <w:rFonts w:ascii="Calibri" w:hAnsi="Calibri" w:cs="Calibri"/>
          <w:i/>
          <w:iCs/>
          <w:sz w:val="22"/>
          <w:szCs w:val="22"/>
        </w:rPr>
        <w:t>9.3: Applying Piaget’s Sensorimotor Stage</w:t>
      </w:r>
      <w:r>
        <w:rPr>
          <w:rFonts w:ascii="Calibri" w:hAnsi="Calibri" w:cs="Calibri"/>
          <w:sz w:val="22"/>
          <w:szCs w:val="22"/>
        </w:rPr>
        <w:t xml:space="preserve">. Social Sci </w:t>
      </w:r>
      <w:proofErr w:type="spellStart"/>
      <w:r>
        <w:rPr>
          <w:rFonts w:ascii="Calibri" w:hAnsi="Calibri" w:cs="Calibri"/>
          <w:sz w:val="22"/>
          <w:szCs w:val="22"/>
        </w:rPr>
        <w:t>LibreTexts</w:t>
      </w:r>
      <w:proofErr w:type="spellEnd"/>
      <w:r>
        <w:rPr>
          <w:rFonts w:ascii="Calibri" w:hAnsi="Calibri" w:cs="Calibri"/>
          <w:sz w:val="22"/>
          <w:szCs w:val="22"/>
        </w:rPr>
        <w:t xml:space="preserve">; </w:t>
      </w:r>
      <w:proofErr w:type="spellStart"/>
      <w:r>
        <w:rPr>
          <w:rFonts w:ascii="Calibri" w:hAnsi="Calibri" w:cs="Calibri"/>
          <w:sz w:val="22"/>
          <w:szCs w:val="22"/>
        </w:rPr>
        <w:t>LibreTexts</w:t>
      </w:r>
      <w:proofErr w:type="spellEnd"/>
      <w:r>
        <w:rPr>
          <w:rFonts w:ascii="Calibri" w:hAnsi="Calibri" w:cs="Calibri"/>
          <w:sz w:val="22"/>
          <w:szCs w:val="22"/>
        </w:rPr>
        <w:t>. https://socialsci.libretexts.org/Bookshelves/Early_Childhood_Education/Infant_and_Toddler_Care_and_Development_(Taintor_and_LaMarr)/09%3A_Theories_of_Cognitive_development/9.03%3A_Applying_Piagets_Sensorimotor_Stage</w:t>
      </w:r>
    </w:p>
    <w:p w14:paraId="205E2F7B"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Lourenço, O., &amp; Machado, A. (1996). In </w:t>
      </w:r>
      <w:proofErr w:type="spellStart"/>
      <w:r>
        <w:rPr>
          <w:rFonts w:ascii="Calibri" w:hAnsi="Calibri" w:cs="Calibri"/>
          <w:sz w:val="22"/>
          <w:szCs w:val="22"/>
        </w:rPr>
        <w:t>defense</w:t>
      </w:r>
      <w:proofErr w:type="spellEnd"/>
      <w:r>
        <w:rPr>
          <w:rFonts w:ascii="Calibri" w:hAnsi="Calibri" w:cs="Calibri"/>
          <w:sz w:val="22"/>
          <w:szCs w:val="22"/>
        </w:rPr>
        <w:t xml:space="preserve"> of Piaget’s theory: A reply to 10 common criticisms. </w:t>
      </w:r>
      <w:r>
        <w:rPr>
          <w:rFonts w:ascii="Calibri" w:hAnsi="Calibri" w:cs="Calibri"/>
          <w:i/>
          <w:iCs/>
          <w:sz w:val="22"/>
          <w:szCs w:val="22"/>
        </w:rPr>
        <w:t>Psychological Review</w:t>
      </w:r>
      <w:r>
        <w:rPr>
          <w:rFonts w:ascii="Calibri" w:hAnsi="Calibri" w:cs="Calibri"/>
          <w:sz w:val="22"/>
          <w:szCs w:val="22"/>
        </w:rPr>
        <w:t xml:space="preserve">, </w:t>
      </w:r>
      <w:r>
        <w:rPr>
          <w:rFonts w:ascii="Calibri" w:hAnsi="Calibri" w:cs="Calibri"/>
          <w:i/>
          <w:iCs/>
          <w:sz w:val="22"/>
          <w:szCs w:val="22"/>
        </w:rPr>
        <w:t>103</w:t>
      </w:r>
      <w:r>
        <w:rPr>
          <w:rFonts w:ascii="Calibri" w:hAnsi="Calibri" w:cs="Calibri"/>
          <w:sz w:val="22"/>
          <w:szCs w:val="22"/>
        </w:rPr>
        <w:t xml:space="preserve">(1), 143–164. APA </w:t>
      </w:r>
      <w:proofErr w:type="spellStart"/>
      <w:r>
        <w:rPr>
          <w:rFonts w:ascii="Calibri" w:hAnsi="Calibri" w:cs="Calibri"/>
          <w:sz w:val="22"/>
          <w:szCs w:val="22"/>
        </w:rPr>
        <w:t>PsycNet</w:t>
      </w:r>
      <w:proofErr w:type="spellEnd"/>
      <w:r>
        <w:rPr>
          <w:rFonts w:ascii="Calibri" w:hAnsi="Calibri" w:cs="Calibri"/>
          <w:sz w:val="22"/>
          <w:szCs w:val="22"/>
        </w:rPr>
        <w:t>. https://doi.org/10.1037/0033-295x.103.1.143</w:t>
      </w:r>
    </w:p>
    <w:p w14:paraId="585034C9"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Martin, G. N., Carlson, N. R., &amp; </w:t>
      </w:r>
      <w:proofErr w:type="spellStart"/>
      <w:r>
        <w:rPr>
          <w:rFonts w:ascii="Calibri" w:hAnsi="Calibri" w:cs="Calibri"/>
          <w:sz w:val="22"/>
          <w:szCs w:val="22"/>
        </w:rPr>
        <w:t>Buskist</w:t>
      </w:r>
      <w:proofErr w:type="spellEnd"/>
      <w:r>
        <w:rPr>
          <w:rFonts w:ascii="Calibri" w:hAnsi="Calibri" w:cs="Calibri"/>
          <w:sz w:val="22"/>
          <w:szCs w:val="22"/>
        </w:rPr>
        <w:t xml:space="preserve">, W. (2011). </w:t>
      </w:r>
      <w:r>
        <w:rPr>
          <w:rFonts w:ascii="Calibri" w:hAnsi="Calibri" w:cs="Calibri"/>
          <w:i/>
          <w:iCs/>
          <w:sz w:val="22"/>
          <w:szCs w:val="22"/>
        </w:rPr>
        <w:t>Psychology</w:t>
      </w:r>
      <w:r>
        <w:rPr>
          <w:rFonts w:ascii="Calibri" w:hAnsi="Calibri" w:cs="Calibri"/>
          <w:sz w:val="22"/>
          <w:szCs w:val="22"/>
        </w:rPr>
        <w:t xml:space="preserve"> (4th ed., Vol. 1). Pearson </w:t>
      </w:r>
      <w:proofErr w:type="spellStart"/>
      <w:r>
        <w:rPr>
          <w:rFonts w:ascii="Calibri" w:hAnsi="Calibri" w:cs="Calibri"/>
          <w:sz w:val="22"/>
          <w:szCs w:val="22"/>
        </w:rPr>
        <w:t>Educación</w:t>
      </w:r>
      <w:proofErr w:type="spellEnd"/>
      <w:r>
        <w:rPr>
          <w:rFonts w:ascii="Calibri" w:hAnsi="Calibri" w:cs="Calibri"/>
          <w:sz w:val="22"/>
          <w:szCs w:val="22"/>
        </w:rPr>
        <w:t>. http://www.sociology.org.uk/notes/Psychology4ed.pdf</w:t>
      </w:r>
    </w:p>
    <w:p w14:paraId="1805D837"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McCallister, J. (2015). Piaget’s Formal Operational Stage: Definition &amp; Examples. In </w:t>
      </w:r>
      <w:r>
        <w:rPr>
          <w:rFonts w:ascii="Calibri" w:hAnsi="Calibri" w:cs="Calibri"/>
          <w:i/>
          <w:iCs/>
          <w:sz w:val="22"/>
          <w:szCs w:val="22"/>
        </w:rPr>
        <w:t>Study.com</w:t>
      </w:r>
      <w:r>
        <w:rPr>
          <w:rFonts w:ascii="Calibri" w:hAnsi="Calibri" w:cs="Calibri"/>
          <w:sz w:val="22"/>
          <w:szCs w:val="22"/>
        </w:rPr>
        <w:t>. https://study.com/academy/lesson/piagets-formal-operational-stage-definition-examples-quiz.html</w:t>
      </w:r>
    </w:p>
    <w:p w14:paraId="33447D9D"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Moreno, R. (2010). </w:t>
      </w:r>
      <w:r>
        <w:rPr>
          <w:rFonts w:ascii="Calibri" w:hAnsi="Calibri" w:cs="Calibri"/>
          <w:i/>
          <w:iCs/>
          <w:sz w:val="22"/>
          <w:szCs w:val="22"/>
        </w:rPr>
        <w:t>Educational psychology</w:t>
      </w:r>
      <w:r>
        <w:rPr>
          <w:rFonts w:ascii="Calibri" w:hAnsi="Calibri" w:cs="Calibri"/>
          <w:sz w:val="22"/>
          <w:szCs w:val="22"/>
        </w:rPr>
        <w:t xml:space="preserve"> (1st ed., Vol. 3). John Wiley &amp; Sons. https://www.wiley.com/en-gb/Educational+Psychology-p-9780470571354</w:t>
      </w:r>
    </w:p>
    <w:p w14:paraId="6593BC63" w14:textId="77777777" w:rsidR="00FA4533" w:rsidRDefault="00FA4533" w:rsidP="00FA4533">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t>MyTutor</w:t>
      </w:r>
      <w:proofErr w:type="spellEnd"/>
      <w:r>
        <w:rPr>
          <w:rFonts w:ascii="Calibri" w:hAnsi="Calibri" w:cs="Calibri"/>
          <w:sz w:val="22"/>
          <w:szCs w:val="22"/>
        </w:rPr>
        <w:t xml:space="preserve">. (2013). </w:t>
      </w:r>
      <w:r>
        <w:rPr>
          <w:rFonts w:ascii="Calibri" w:hAnsi="Calibri" w:cs="Calibri"/>
          <w:i/>
          <w:iCs/>
          <w:sz w:val="22"/>
          <w:szCs w:val="22"/>
        </w:rPr>
        <w:t xml:space="preserve">Describe and evaluate Piaget’s theory of cognitive development. | </w:t>
      </w:r>
      <w:proofErr w:type="spellStart"/>
      <w:r>
        <w:rPr>
          <w:rFonts w:ascii="Calibri" w:hAnsi="Calibri" w:cs="Calibri"/>
          <w:i/>
          <w:iCs/>
          <w:sz w:val="22"/>
          <w:szCs w:val="22"/>
        </w:rPr>
        <w:t>MyTutor</w:t>
      </w:r>
      <w:proofErr w:type="spellEnd"/>
      <w:r>
        <w:rPr>
          <w:rFonts w:ascii="Calibri" w:hAnsi="Calibri" w:cs="Calibri"/>
          <w:sz w:val="22"/>
          <w:szCs w:val="22"/>
        </w:rPr>
        <w:t xml:space="preserve">. Mytutor.co.uk; </w:t>
      </w:r>
      <w:proofErr w:type="spellStart"/>
      <w:r>
        <w:rPr>
          <w:rFonts w:ascii="Calibri" w:hAnsi="Calibri" w:cs="Calibri"/>
          <w:sz w:val="22"/>
          <w:szCs w:val="22"/>
        </w:rPr>
        <w:t>MyTutor</w:t>
      </w:r>
      <w:proofErr w:type="spellEnd"/>
      <w:r>
        <w:rPr>
          <w:rFonts w:ascii="Calibri" w:hAnsi="Calibri" w:cs="Calibri"/>
          <w:sz w:val="22"/>
          <w:szCs w:val="22"/>
        </w:rPr>
        <w:t>. https://www.mytutor.co.uk/answers/1783/A-Level/Psychology/Describe-and-evaluate-Piaget-s-theory-of-cognitive-development/</w:t>
      </w:r>
    </w:p>
    <w:p w14:paraId="6FAEFF53"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Piaget, J. (1976). Piaget’s Theory. </w:t>
      </w:r>
      <w:r>
        <w:rPr>
          <w:rFonts w:ascii="Calibri" w:hAnsi="Calibri" w:cs="Calibri"/>
          <w:i/>
          <w:iCs/>
          <w:sz w:val="22"/>
          <w:szCs w:val="22"/>
        </w:rPr>
        <w:t>Piaget and His School</w:t>
      </w:r>
      <w:r>
        <w:rPr>
          <w:rFonts w:ascii="Calibri" w:hAnsi="Calibri" w:cs="Calibri"/>
          <w:sz w:val="22"/>
          <w:szCs w:val="22"/>
        </w:rPr>
        <w:t xml:space="preserve">, </w:t>
      </w:r>
      <w:r>
        <w:rPr>
          <w:rFonts w:ascii="Calibri" w:hAnsi="Calibri" w:cs="Calibri"/>
          <w:i/>
          <w:iCs/>
          <w:sz w:val="22"/>
          <w:szCs w:val="22"/>
        </w:rPr>
        <w:t>1</w:t>
      </w:r>
      <w:r>
        <w:rPr>
          <w:rFonts w:ascii="Calibri" w:hAnsi="Calibri" w:cs="Calibri"/>
          <w:sz w:val="22"/>
          <w:szCs w:val="22"/>
        </w:rPr>
        <w:t xml:space="preserve">(2), 11–23. Scientific Research </w:t>
      </w:r>
      <w:proofErr w:type="gramStart"/>
      <w:r>
        <w:rPr>
          <w:rFonts w:ascii="Calibri" w:hAnsi="Calibri" w:cs="Calibri"/>
          <w:sz w:val="22"/>
          <w:szCs w:val="22"/>
        </w:rPr>
        <w:t>An</w:t>
      </w:r>
      <w:proofErr w:type="gramEnd"/>
      <w:r>
        <w:rPr>
          <w:rFonts w:ascii="Calibri" w:hAnsi="Calibri" w:cs="Calibri"/>
          <w:sz w:val="22"/>
          <w:szCs w:val="22"/>
        </w:rPr>
        <w:t xml:space="preserve"> Academic Publisher. https://doi.org/10.1007/978-3-642-46323-5_2</w:t>
      </w:r>
    </w:p>
    <w:p w14:paraId="2785F96E"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Piaget, J. (2003). </w:t>
      </w:r>
      <w:r>
        <w:rPr>
          <w:rFonts w:ascii="Calibri" w:hAnsi="Calibri" w:cs="Calibri"/>
          <w:i/>
          <w:iCs/>
          <w:sz w:val="22"/>
          <w:szCs w:val="22"/>
        </w:rPr>
        <w:t>The Psychology of Intelligence</w:t>
      </w:r>
      <w:r>
        <w:rPr>
          <w:rFonts w:ascii="Calibri" w:hAnsi="Calibri" w:cs="Calibri"/>
          <w:sz w:val="22"/>
          <w:szCs w:val="22"/>
        </w:rPr>
        <w:t xml:space="preserve"> (1st ed., Vol. 1). Routledge. https://doi.org/10.4324/9780203164730 (Original work published 1947)</w:t>
      </w:r>
    </w:p>
    <w:p w14:paraId="59BEC88D"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Posser, M. W. (2003). </w:t>
      </w:r>
      <w:r>
        <w:rPr>
          <w:rFonts w:ascii="Calibri" w:hAnsi="Calibri" w:cs="Calibri"/>
          <w:i/>
          <w:iCs/>
          <w:sz w:val="22"/>
          <w:szCs w:val="22"/>
        </w:rPr>
        <w:t xml:space="preserve">Psychology: The science of mind and </w:t>
      </w:r>
      <w:proofErr w:type="spellStart"/>
      <w:r>
        <w:rPr>
          <w:rFonts w:ascii="Calibri" w:hAnsi="Calibri" w:cs="Calibri"/>
          <w:i/>
          <w:iCs/>
          <w:sz w:val="22"/>
          <w:szCs w:val="22"/>
        </w:rPr>
        <w:t>behavior</w:t>
      </w:r>
      <w:proofErr w:type="spellEnd"/>
      <w:r>
        <w:rPr>
          <w:rFonts w:ascii="Calibri" w:hAnsi="Calibri" w:cs="Calibri"/>
          <w:i/>
          <w:iCs/>
          <w:sz w:val="22"/>
          <w:szCs w:val="22"/>
        </w:rPr>
        <w:t>, 2nd ed. | Request PDF</w:t>
      </w:r>
      <w:r>
        <w:rPr>
          <w:rFonts w:ascii="Calibri" w:hAnsi="Calibri" w:cs="Calibri"/>
          <w:sz w:val="22"/>
          <w:szCs w:val="22"/>
        </w:rPr>
        <w:t>. ResearchGate; ResearchGate. https://www.researchgate.net/publication/232583932_Psychology_The_science_of_mind_and_behavior_2nd_ed</w:t>
      </w:r>
    </w:p>
    <w:p w14:paraId="0720B007" w14:textId="77777777" w:rsidR="00FA4533" w:rsidRDefault="00FA4533" w:rsidP="00FA4533">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t>Rabindran</w:t>
      </w:r>
      <w:proofErr w:type="spellEnd"/>
      <w:r>
        <w:rPr>
          <w:rFonts w:ascii="Calibri" w:hAnsi="Calibri" w:cs="Calibri"/>
          <w:sz w:val="22"/>
          <w:szCs w:val="22"/>
        </w:rPr>
        <w:t xml:space="preserve">, &amp; </w:t>
      </w:r>
      <w:proofErr w:type="spellStart"/>
      <w:r>
        <w:rPr>
          <w:rFonts w:ascii="Calibri" w:hAnsi="Calibri" w:cs="Calibri"/>
          <w:sz w:val="22"/>
          <w:szCs w:val="22"/>
        </w:rPr>
        <w:t>Madanagopal</w:t>
      </w:r>
      <w:proofErr w:type="spellEnd"/>
      <w:r>
        <w:rPr>
          <w:rFonts w:ascii="Calibri" w:hAnsi="Calibri" w:cs="Calibri"/>
          <w:sz w:val="22"/>
          <w:szCs w:val="22"/>
        </w:rPr>
        <w:t xml:space="preserve">, D. (2019). Piaget’s Theory and Stages of Cognitive Development- An Overview. </w:t>
      </w:r>
      <w:r>
        <w:rPr>
          <w:rFonts w:ascii="Calibri" w:hAnsi="Calibri" w:cs="Calibri"/>
          <w:i/>
          <w:iCs/>
          <w:sz w:val="22"/>
          <w:szCs w:val="22"/>
        </w:rPr>
        <w:t>Scholars Journal of Applied Medical Sciences</w:t>
      </w:r>
      <w:r>
        <w:rPr>
          <w:rFonts w:ascii="Calibri" w:hAnsi="Calibri" w:cs="Calibri"/>
          <w:sz w:val="22"/>
          <w:szCs w:val="22"/>
        </w:rPr>
        <w:t xml:space="preserve">, </w:t>
      </w:r>
      <w:r>
        <w:rPr>
          <w:rFonts w:ascii="Calibri" w:hAnsi="Calibri" w:cs="Calibri"/>
          <w:i/>
          <w:iCs/>
          <w:sz w:val="22"/>
          <w:szCs w:val="22"/>
        </w:rPr>
        <w:t>8</w:t>
      </w:r>
      <w:r>
        <w:rPr>
          <w:rFonts w:ascii="Calibri" w:hAnsi="Calibri" w:cs="Calibri"/>
          <w:sz w:val="22"/>
          <w:szCs w:val="22"/>
        </w:rPr>
        <w:t>(9), 2152–2157. Scholars Journal of Applied Medical Sciences. https://doi.org/10.36347/sjams.2020.v08i09.034</w:t>
      </w:r>
    </w:p>
    <w:p w14:paraId="0C0DB81D"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Shaffer, D. R., &amp; </w:t>
      </w:r>
      <w:proofErr w:type="spellStart"/>
      <w:r>
        <w:rPr>
          <w:rFonts w:ascii="Calibri" w:hAnsi="Calibri" w:cs="Calibri"/>
          <w:sz w:val="22"/>
          <w:szCs w:val="22"/>
        </w:rPr>
        <w:t>Kipp</w:t>
      </w:r>
      <w:proofErr w:type="spellEnd"/>
      <w:r>
        <w:rPr>
          <w:rFonts w:ascii="Calibri" w:hAnsi="Calibri" w:cs="Calibri"/>
          <w:sz w:val="22"/>
          <w:szCs w:val="22"/>
        </w:rPr>
        <w:t xml:space="preserve">, K. (2010). </w:t>
      </w:r>
      <w:r>
        <w:rPr>
          <w:rFonts w:ascii="Calibri" w:hAnsi="Calibri" w:cs="Calibri"/>
          <w:i/>
          <w:iCs/>
          <w:sz w:val="22"/>
          <w:szCs w:val="22"/>
        </w:rPr>
        <w:t xml:space="preserve">Developmental </w:t>
      </w:r>
      <w:proofErr w:type="gramStart"/>
      <w:r>
        <w:rPr>
          <w:rFonts w:ascii="Calibri" w:hAnsi="Calibri" w:cs="Calibri"/>
          <w:i/>
          <w:iCs/>
          <w:sz w:val="22"/>
          <w:szCs w:val="22"/>
        </w:rPr>
        <w:t>psychology :</w:t>
      </w:r>
      <w:proofErr w:type="gramEnd"/>
      <w:r>
        <w:rPr>
          <w:rFonts w:ascii="Calibri" w:hAnsi="Calibri" w:cs="Calibri"/>
          <w:i/>
          <w:iCs/>
          <w:sz w:val="22"/>
          <w:szCs w:val="22"/>
        </w:rPr>
        <w:t xml:space="preserve"> childhood and adolescence</w:t>
      </w:r>
      <w:r>
        <w:rPr>
          <w:rFonts w:ascii="Calibri" w:hAnsi="Calibri" w:cs="Calibri"/>
          <w:sz w:val="22"/>
          <w:szCs w:val="22"/>
        </w:rPr>
        <w:t xml:space="preserve"> (8th ed., Vol. 1). Wadsworth Cengage Learning. https://www.researchgate.net/publication/260296797_Development_Psychology_Childhood_and_Adolescence</w:t>
      </w:r>
    </w:p>
    <w:p w14:paraId="055CF386" w14:textId="77777777" w:rsidR="00FA4533" w:rsidRDefault="00FA4533" w:rsidP="00FA45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Western Governors University. (2020, June 8). </w:t>
      </w:r>
      <w:r>
        <w:rPr>
          <w:rFonts w:ascii="Calibri" w:hAnsi="Calibri" w:cs="Calibri"/>
          <w:i/>
          <w:iCs/>
          <w:sz w:val="22"/>
          <w:szCs w:val="22"/>
        </w:rPr>
        <w:t>Experiential Learning Theory</w:t>
      </w:r>
      <w:r>
        <w:rPr>
          <w:rFonts w:ascii="Calibri" w:hAnsi="Calibri" w:cs="Calibri"/>
          <w:sz w:val="22"/>
          <w:szCs w:val="22"/>
        </w:rPr>
        <w:t>. Western Governors University; Western Governors University. https://www.wgu.edu/blog/experiential-learning-theory2006.html#close</w:t>
      </w:r>
    </w:p>
    <w:p w14:paraId="3A022A0C" w14:textId="77777777" w:rsidR="00FA4533" w:rsidRPr="00FA4533" w:rsidRDefault="00FA4533" w:rsidP="00FA4533">
      <w:pPr>
        <w:spacing w:line="240" w:lineRule="auto"/>
      </w:pPr>
    </w:p>
    <w:sectPr w:rsidR="00FA4533" w:rsidRPr="00FA4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533"/>
    <w:rsid w:val="00063AC0"/>
    <w:rsid w:val="000B7A85"/>
    <w:rsid w:val="00101572"/>
    <w:rsid w:val="00164BF6"/>
    <w:rsid w:val="001A473E"/>
    <w:rsid w:val="001C34A4"/>
    <w:rsid w:val="001E671B"/>
    <w:rsid w:val="00212051"/>
    <w:rsid w:val="002241CC"/>
    <w:rsid w:val="0023119F"/>
    <w:rsid w:val="002452F5"/>
    <w:rsid w:val="002C6B96"/>
    <w:rsid w:val="00352534"/>
    <w:rsid w:val="00364383"/>
    <w:rsid w:val="00370383"/>
    <w:rsid w:val="003A256D"/>
    <w:rsid w:val="00420B49"/>
    <w:rsid w:val="00426251"/>
    <w:rsid w:val="00447B2A"/>
    <w:rsid w:val="00447D55"/>
    <w:rsid w:val="00462C0B"/>
    <w:rsid w:val="00556018"/>
    <w:rsid w:val="00557DC8"/>
    <w:rsid w:val="005D1DC3"/>
    <w:rsid w:val="00637ACD"/>
    <w:rsid w:val="006409A2"/>
    <w:rsid w:val="00727A37"/>
    <w:rsid w:val="007E73E1"/>
    <w:rsid w:val="007F0E4A"/>
    <w:rsid w:val="00803D63"/>
    <w:rsid w:val="00875E0E"/>
    <w:rsid w:val="008A4443"/>
    <w:rsid w:val="008A4657"/>
    <w:rsid w:val="008B6B24"/>
    <w:rsid w:val="008D7173"/>
    <w:rsid w:val="008F1999"/>
    <w:rsid w:val="009060ED"/>
    <w:rsid w:val="00974670"/>
    <w:rsid w:val="009D34E6"/>
    <w:rsid w:val="00A53F6C"/>
    <w:rsid w:val="00A620FE"/>
    <w:rsid w:val="00A728D3"/>
    <w:rsid w:val="00A86959"/>
    <w:rsid w:val="00AC3710"/>
    <w:rsid w:val="00AD6263"/>
    <w:rsid w:val="00AE176C"/>
    <w:rsid w:val="00B135D8"/>
    <w:rsid w:val="00B34E55"/>
    <w:rsid w:val="00B35759"/>
    <w:rsid w:val="00B4366E"/>
    <w:rsid w:val="00B60357"/>
    <w:rsid w:val="00BA6FA3"/>
    <w:rsid w:val="00BA7E67"/>
    <w:rsid w:val="00BB4332"/>
    <w:rsid w:val="00BE775C"/>
    <w:rsid w:val="00CA7031"/>
    <w:rsid w:val="00CC6819"/>
    <w:rsid w:val="00D00605"/>
    <w:rsid w:val="00DA22BC"/>
    <w:rsid w:val="00E16762"/>
    <w:rsid w:val="00ED10A0"/>
    <w:rsid w:val="00EF51EE"/>
    <w:rsid w:val="00FA4533"/>
    <w:rsid w:val="00FE1179"/>
    <w:rsid w:val="00FE1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B6073"/>
  <w15:chartTrackingRefBased/>
  <w15:docId w15:val="{A951F369-E017-44B2-8980-3F023893D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45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642464">
      <w:bodyDiv w:val="1"/>
      <w:marLeft w:val="0"/>
      <w:marRight w:val="0"/>
      <w:marTop w:val="0"/>
      <w:marBottom w:val="0"/>
      <w:divBdr>
        <w:top w:val="none" w:sz="0" w:space="0" w:color="auto"/>
        <w:left w:val="none" w:sz="0" w:space="0" w:color="auto"/>
        <w:bottom w:val="none" w:sz="0" w:space="0" w:color="auto"/>
        <w:right w:val="none" w:sz="0" w:space="0" w:color="auto"/>
      </w:divBdr>
    </w:div>
    <w:div w:id="2111310855">
      <w:bodyDiv w:val="1"/>
      <w:marLeft w:val="0"/>
      <w:marRight w:val="0"/>
      <w:marTop w:val="0"/>
      <w:marBottom w:val="0"/>
      <w:divBdr>
        <w:top w:val="none" w:sz="0" w:space="0" w:color="auto"/>
        <w:left w:val="none" w:sz="0" w:space="0" w:color="auto"/>
        <w:bottom w:val="none" w:sz="0" w:space="0" w:color="auto"/>
        <w:right w:val="none" w:sz="0" w:space="0" w:color="auto"/>
      </w:divBdr>
      <w:divsChild>
        <w:div w:id="21195230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446c1ab079f77771b1dcedb82958469f">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fffc32a69ad5ce834128870a47c190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DF7C96D8-3D55-456F-B433-8FEA28182C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5306A6-CF82-47A0-9A2D-A09D1D0A15DE}">
  <ds:schemaRefs>
    <ds:schemaRef ds:uri="http://schemas.microsoft.com/sharepoint/v3/contenttype/forms"/>
  </ds:schemaRefs>
</ds:datastoreItem>
</file>

<file path=customXml/itemProps3.xml><?xml version="1.0" encoding="utf-8"?>
<ds:datastoreItem xmlns:ds="http://schemas.openxmlformats.org/officeDocument/2006/customXml" ds:itemID="{B5F564D4-AB20-4A66-B33D-FCBCE407788D}">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6</Pages>
  <Words>3266</Words>
  <Characters>18621</Characters>
  <Application>Microsoft Office Word</Application>
  <DocSecurity>0</DocSecurity>
  <Lines>155</Lines>
  <Paragraphs>43</Paragraphs>
  <ScaleCrop>false</ScaleCrop>
  <Company/>
  <LinksUpToDate>false</LinksUpToDate>
  <CharactersWithSpaces>21844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 (2103554)</dc:creator>
  <cp:keywords/>
  <dc:description/>
  <cp:lastModifiedBy>Willow Quick (2103554)</cp:lastModifiedBy>
  <cp:revision>64</cp:revision>
  <dcterms:created xsi:type="dcterms:W3CDTF">2023-04-11T16:20:00Z</dcterms:created>
  <dcterms:modified xsi:type="dcterms:W3CDTF">2023-04-11T17:19:00Z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