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ECDCFC" w14:textId="77777777" w:rsidR="00D717A7" w:rsidRDefault="00A7683A">
      <w:pPr>
        <w:spacing w:before="280"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noProof/>
          <w:sz w:val="40"/>
          <w:szCs w:val="40"/>
          <w:lang w:val="en-US" w:eastAsia="en-US"/>
        </w:rPr>
        <w:drawing>
          <wp:anchor distT="0" distB="0" distL="114300" distR="114300" simplePos="0" relativeHeight="251658240" behindDoc="0" locked="0" layoutInCell="1" allowOverlap="1" wp14:anchorId="18FE0776" wp14:editId="1110D07F">
            <wp:simplePos x="0" y="0"/>
            <wp:positionH relativeFrom="margin">
              <wp:align>center</wp:align>
            </wp:positionH>
            <wp:positionV relativeFrom="paragraph">
              <wp:posOffset>0</wp:posOffset>
            </wp:positionV>
            <wp:extent cx="3143250" cy="1495425"/>
            <wp:effectExtent l="0" t="0" r="0" b="9525"/>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extLst>
                        <a:ext uri="{28A0092B-C50C-407E-A947-70E740481C1C}">
                          <a14:useLocalDpi xmlns:a14="http://schemas.microsoft.com/office/drawing/2010/main" val="0"/>
                        </a:ext>
                      </a:extLst>
                    </a:blip>
                    <a:srcRect/>
                    <a:stretch>
                      <a:fillRect/>
                    </a:stretch>
                  </pic:blipFill>
                  <pic:spPr>
                    <a:xfrm>
                      <a:off x="0" y="0"/>
                      <a:ext cx="3143250" cy="1495425"/>
                    </a:xfrm>
                    <a:prstGeom prst="rect">
                      <a:avLst/>
                    </a:prstGeom>
                    <a:ln/>
                  </pic:spPr>
                </pic:pic>
              </a:graphicData>
            </a:graphic>
          </wp:anchor>
        </w:drawing>
      </w:r>
    </w:p>
    <w:p w14:paraId="4D1B4B16" w14:textId="77777777" w:rsidR="0050656B" w:rsidRDefault="0050656B" w:rsidP="0050656B">
      <w:pPr>
        <w:spacing w:line="360" w:lineRule="auto"/>
        <w:jc w:val="center"/>
        <w:rPr>
          <w:rFonts w:ascii="Times New Roman" w:eastAsia="Times New Roman" w:hAnsi="Times New Roman" w:cs="Times New Roman"/>
          <w:b/>
          <w:bCs/>
          <w:color w:val="000000"/>
          <w:sz w:val="32"/>
          <w:szCs w:val="32"/>
        </w:rPr>
      </w:pPr>
      <w:bookmarkStart w:id="0" w:name="_heading=h.30j0zll" w:colFirst="0" w:colLast="0"/>
      <w:bookmarkEnd w:id="0"/>
    </w:p>
    <w:p w14:paraId="2B1C789D" w14:textId="77777777" w:rsidR="0050656B" w:rsidRDefault="0050656B" w:rsidP="0050656B">
      <w:pPr>
        <w:spacing w:line="360" w:lineRule="auto"/>
        <w:jc w:val="center"/>
        <w:rPr>
          <w:rFonts w:ascii="Times New Roman" w:eastAsia="Times New Roman" w:hAnsi="Times New Roman" w:cs="Times New Roman"/>
          <w:b/>
          <w:bCs/>
          <w:color w:val="000000"/>
          <w:sz w:val="32"/>
          <w:szCs w:val="32"/>
        </w:rPr>
      </w:pPr>
    </w:p>
    <w:p w14:paraId="7E4BEEE8" w14:textId="77777777" w:rsidR="0050656B" w:rsidRDefault="0050656B" w:rsidP="0050656B">
      <w:pPr>
        <w:spacing w:line="360" w:lineRule="auto"/>
        <w:jc w:val="center"/>
        <w:rPr>
          <w:rFonts w:ascii="Times New Roman" w:eastAsia="Times New Roman" w:hAnsi="Times New Roman" w:cs="Times New Roman"/>
          <w:b/>
          <w:bCs/>
          <w:color w:val="000000"/>
          <w:sz w:val="32"/>
          <w:szCs w:val="32"/>
        </w:rPr>
      </w:pPr>
    </w:p>
    <w:p w14:paraId="42192C3F" w14:textId="77777777" w:rsidR="0050656B" w:rsidRDefault="0050656B" w:rsidP="0050656B">
      <w:pPr>
        <w:spacing w:line="360" w:lineRule="auto"/>
        <w:jc w:val="center"/>
        <w:rPr>
          <w:rFonts w:ascii="Times New Roman" w:eastAsia="Times New Roman" w:hAnsi="Times New Roman" w:cs="Times New Roman"/>
          <w:b/>
          <w:bCs/>
          <w:color w:val="000000"/>
          <w:sz w:val="32"/>
          <w:szCs w:val="32"/>
        </w:rPr>
      </w:pPr>
    </w:p>
    <w:p w14:paraId="146E1134" w14:textId="77777777" w:rsidR="0050656B" w:rsidRPr="00C06830" w:rsidRDefault="0050656B" w:rsidP="0050656B">
      <w:pPr>
        <w:spacing w:line="360" w:lineRule="auto"/>
        <w:jc w:val="center"/>
        <w:rPr>
          <w:rFonts w:ascii="Times New Roman" w:eastAsia="Times New Roman" w:hAnsi="Times New Roman" w:cs="Times New Roman"/>
          <w:sz w:val="24"/>
          <w:szCs w:val="24"/>
        </w:rPr>
      </w:pPr>
      <w:r w:rsidRPr="00C06830">
        <w:rPr>
          <w:rFonts w:ascii="Times New Roman" w:eastAsia="Times New Roman" w:hAnsi="Times New Roman" w:cs="Times New Roman"/>
          <w:b/>
          <w:bCs/>
          <w:color w:val="000000"/>
          <w:sz w:val="32"/>
          <w:szCs w:val="32"/>
        </w:rPr>
        <w:t>Programme: International Hotel Management (BA)</w:t>
      </w:r>
    </w:p>
    <w:p w14:paraId="5D96BC13" w14:textId="77777777" w:rsidR="0050656B" w:rsidRPr="00C06830" w:rsidRDefault="0050656B" w:rsidP="0050656B">
      <w:pPr>
        <w:spacing w:line="360" w:lineRule="auto"/>
        <w:rPr>
          <w:rFonts w:ascii="Times New Roman" w:eastAsia="Times New Roman" w:hAnsi="Times New Roman" w:cs="Times New Roman"/>
          <w:sz w:val="24"/>
          <w:szCs w:val="24"/>
        </w:rPr>
      </w:pPr>
    </w:p>
    <w:p w14:paraId="7ABA09FA" w14:textId="77777777" w:rsidR="0050656B" w:rsidRPr="00C06830" w:rsidRDefault="0050656B" w:rsidP="0050656B">
      <w:pPr>
        <w:spacing w:line="360" w:lineRule="auto"/>
        <w:jc w:val="center"/>
        <w:rPr>
          <w:rFonts w:ascii="Times New Roman" w:eastAsia="Times New Roman" w:hAnsi="Times New Roman" w:cs="Times New Roman"/>
          <w:sz w:val="24"/>
          <w:szCs w:val="24"/>
        </w:rPr>
      </w:pPr>
      <w:r w:rsidRPr="00C06830">
        <w:rPr>
          <w:rFonts w:ascii="Times New Roman" w:eastAsia="Times New Roman" w:hAnsi="Times New Roman" w:cs="Times New Roman"/>
          <w:b/>
          <w:bCs/>
          <w:color w:val="000000"/>
          <w:sz w:val="32"/>
          <w:szCs w:val="32"/>
        </w:rPr>
        <w:t>Module: International Meetings Management for the Hotel Industry</w:t>
      </w:r>
    </w:p>
    <w:p w14:paraId="4E1DBD4C" w14:textId="77777777" w:rsidR="0050656B" w:rsidRPr="00C06830" w:rsidRDefault="0050656B" w:rsidP="0050656B">
      <w:pPr>
        <w:spacing w:line="360" w:lineRule="auto"/>
        <w:rPr>
          <w:rFonts w:ascii="Times New Roman" w:eastAsia="Times New Roman" w:hAnsi="Times New Roman" w:cs="Times New Roman"/>
          <w:sz w:val="24"/>
          <w:szCs w:val="24"/>
        </w:rPr>
      </w:pPr>
    </w:p>
    <w:p w14:paraId="65F3E1A7" w14:textId="77777777" w:rsidR="0050656B" w:rsidRDefault="0050656B" w:rsidP="0050656B">
      <w:pPr>
        <w:spacing w:after="80" w:line="360" w:lineRule="auto"/>
        <w:jc w:val="center"/>
        <w:rPr>
          <w:rFonts w:ascii="Times New Roman" w:eastAsia="Times New Roman" w:hAnsi="Times New Roman" w:cs="Times New Roman"/>
          <w:b/>
          <w:bCs/>
          <w:color w:val="000000"/>
          <w:sz w:val="32"/>
          <w:szCs w:val="32"/>
        </w:rPr>
      </w:pPr>
      <w:r w:rsidRPr="00C06830">
        <w:rPr>
          <w:rFonts w:ascii="Times New Roman" w:eastAsia="Times New Roman" w:hAnsi="Times New Roman" w:cs="Times New Roman"/>
          <w:b/>
          <w:bCs/>
          <w:color w:val="000000"/>
          <w:sz w:val="32"/>
          <w:szCs w:val="32"/>
        </w:rPr>
        <w:t>Module code: BMIH6007</w:t>
      </w:r>
    </w:p>
    <w:p w14:paraId="5824A3BA" w14:textId="77777777" w:rsidR="0050656B" w:rsidRDefault="0050656B" w:rsidP="0050656B">
      <w:pPr>
        <w:spacing w:after="80" w:line="360" w:lineRule="auto"/>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 xml:space="preserve">Title: </w:t>
      </w:r>
      <w:r w:rsidRPr="008D15B3">
        <w:rPr>
          <w:rFonts w:ascii="Times New Roman" w:eastAsia="Times New Roman" w:hAnsi="Times New Roman" w:cs="Times New Roman"/>
          <w:b/>
          <w:bCs/>
          <w:color w:val="000000"/>
          <w:sz w:val="32"/>
          <w:szCs w:val="32"/>
        </w:rPr>
        <w:t>Planning and Delivering</w:t>
      </w:r>
      <w:r>
        <w:rPr>
          <w:rFonts w:ascii="Times New Roman" w:eastAsia="Times New Roman" w:hAnsi="Times New Roman" w:cs="Times New Roman"/>
          <w:b/>
          <w:bCs/>
          <w:color w:val="000000"/>
          <w:sz w:val="32"/>
          <w:szCs w:val="32"/>
        </w:rPr>
        <w:t xml:space="preserve"> an International Meeting/Event</w:t>
      </w:r>
    </w:p>
    <w:p w14:paraId="10A9EB2B" w14:textId="77777777" w:rsidR="0050656B" w:rsidRDefault="0050656B" w:rsidP="0050656B">
      <w:pPr>
        <w:spacing w:after="80" w:line="360" w:lineRule="auto"/>
        <w:jc w:val="center"/>
        <w:rPr>
          <w:rFonts w:ascii="Times New Roman" w:eastAsia="Times New Roman" w:hAnsi="Times New Roman" w:cs="Times New Roman"/>
          <w:b/>
          <w:bCs/>
          <w:color w:val="000000"/>
          <w:sz w:val="32"/>
          <w:szCs w:val="32"/>
        </w:rPr>
      </w:pPr>
    </w:p>
    <w:p w14:paraId="61AF86DE" w14:textId="0D25C073" w:rsidR="0050656B" w:rsidRDefault="0050656B" w:rsidP="0050656B">
      <w:pPr>
        <w:spacing w:after="80" w:line="360" w:lineRule="auto"/>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 xml:space="preserve">Student Name: </w:t>
      </w:r>
      <w:r w:rsidR="00C64180">
        <w:rPr>
          <w:rFonts w:ascii="Times New Roman" w:eastAsia="Times New Roman" w:hAnsi="Times New Roman" w:cs="Times New Roman"/>
          <w:b/>
          <w:bCs/>
          <w:color w:val="000000"/>
          <w:sz w:val="32"/>
          <w:szCs w:val="32"/>
        </w:rPr>
        <w:t>Ribon Khan</w:t>
      </w:r>
    </w:p>
    <w:p w14:paraId="25D5DFF9" w14:textId="2F13F90B" w:rsidR="0050656B" w:rsidRDefault="0050656B" w:rsidP="0050656B">
      <w:pPr>
        <w:spacing w:after="80" w:line="360" w:lineRule="auto"/>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Student ID:</w:t>
      </w:r>
      <w:r w:rsidR="00C64180">
        <w:rPr>
          <w:rFonts w:ascii="Times New Roman" w:eastAsia="Times New Roman" w:hAnsi="Times New Roman" w:cs="Times New Roman"/>
          <w:b/>
          <w:bCs/>
          <w:color w:val="000000"/>
          <w:sz w:val="32"/>
          <w:szCs w:val="32"/>
        </w:rPr>
        <w:t xml:space="preserve"> 2225725</w:t>
      </w:r>
    </w:p>
    <w:p w14:paraId="665BFC24" w14:textId="6939C353" w:rsidR="00D426C1" w:rsidRDefault="00D426C1" w:rsidP="0050656B">
      <w:pPr>
        <w:spacing w:after="80" w:line="360" w:lineRule="auto"/>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 xml:space="preserve">Lecturer: </w:t>
      </w:r>
      <w:r w:rsidR="00C64180">
        <w:rPr>
          <w:rFonts w:ascii="Times New Roman" w:eastAsia="Times New Roman" w:hAnsi="Times New Roman" w:cs="Times New Roman"/>
          <w:b/>
          <w:bCs/>
          <w:color w:val="000000"/>
          <w:sz w:val="32"/>
          <w:szCs w:val="32"/>
        </w:rPr>
        <w:t xml:space="preserve">Kathryn </w:t>
      </w:r>
      <w:r w:rsidR="002D5707">
        <w:rPr>
          <w:rFonts w:ascii="Times New Roman" w:eastAsia="Times New Roman" w:hAnsi="Times New Roman" w:cs="Times New Roman"/>
          <w:b/>
          <w:bCs/>
          <w:color w:val="000000"/>
          <w:sz w:val="32"/>
          <w:szCs w:val="32"/>
        </w:rPr>
        <w:t>Flyn</w:t>
      </w:r>
    </w:p>
    <w:p w14:paraId="37FA06BD" w14:textId="77777777" w:rsidR="00D717A7" w:rsidRDefault="00A7683A">
      <w:pPr>
        <w:pStyle w:val="Heading1"/>
        <w:keepNext w:val="0"/>
        <w:keepLines w:val="0"/>
        <w:spacing w:after="40"/>
      </w:pPr>
      <w:r>
        <w:br w:type="page"/>
      </w:r>
    </w:p>
    <w:p w14:paraId="0DE1551C" w14:textId="7081B48A" w:rsidR="00D717A7" w:rsidRDefault="00A7683A">
      <w:pPr>
        <w:pStyle w:val="Heading1"/>
        <w:keepNext w:val="0"/>
        <w:keepLines w:val="0"/>
        <w:spacing w:after="40"/>
      </w:pPr>
      <w:bookmarkStart w:id="1" w:name="_heading=h.1fob9te" w:colFirst="0" w:colLast="0"/>
      <w:bookmarkStart w:id="2" w:name="_Toc190035326"/>
      <w:bookmarkEnd w:id="1"/>
      <w:r>
        <w:lastRenderedPageBreak/>
        <w:t>1. Introduction</w:t>
      </w:r>
      <w:bookmarkEnd w:id="2"/>
    </w:p>
    <w:p w14:paraId="188ABB7C"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Women in Hospitality Leadership Forum 2025 is a strategic conference and networking event that tackles women’s leadership opportunities and challenges in the hospitality field. The event aims to support women in leadership positions, work for gender equality, and develop promising employment opportunities, leadership, and coaching for women in the organisation. It is a must-attend event to ensure that the hotel and hospitality industry closes the gender gap at the upper level of senior management and provides women with possible career progressions.</w:t>
      </w:r>
    </w:p>
    <w:p w14:paraId="1D475340"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its relatively high percentage of gender diversity, the hospitality industry remains on a list of employers that offer scarce representations of women in management positions (Macpherson, 2021). Women in the hospitality industry experience difficulties in increasing their career level lack of opportunities, and mentors for their promotion to the senior level. The finding of this forum resonates with the national and international policy regarding diversity that recommends fair opportunities for leadership. This will ensure that the hotel executives, the HR specialists, policymakers, and the female leadership hopefuls engage in discussions about challenges that women in the workforce face, what can be done to endeavour to eliminate these challenges, and how women can progress in the course of their careers.</w:t>
      </w:r>
    </w:p>
    <w:p w14:paraId="54517180"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location for this highly relevant event will be ExCeL London – a state-of-the-art exhibition and convention centre that has all the necessary facilities and is well-connected, thus involving many participants. It will consist of plenary and parallel sessions that will feature plenary speakers, Best Practice Sessions, Group mentoring Clinics, Practical Skills Labs and warm-up and networking Breaks in order to ensure that the delegates have practical sessions that they can benefit from.</w:t>
      </w:r>
    </w:p>
    <w:p w14:paraId="537C1EA1" w14:textId="77777777" w:rsidR="00D717A7" w:rsidRDefault="00A7683A">
      <w:pPr>
        <w:pStyle w:val="Heading1"/>
      </w:pPr>
      <w:bookmarkStart w:id="3" w:name="_heading=h.2et92p0" w:colFirst="0" w:colLast="0"/>
      <w:bookmarkStart w:id="4" w:name="_Toc190035327"/>
      <w:bookmarkEnd w:id="3"/>
      <w:r>
        <w:t>2. The Event Cycle and Planning Process</w:t>
      </w:r>
      <w:bookmarkEnd w:id="4"/>
    </w:p>
    <w:p w14:paraId="5BAFEC3D"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event cycle is an important factor in the successful planning and execution of the Women in Hospitality Leadership Forum 2025. The cycle consists of five phases, the first of which is initiation. This phase involves unveiling the event, outlining goals and objectives, identifying the stakeholder's patronage, and analysing event feasibility. From the topics discussed above, it is clear that information about industry dynamics and leadership deficits dictates what happens at the event. Organisations begin by conducting stakeholder assessments and feasibility evaluations simultaneously to guarantee industry suitability and financial feasibility during the initiation phase (Tam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ExCeL London becomes the host venue during </w:t>
      </w:r>
      <w:r>
        <w:rPr>
          <w:rFonts w:ascii="Times New Roman" w:eastAsia="Times New Roman" w:hAnsi="Times New Roman" w:cs="Times New Roman"/>
          <w:sz w:val="24"/>
          <w:szCs w:val="24"/>
        </w:rPr>
        <w:lastRenderedPageBreak/>
        <w:t>planning together with speaker selection while sessions, including mentorship hubs, networking lounges and career workshops, get structured. Event implementation requires teams to coordinate operational aspects and attract sponsors by using LinkedIn email and hospitality media channels.</w:t>
      </w:r>
    </w:p>
    <w:p w14:paraId="0706D3A1"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planning and design phase is the most intricate, as it involves a lot of coordination, after which every aspect of the event must align with some of the main goals (Berntzen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2023). In this stage, physical resources are organised, the venue, speakers, and presenters are identified, agendas and sessions are set, and sponsors are identified. Thus, marketing communication and promotional plans are established for the outreach and engagement of societies to increase participation.</w:t>
      </w:r>
    </w:p>
    <w:p w14:paraId="2BF17772"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Implementation comes next, which includes all the routine procedural activities such as organising and coordinating the management of the site, technicalities of the conference, registration of the delegates, and providing security. More specifically, implementing concerns the efficient management of sessions to enable optimal delivery of the knowledge that attendees expect, as well as identifying different ways of connecting them to help them expand their professional networks (Kayikci, Durak Usar and Aylak, 2022).</w:t>
      </w:r>
    </w:p>
    <w:p w14:paraId="69800D7A"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event occurs during the execution phase. Speeches, presentations, discussions, workshops, round tables, and business meetings are held, with all efforts made to address the audience and provide them with a wealth of knowledge. Event coordinators are always aware of any issues that may arise in terms of logistics or technology to prevent disruptions to the programs set for the event.</w:t>
      </w:r>
    </w:p>
    <w:p w14:paraId="709202F2"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Lastly, it is customary to consider the evaluation and legacy of the event as one of the major factors. This phase concerns post-event feedback, possible data gathering, and assessment of engagement levels. These findings become useful in subsequent similar events and contribute to improving women's representation in leadership in the hospitality industry.</w:t>
      </w:r>
    </w:p>
    <w:p w14:paraId="2C87E0E5" w14:textId="77777777" w:rsidR="00D717A7" w:rsidRDefault="00A7683A">
      <w:pPr>
        <w:pStyle w:val="Heading1"/>
      </w:pPr>
      <w:bookmarkStart w:id="5" w:name="_heading=h.u7ujy3lriqn6" w:colFirst="0" w:colLast="0"/>
      <w:bookmarkStart w:id="6" w:name="_Toc190035328"/>
      <w:bookmarkEnd w:id="5"/>
      <w:r>
        <w:t>3. Event Concept</w:t>
      </w:r>
      <w:bookmarkEnd w:id="6"/>
      <w:r>
        <w:t xml:space="preserve"> </w:t>
      </w:r>
    </w:p>
    <w:p w14:paraId="73CB8914"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Women in Hospitality Leadership Forum 2025 provides participants with an organised educational framework that optimises knowledge gained together with career advancement and professional relationships. The conference will start with hotel industry leadership keynote addresses before proceeding to sessions about gender diversity along with leadership development and workplace inclusiveness. The event will provide delegates with mentorship </w:t>
      </w:r>
      <w:r>
        <w:rPr>
          <w:rFonts w:ascii="Times New Roman" w:eastAsia="Times New Roman" w:hAnsi="Times New Roman" w:cs="Times New Roman"/>
          <w:sz w:val="24"/>
          <w:szCs w:val="24"/>
        </w:rPr>
        <w:lastRenderedPageBreak/>
        <w:t>opportunities along with hands-on career workshops and networking areas that create meaningful professional relations. Session breakout groups will cover topics about negotiation techniques alongside executive presence training because they focus on leadership obstacles as well. A networking reception marks the finale of the event to enable attendees to meet sponsors important industry leaders and potential mentors for career development purposes.</w:t>
      </w:r>
    </w:p>
    <w:p w14:paraId="6256C6F0" w14:textId="77777777" w:rsidR="00D717A7" w:rsidRDefault="00A7683A">
      <w:pPr>
        <w:pStyle w:val="Heading1"/>
      </w:pPr>
      <w:bookmarkStart w:id="7" w:name="_heading=h.9apytoixg6r4" w:colFirst="0" w:colLast="0"/>
      <w:bookmarkStart w:id="8" w:name="_Toc190035329"/>
      <w:bookmarkEnd w:id="7"/>
      <w:r>
        <w:t>4. Aim and Objectives of the Meeting/Event</w:t>
      </w:r>
      <w:bookmarkEnd w:id="8"/>
      <w:r>
        <w:t xml:space="preserve"> </w:t>
      </w:r>
    </w:p>
    <w:p w14:paraId="361ADD00"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event targets hospitality females by teaching leadership development, mentoring relationships, and networking channels to improve their organisational prospects and workplace diversity levels.</w:t>
      </w:r>
    </w:p>
    <w:p w14:paraId="3F9D0D7C" w14:textId="77777777" w:rsidR="00D717A7" w:rsidRDefault="00A7683A">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Objectives:</w:t>
      </w:r>
    </w:p>
    <w:p w14:paraId="071B28A4" w14:textId="77777777" w:rsidR="00D717A7" w:rsidRDefault="00A7683A">
      <w:pPr>
        <w:numPr>
          <w:ilvl w:val="0"/>
          <w:numId w:val="2"/>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event will provide aspiring leadership development through scheduled meetings between industry executives and their mentees.</w:t>
      </w:r>
    </w:p>
    <w:p w14:paraId="37F2BFD8" w14:textId="77777777" w:rsidR="00D717A7" w:rsidRDefault="00A7683A">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Professional workshops about leadership development and diversity education should be offered to participants.</w:t>
      </w:r>
    </w:p>
    <w:p w14:paraId="76B69802" w14:textId="77777777" w:rsidR="00D717A7" w:rsidRDefault="00A7683A">
      <w:pPr>
        <w:numPr>
          <w:ilvl w:val="0"/>
          <w:numId w:val="2"/>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event should provide networking chances which help employees establish important workplace connections to advance gender equity throughout the hospitality sector.</w:t>
      </w:r>
    </w:p>
    <w:p w14:paraId="55F27D0F" w14:textId="77777777" w:rsidR="00D717A7" w:rsidRDefault="00A7683A">
      <w:pPr>
        <w:pStyle w:val="Heading1"/>
      </w:pPr>
      <w:bookmarkStart w:id="9" w:name="_heading=h.tyjcwt" w:colFirst="0" w:colLast="0"/>
      <w:bookmarkStart w:id="10" w:name="_Toc190035330"/>
      <w:bookmarkEnd w:id="9"/>
      <w:r>
        <w:t>5. Event Management</w:t>
      </w:r>
      <w:bookmarkEnd w:id="10"/>
    </w:p>
    <w:p w14:paraId="52B49DDC"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very important to come up with the right marketing and advertisement tools in order to reach out to the target audience and the inconsequentiality of low turnout when the campaign is displayed underway (Katz, 2022). A comprehensive marketing plan will be developed for the Women in Hospitality Leadership Forum 2025 to target the customers through internet and digital marketing, collaboration with various industries, in press and media and with universities and educational institutions. Working with several key hotel chains, HR companies, and women's employers’ associations helps to spread the word among a broader audience (Zografou and Galanaki, 2024). Some of the activities geared towards popularising the event will be done by the sponsors and partners in their organisations.</w:t>
      </w:r>
    </w:p>
    <w:p w14:paraId="7618F2F6"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ensures that there is awareness of what is going on, especially through the press and media. These newspapers include Hospitality Net and Caterer.com. Speakers will be interviewed during the event, and the impacts of the event will also be disseminated through newspapers </w:t>
      </w:r>
      <w:r>
        <w:rPr>
          <w:rFonts w:ascii="Times New Roman" w:eastAsia="Times New Roman" w:hAnsi="Times New Roman" w:cs="Times New Roman"/>
          <w:sz w:val="24"/>
          <w:szCs w:val="24"/>
        </w:rPr>
        <w:lastRenderedPageBreak/>
        <w:t xml:space="preserve">and magazines. Media engagement helps in espousing the advocacies and positions regarding gender diversity and leadership development in the industry (Brechenmacher and Mann, 2024). </w:t>
      </w:r>
    </w:p>
    <w:p w14:paraId="362DB2BE"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well-designed operation and planning, together with a marketing strategy, remains essential for creating a smooth event delivery for the Women in Hospitality Leadership Forum 2025. The event management team hospitality coordinator, accessibility specialist security team members and technical crew will lead venue setup activities and audiovisual installations and all site operations. The event planning consists of using ExCeL London as the venue while coordinating guest speakers and mentorship activities with special consideration for adaptable venue design, which includes translation services and wheelchair accessibility features. LinkedIn advertising combined with business partnerships and email distributions will drive attendance for the event, while Hospitality Net and Caterer.com publications deliver valuable press coverage for marketing purposes.</w:t>
      </w:r>
    </w:p>
    <w:p w14:paraId="122EE1BE" w14:textId="77777777" w:rsidR="00D717A7" w:rsidRDefault="00A7683A">
      <w:pPr>
        <w:pStyle w:val="Heading1"/>
      </w:pPr>
      <w:bookmarkStart w:id="11" w:name="_heading=h.3dy6vkm" w:colFirst="0" w:colLast="0"/>
      <w:bookmarkStart w:id="12" w:name="_Toc190035331"/>
      <w:bookmarkEnd w:id="11"/>
      <w:r>
        <w:t>5. Event Budget</w:t>
      </w:r>
      <w:bookmarkEnd w:id="12"/>
    </w:p>
    <w:p w14:paraId="2B96EAC6"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necessary to note that the source of revenue for Women in Hospitality Leadership Forum 2025 will be obtained from various areas, some of which include sponsorships, tickets and exhibitors. The available corporate sponsorships consist of the platinum sponsorship, the gold sponsorship and the silver sponsorship, each having different percentage branding, different chances for promotions and other chances to sit on a panel. These sponsorship packages will enable the corporate partners to associate with an event that supports employing and promoting women and workplace equality. The above opportunities, such as branded materials, online advertising, chances to give a speech, and post-event documentation, will ultimately provide sponsors worth for the funds they have invested where the organisation of the conference focuses on Diversity, Equity, and Inclusion.</w:t>
      </w:r>
    </w:p>
    <w:p w14:paraId="57B982F9"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funds dedicated to the conference total £170,000 with allocations for venue rental (£50,000) and marketing costs (£20,000), while speaker compensation amounts to £30,000 and catering costs reach £15,000, and logistics expenditures equal £25,000 and staffing fees add up to £20,000 but contingency funds make up the remaining £10,000. The organisation will receive revenue through corporate sponsorships, which amount to £100,000 and through ticket sales worth £80,000 along with exhibitor fees totalling £30,000. The ticket pricing strategy offers three levels, including premium VIP tickets at £300 and General tickets at £15,0 plus Student tickets priced at £50. This pricing strategy achieves affordability with high-end event quality. Each sponsorship level offers distinctive benefits: Platinum provides branding and </w:t>
      </w:r>
      <w:r>
        <w:rPr>
          <w:rFonts w:ascii="Times New Roman" w:eastAsia="Times New Roman" w:hAnsi="Times New Roman" w:cs="Times New Roman"/>
          <w:sz w:val="24"/>
          <w:szCs w:val="24"/>
        </w:rPr>
        <w:lastRenderedPageBreak/>
        <w:t>speaking possibilities together with promotion opportunities. Gold provides speakers alongside promotion, and Silver gives branding and promotional access. A portion of the raised funds will be directed toward establishing new hospitality diversity initiatives along with mentoring programs and leadership development programs set for the industry.</w:t>
      </w:r>
    </w:p>
    <w:p w14:paraId="02E26A85"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other source of funds will also be from ticket sales since it is commonly known that most events get financed primarily from ticket sales (Je, Khoo and Yang, 2023). There will be a VIP price range, a general price range, and even student ticket prices so that the price is not too high while still maintaining quality for the event. The pricing model aims at making the events affordable to all clients and, at the same time, ensuring that all the expenses incurred in organising the event are catered for (Rachmad, 2022). In order to increase the reach in terms of participation and attendance, discounts will begin for those groups who book well in advance, in addition to group discounts for organisations that will encourage multiple members to attend the forum. Benefits that will only be accessible by persons with VIP tickets will be opportunities to network with other professionals of the same level, preferred sitting and the chance to attend privation mentorship sessions.</w:t>
      </w:r>
    </w:p>
    <w:p w14:paraId="431D1E8C"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costs involved in staging an event include hiring a venue, public address, speakers, food and beverages, travel and accommodation, emoluments, and overridden expenses. The contingency budget is set to enable the capture of other costs and any additional spending that might be required depending on the situation on the ground (Ammar, Abdel-Monem and El-Dash, 2023). The budget proposal will also include elements of sustainability, including sustainable event management, to ensure that any amount spent on event management is the right amount.</w:t>
      </w:r>
    </w:p>
    <w:p w14:paraId="4F29BD79" w14:textId="77777777" w:rsidR="00D717A7" w:rsidRDefault="00A7683A">
      <w:pPr>
        <w:pStyle w:val="Heading1"/>
      </w:pPr>
      <w:bookmarkStart w:id="13" w:name="_heading=h.1t3h5sf" w:colFirst="0" w:colLast="0"/>
      <w:bookmarkStart w:id="14" w:name="_Toc190035332"/>
      <w:bookmarkEnd w:id="13"/>
      <w:r>
        <w:t>6. Industry Trends/Issues/Impacts</w:t>
      </w:r>
      <w:bookmarkEnd w:id="14"/>
    </w:p>
    <w:p w14:paraId="0F56A8EC"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Women in Hospitality Leadership Forum 2025 assessment framework will be used to measure its success. The criteria suitable for measuring the effectiveness of this type of event will include the level of participation during the event, the results of the post-event surveys, the activity of the press and intermediaries involved, and the career advancement of the participants. Quantitative and qualitative data from the participants, sponsors, and stakeholders will be collected during data collection.</w:t>
      </w:r>
    </w:p>
    <w:p w14:paraId="0A9B10AC"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questionnaire will be shared with participants after the event to evaluate the relevancy of a particular session, the information provided by the speakers, and the organisation of the event. Data will be collected from participants on what they deemed as appropriate and useful in the discussion forums, the possibility of sufficient networking and the practical value that the interactions with the mentors offered to them. The survey will also contain questions on the areas that should be enhanced in the next edition of the next forum that is focused on catering to the needs of women in leadership in the hospitality industry.</w:t>
      </w:r>
    </w:p>
    <w:p w14:paraId="79DB4D07"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to determine the financial gain from corporate partners, sponsor and exhibitor feedback is also crucial (Kwiatkowski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2024). This means that Brand exposure, audience response, and sponsors' visibility in the event will be assessed post-event, with partner organisations receiving detailed results of their participation. Press releases generated by the forum will also be evaluated in terms of media coverage, press interest level, impressions, and press discussion on social media platforms.</w:t>
      </w:r>
    </w:p>
    <w:p w14:paraId="6D270EBC"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factor that is likely to be measured will be the employment outcomes of participants with long-term career advancement. Sub-studies will evaluate whether employees obtain, for example, a promotion, a new managerial position, or a chance to become a mentor to others after the event. In addition, an online group or alums will be set to support the participants’ engagement with the event and offer subject areas wherein participants may share pictures and stories of their progress in their chosen careers. This will create a model for the continuous support of women in hospitality where they can share ideas and learn from experiences even after the forum.</w:t>
      </w:r>
    </w:p>
    <w:p w14:paraId="0E6D329E"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proposed that the subsequent forums would be made accordingly based on the perceived impacts which helps the forum to always address the numerous leadership concerns in the area of hospitality and gender diversity. Other features, including mentorship, scholarship funds, and publishing research will be considered to enhance the career progression of women. The purpose is to develop a sustainable impact to raise the issue of changing the culture of the industry and to solidify WILF’s role as an organisation that works towards giving women a better chance at being promoted to leadership positions in the hospitality industry.</w:t>
      </w:r>
    </w:p>
    <w:p w14:paraId="0E3B95AB" w14:textId="77777777" w:rsidR="00D717A7" w:rsidRDefault="00A7683A">
      <w:pPr>
        <w:pStyle w:val="Heading1"/>
      </w:pPr>
      <w:bookmarkStart w:id="15" w:name="_heading=h.70iwj0tua8ag" w:colFirst="0" w:colLast="0"/>
      <w:bookmarkStart w:id="16" w:name="_Toc190035333"/>
      <w:bookmarkEnd w:id="15"/>
      <w:r>
        <w:t>7. Situational and Cultural Considerations</w:t>
      </w:r>
      <w:bookmarkEnd w:id="16"/>
    </w:p>
    <w:p w14:paraId="1EE9726D"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Situational, along with cultural factors, should be analysed by The Women in Hospitality Leadership Forum 2025 to create an inclusive impactful event. The PESTEL analysis reveals essential evaluation points.</w:t>
      </w:r>
    </w:p>
    <w:p w14:paraId="7CD78700" w14:textId="77777777" w:rsidR="00D717A7" w:rsidRDefault="00A7683A">
      <w:pPr>
        <w:numPr>
          <w:ilvl w:val="0"/>
          <w:numId w:val="1"/>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Political: The event must observe UK employment laws and gender equality policies as a way to follow industry regulations.</w:t>
      </w:r>
    </w:p>
    <w:p w14:paraId="73630F2C" w14:textId="77777777" w:rsidR="00D717A7" w:rsidRDefault="00A7683A">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Economic: Economic factors demonstrate that events which promote diverse leadership result in superior financial outcomes and business success (Bhat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w:t>
      </w:r>
    </w:p>
    <w:p w14:paraId="3A49F4B5" w14:textId="77777777" w:rsidR="00D717A7" w:rsidRDefault="00A7683A">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Social aspects of gender leadership equality address inequalities to create inclusivity and advance female empowerment within masculine-dominated industries.</w:t>
      </w:r>
    </w:p>
    <w:p w14:paraId="423DA8FB" w14:textId="77777777" w:rsidR="00D717A7" w:rsidRDefault="00A7683A">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Technological: AI-based online networking solutions, together with digital business cards, drive better engagement between participants.</w:t>
      </w:r>
    </w:p>
    <w:p w14:paraId="52888E3B" w14:textId="77777777" w:rsidR="00D717A7" w:rsidRDefault="00A7683A">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Environmental: Environmental sustainability involves paperless registration and the use of eco-friendly materials together with ethical catering practices.</w:t>
      </w:r>
    </w:p>
    <w:p w14:paraId="5BC56099" w14:textId="77777777" w:rsidR="00D717A7" w:rsidRDefault="00A7683A">
      <w:pPr>
        <w:numPr>
          <w:ilvl w:val="0"/>
          <w:numId w:val="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Legal: Lawful compliance with workplace equity legislation combined with accessibility regulations must be maintained for all attendees.</w:t>
      </w:r>
    </w:p>
    <w:p w14:paraId="3E17AE64"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Making an event culturally sensitive requires multi-language interpretation along with dining accommodations for all attendees to create a safe space. By implementing strategic planning and global relevance factors we achieve an event which enables extensive changes at the hospitality leadership scale.</w:t>
      </w:r>
    </w:p>
    <w:p w14:paraId="2D89FFE1" w14:textId="77777777" w:rsidR="00D717A7" w:rsidRDefault="00D717A7">
      <w:pPr>
        <w:spacing w:before="240" w:after="240" w:line="360" w:lineRule="auto"/>
        <w:jc w:val="both"/>
        <w:rPr>
          <w:rFonts w:ascii="Times New Roman" w:eastAsia="Times New Roman" w:hAnsi="Times New Roman" w:cs="Times New Roman"/>
          <w:sz w:val="24"/>
          <w:szCs w:val="24"/>
        </w:rPr>
      </w:pPr>
    </w:p>
    <w:p w14:paraId="222A3481" w14:textId="77777777" w:rsidR="00D717A7" w:rsidRDefault="00D717A7">
      <w:pPr>
        <w:spacing w:before="240" w:after="240" w:line="360" w:lineRule="auto"/>
        <w:jc w:val="both"/>
        <w:rPr>
          <w:rFonts w:ascii="Times New Roman" w:eastAsia="Times New Roman" w:hAnsi="Times New Roman" w:cs="Times New Roman"/>
          <w:sz w:val="24"/>
          <w:szCs w:val="24"/>
        </w:rPr>
      </w:pPr>
    </w:p>
    <w:p w14:paraId="482D0391" w14:textId="77777777" w:rsidR="00D717A7" w:rsidRDefault="00A7683A">
      <w:pPr>
        <w:pStyle w:val="Heading1"/>
      </w:pPr>
      <w:bookmarkStart w:id="17" w:name="_heading=h.4d34og8" w:colFirst="0" w:colLast="0"/>
      <w:bookmarkStart w:id="18" w:name="_Toc190035334"/>
      <w:bookmarkEnd w:id="17"/>
      <w:r>
        <w:t>8. Conclusion</w:t>
      </w:r>
      <w:bookmarkEnd w:id="18"/>
    </w:p>
    <w:p w14:paraId="01EEAF31"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can also be noted that the Women in Hospitality Leadership Forum 2025 is a good beginning toward equal representation of women in the hospitality sector. Through structured programs involving mentoring, leadership training, and networking, the forum seeks to enhance women's welfare and place them on the career ladder. This event will be sustainable in the long term by embedding itself in the sector's environment and aligning it with its current trends and different innovative approaches to financial sustainability.</w:t>
      </w:r>
    </w:p>
    <w:p w14:paraId="3CC3924A"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Because of the establishment of the event cycle, sound marketing plans, proper engagement of the stakeholders, and good financial practices, the forum is set to achieve the above objectives. The event will redress imbalances in leadership in the current and contemporaneous era while paving the way for a positive shift towards the general enhancement of women in hospitality.</w:t>
      </w:r>
      <w:r>
        <w:br w:type="page"/>
      </w:r>
    </w:p>
    <w:p w14:paraId="35CFF029" w14:textId="77777777" w:rsidR="00D717A7" w:rsidRDefault="00A7683A">
      <w:pPr>
        <w:pStyle w:val="Heading1"/>
      </w:pPr>
      <w:bookmarkStart w:id="19" w:name="_heading=h.2s8eyo1" w:colFirst="0" w:colLast="0"/>
      <w:bookmarkStart w:id="20" w:name="_Toc190035335"/>
      <w:bookmarkEnd w:id="19"/>
      <w:r>
        <w:t>Reference</w:t>
      </w:r>
      <w:bookmarkEnd w:id="20"/>
    </w:p>
    <w:p w14:paraId="053D261F"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Ammar, T., Abdel-Monem, M. and El-Dash, K., (2023). Appropriate budget contingency determination for construction projects: State-of-the-art. </w:t>
      </w:r>
      <w:r>
        <w:rPr>
          <w:rFonts w:ascii="Times New Roman" w:eastAsia="Times New Roman" w:hAnsi="Times New Roman" w:cs="Times New Roman"/>
          <w:i/>
          <w:sz w:val="24"/>
          <w:szCs w:val="24"/>
        </w:rPr>
        <w:t>Alexandria Engineering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78</w:t>
      </w:r>
      <w:r>
        <w:rPr>
          <w:rFonts w:ascii="Times New Roman" w:eastAsia="Times New Roman" w:hAnsi="Times New Roman" w:cs="Times New Roman"/>
          <w:sz w:val="24"/>
          <w:szCs w:val="24"/>
        </w:rPr>
        <w:t>, pp.88-103. Available at:</w:t>
      </w:r>
      <w:hyperlink r:id="rId10">
        <w:r>
          <w:rPr>
            <w:rFonts w:ascii="Times New Roman" w:eastAsia="Times New Roman" w:hAnsi="Times New Roman" w:cs="Times New Roman"/>
            <w:sz w:val="24"/>
            <w:szCs w:val="24"/>
          </w:rPr>
          <w:t xml:space="preserve"> </w:t>
        </w:r>
      </w:hyperlink>
      <w:hyperlink r:id="rId11">
        <w:r>
          <w:rPr>
            <w:rFonts w:ascii="Times New Roman" w:eastAsia="Times New Roman" w:hAnsi="Times New Roman" w:cs="Times New Roman"/>
            <w:color w:val="1155CC"/>
            <w:sz w:val="24"/>
            <w:szCs w:val="24"/>
            <w:u w:val="single"/>
          </w:rPr>
          <w:t>https://www.sciencedirect.com/science/article/pii/S1110016823006178</w:t>
        </w:r>
      </w:hyperlink>
      <w:r>
        <w:rPr>
          <w:rFonts w:ascii="Times New Roman" w:eastAsia="Times New Roman" w:hAnsi="Times New Roman" w:cs="Times New Roman"/>
          <w:sz w:val="24"/>
          <w:szCs w:val="24"/>
        </w:rPr>
        <w:t xml:space="preserve"> [Accessed on 31 January 2025].</w:t>
      </w:r>
    </w:p>
    <w:p w14:paraId="15EC22D8"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Berntzen, M., Stray, V., Moe, N.B. and Hoda, R., (2023). Responding to change over time: A longitudinal case study on changes in coordination mechanisms in large-scale agile. </w:t>
      </w:r>
      <w:r>
        <w:rPr>
          <w:rFonts w:ascii="Times New Roman" w:eastAsia="Times New Roman" w:hAnsi="Times New Roman" w:cs="Times New Roman"/>
          <w:i/>
          <w:sz w:val="24"/>
          <w:szCs w:val="24"/>
        </w:rPr>
        <w:t>Empirical Software Engineering</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28</w:t>
      </w:r>
      <w:r>
        <w:rPr>
          <w:rFonts w:ascii="Times New Roman" w:eastAsia="Times New Roman" w:hAnsi="Times New Roman" w:cs="Times New Roman"/>
          <w:sz w:val="24"/>
          <w:szCs w:val="24"/>
        </w:rPr>
        <w:t>(5), p.114. Available at:</w:t>
      </w:r>
      <w:hyperlink r:id="rId12">
        <w:r>
          <w:rPr>
            <w:rFonts w:ascii="Times New Roman" w:eastAsia="Times New Roman" w:hAnsi="Times New Roman" w:cs="Times New Roman"/>
            <w:sz w:val="24"/>
            <w:szCs w:val="24"/>
          </w:rPr>
          <w:t xml:space="preserve"> </w:t>
        </w:r>
      </w:hyperlink>
      <w:hyperlink r:id="rId13">
        <w:r>
          <w:rPr>
            <w:rFonts w:ascii="Times New Roman" w:eastAsia="Times New Roman" w:hAnsi="Times New Roman" w:cs="Times New Roman"/>
            <w:color w:val="1155CC"/>
            <w:sz w:val="24"/>
            <w:szCs w:val="24"/>
            <w:u w:val="single"/>
          </w:rPr>
          <w:t>https://link.springer.com/content/pdf/10.1007/s10664-023-10349-0.pdf</w:t>
        </w:r>
      </w:hyperlink>
      <w:r>
        <w:rPr>
          <w:rFonts w:ascii="Times New Roman" w:eastAsia="Times New Roman" w:hAnsi="Times New Roman" w:cs="Times New Roman"/>
          <w:sz w:val="24"/>
          <w:szCs w:val="24"/>
        </w:rPr>
        <w:t xml:space="preserve"> [Accessed on 31 January 2025].</w:t>
      </w:r>
    </w:p>
    <w:p w14:paraId="1F01790F"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Bhat, B.A., Majid, J., Gurumayum, K., Dar, M.A. and Mary, P.R., (2022). Promoting Gender Equality for Women's Leadership. </w:t>
      </w:r>
      <w:r>
        <w:rPr>
          <w:rFonts w:ascii="Times New Roman" w:eastAsia="Times New Roman" w:hAnsi="Times New Roman" w:cs="Times New Roman"/>
          <w:i/>
          <w:sz w:val="24"/>
          <w:szCs w:val="24"/>
        </w:rPr>
        <w:t>International Journal of Early Childhood Special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14</w:t>
      </w:r>
      <w:r>
        <w:rPr>
          <w:rFonts w:ascii="Times New Roman" w:eastAsia="Times New Roman" w:hAnsi="Times New Roman" w:cs="Times New Roman"/>
          <w:sz w:val="24"/>
          <w:szCs w:val="24"/>
        </w:rPr>
        <w:t>(5). Available at:</w:t>
      </w:r>
      <w:hyperlink r:id="rId14">
        <w:r>
          <w:rPr>
            <w:rFonts w:ascii="Times New Roman" w:eastAsia="Times New Roman" w:hAnsi="Times New Roman" w:cs="Times New Roman"/>
            <w:sz w:val="24"/>
            <w:szCs w:val="24"/>
          </w:rPr>
          <w:t xml:space="preserve"> </w:t>
        </w:r>
      </w:hyperlink>
      <w:hyperlink r:id="rId15">
        <w:r>
          <w:rPr>
            <w:rFonts w:ascii="Times New Roman" w:eastAsia="Times New Roman" w:hAnsi="Times New Roman" w:cs="Times New Roman"/>
            <w:color w:val="1155CC"/>
            <w:sz w:val="24"/>
            <w:szCs w:val="24"/>
            <w:u w:val="single"/>
          </w:rPr>
          <w:t>https://www.researchgate.net/profile/Bilal-Bhat-6/publication/362226012_Promoting_Gender_Equality_for_Women's_Leadership/links/62dd7ad4aa5823729edf0c6b/Promoting-Gender-Equality-for-Womens-Leadership.pdf</w:t>
        </w:r>
      </w:hyperlink>
      <w:r>
        <w:rPr>
          <w:rFonts w:ascii="Times New Roman" w:eastAsia="Times New Roman" w:hAnsi="Times New Roman" w:cs="Times New Roman"/>
          <w:sz w:val="24"/>
          <w:szCs w:val="24"/>
        </w:rPr>
        <w:t xml:space="preserve"> [Accessed on 31 January 2025].</w:t>
      </w:r>
    </w:p>
    <w:p w14:paraId="168DFDF5"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Brechenmacher, S. and Mann, K., (2024). </w:t>
      </w:r>
      <w:r>
        <w:rPr>
          <w:rFonts w:ascii="Times New Roman" w:eastAsia="Times New Roman" w:hAnsi="Times New Roman" w:cs="Times New Roman"/>
          <w:i/>
          <w:sz w:val="24"/>
          <w:szCs w:val="24"/>
        </w:rPr>
        <w:t>Aiding Empowerment: Democracy Promotion and Gender Equality in Politics</w:t>
      </w:r>
      <w:r>
        <w:rPr>
          <w:rFonts w:ascii="Times New Roman" w:eastAsia="Times New Roman" w:hAnsi="Times New Roman" w:cs="Times New Roman"/>
          <w:sz w:val="24"/>
          <w:szCs w:val="24"/>
        </w:rPr>
        <w:t>. Oxford University Press.</w:t>
      </w:r>
    </w:p>
    <w:p w14:paraId="60545ABF"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Je, J.S., Khoo, C. and Yang, E.C.L., (2023). Gender issues in tourism organisations: Insights from a two-phased pragmatic systematic literature review. </w:t>
      </w:r>
      <w:r>
        <w:rPr>
          <w:rFonts w:ascii="Times New Roman" w:eastAsia="Times New Roman" w:hAnsi="Times New Roman" w:cs="Times New Roman"/>
          <w:i/>
          <w:sz w:val="24"/>
          <w:szCs w:val="24"/>
        </w:rPr>
        <w:t>Gender and Tourism Sustainability</w:t>
      </w:r>
      <w:r>
        <w:rPr>
          <w:rFonts w:ascii="Times New Roman" w:eastAsia="Times New Roman" w:hAnsi="Times New Roman" w:cs="Times New Roman"/>
          <w:sz w:val="24"/>
          <w:szCs w:val="24"/>
        </w:rPr>
        <w:t>, pp.205-228. Available at:</w:t>
      </w:r>
      <w:hyperlink r:id="rId16">
        <w:r>
          <w:rPr>
            <w:rFonts w:ascii="Times New Roman" w:eastAsia="Times New Roman" w:hAnsi="Times New Roman" w:cs="Times New Roman"/>
            <w:sz w:val="24"/>
            <w:szCs w:val="24"/>
          </w:rPr>
          <w:t xml:space="preserve"> </w:t>
        </w:r>
      </w:hyperlink>
      <w:hyperlink r:id="rId17">
        <w:r>
          <w:rPr>
            <w:rFonts w:ascii="Times New Roman" w:eastAsia="Times New Roman" w:hAnsi="Times New Roman" w:cs="Times New Roman"/>
            <w:color w:val="1155CC"/>
            <w:sz w:val="24"/>
            <w:szCs w:val="24"/>
            <w:u w:val="single"/>
          </w:rPr>
          <w:t>https://www.researchgate.net/profile/Jess-Je/publication/346302206_Gender_issues_in_tourism_organisations_insights_from_a_two-phased_pragmatic_systematic_literature_review/links/613d888001846e45ef423eca/Gender-issues-in-tourism-organisations-insights-from-a-two-phased-pragmatic-systematic-literature-review.pdf?origin=journalDetail&amp;_tp=eyJwYWdlIjoiam91cm5hbERldGFpbCJ9</w:t>
        </w:r>
      </w:hyperlink>
      <w:r>
        <w:rPr>
          <w:rFonts w:ascii="Times New Roman" w:eastAsia="Times New Roman" w:hAnsi="Times New Roman" w:cs="Times New Roman"/>
          <w:sz w:val="24"/>
          <w:szCs w:val="24"/>
        </w:rPr>
        <w:t xml:space="preserve"> [Accessed on 31 January 2025].</w:t>
      </w:r>
    </w:p>
    <w:p w14:paraId="1F2A3AD0"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Katz, H., (2022). </w:t>
      </w:r>
      <w:r>
        <w:rPr>
          <w:rFonts w:ascii="Times New Roman" w:eastAsia="Times New Roman" w:hAnsi="Times New Roman" w:cs="Times New Roman"/>
          <w:i/>
          <w:sz w:val="24"/>
          <w:szCs w:val="24"/>
        </w:rPr>
        <w:t>The media handbook: A complete guide to advertising media selection, planning, research, and buying</w:t>
      </w:r>
      <w:r>
        <w:rPr>
          <w:rFonts w:ascii="Times New Roman" w:eastAsia="Times New Roman" w:hAnsi="Times New Roman" w:cs="Times New Roman"/>
          <w:sz w:val="24"/>
          <w:szCs w:val="24"/>
        </w:rPr>
        <w:t>. Routledge.</w:t>
      </w:r>
    </w:p>
    <w:p w14:paraId="321F06D8"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Kayikci, Y., Durak Usar, D. and Aylak, B.L., (2022). Using blockchain technology to drive operational excellence in perishable food supply chains during outbreaks. </w:t>
      </w:r>
      <w:r>
        <w:rPr>
          <w:rFonts w:ascii="Times New Roman" w:eastAsia="Times New Roman" w:hAnsi="Times New Roman" w:cs="Times New Roman"/>
          <w:i/>
          <w:sz w:val="24"/>
          <w:szCs w:val="24"/>
        </w:rPr>
        <w:t>The International Journal of Logistics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33</w:t>
      </w:r>
      <w:r>
        <w:rPr>
          <w:rFonts w:ascii="Times New Roman" w:eastAsia="Times New Roman" w:hAnsi="Times New Roman" w:cs="Times New Roman"/>
          <w:sz w:val="24"/>
          <w:szCs w:val="24"/>
        </w:rPr>
        <w:t>(3), pp.836-876. Available at:</w:t>
      </w:r>
      <w:hyperlink r:id="rId18">
        <w:r>
          <w:rPr>
            <w:rFonts w:ascii="Times New Roman" w:eastAsia="Times New Roman" w:hAnsi="Times New Roman" w:cs="Times New Roman"/>
            <w:sz w:val="24"/>
            <w:szCs w:val="24"/>
          </w:rPr>
          <w:t xml:space="preserve"> </w:t>
        </w:r>
      </w:hyperlink>
      <w:hyperlink r:id="rId19">
        <w:r>
          <w:rPr>
            <w:rFonts w:ascii="Times New Roman" w:eastAsia="Times New Roman" w:hAnsi="Times New Roman" w:cs="Times New Roman"/>
            <w:color w:val="1155CC"/>
            <w:sz w:val="24"/>
            <w:szCs w:val="24"/>
            <w:u w:val="single"/>
          </w:rPr>
          <w:t>https://shura.shu.ac.uk/29840/1/Kayikci-UsingBlockchainTechnology%28AM%29.pdf</w:t>
        </w:r>
      </w:hyperlink>
      <w:r>
        <w:rPr>
          <w:rFonts w:ascii="Times New Roman" w:eastAsia="Times New Roman" w:hAnsi="Times New Roman" w:cs="Times New Roman"/>
          <w:sz w:val="24"/>
          <w:szCs w:val="24"/>
        </w:rPr>
        <w:t xml:space="preserve"> [Accessed on 31 January 2025].</w:t>
      </w:r>
    </w:p>
    <w:p w14:paraId="6B5658AB"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Kwiatkowski, G., Hjalager, A.M., Ossowska, L., Janiszewska, D. and Kurdyś-Kujawska, A., (2024). The entrepreneurial orientation of exhibitors and vendors at food festivals. </w:t>
      </w:r>
      <w:r>
        <w:rPr>
          <w:rFonts w:ascii="Times New Roman" w:eastAsia="Times New Roman" w:hAnsi="Times New Roman" w:cs="Times New Roman"/>
          <w:i/>
          <w:sz w:val="24"/>
          <w:szCs w:val="24"/>
        </w:rPr>
        <w:t>Journal of Policy Research in Tourism, Leisure and Events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16</w:t>
      </w:r>
      <w:r>
        <w:rPr>
          <w:rFonts w:ascii="Times New Roman" w:eastAsia="Times New Roman" w:hAnsi="Times New Roman" w:cs="Times New Roman"/>
          <w:sz w:val="24"/>
          <w:szCs w:val="24"/>
        </w:rPr>
        <w:t>(2), pp.207-226. Available at:</w:t>
      </w:r>
      <w:hyperlink r:id="rId20">
        <w:r>
          <w:rPr>
            <w:rFonts w:ascii="Times New Roman" w:eastAsia="Times New Roman" w:hAnsi="Times New Roman" w:cs="Times New Roman"/>
            <w:sz w:val="24"/>
            <w:szCs w:val="24"/>
          </w:rPr>
          <w:t xml:space="preserve"> </w:t>
        </w:r>
      </w:hyperlink>
      <w:hyperlink r:id="rId21">
        <w:r>
          <w:rPr>
            <w:rFonts w:ascii="Times New Roman" w:eastAsia="Times New Roman" w:hAnsi="Times New Roman" w:cs="Times New Roman"/>
            <w:color w:val="1155CC"/>
            <w:sz w:val="24"/>
            <w:szCs w:val="24"/>
            <w:u w:val="single"/>
          </w:rPr>
          <w:t>https://www.tandfonline.com/doi/pdf/10.1080/19407963.2021.1999967</w:t>
        </w:r>
      </w:hyperlink>
      <w:r>
        <w:rPr>
          <w:rFonts w:ascii="Times New Roman" w:eastAsia="Times New Roman" w:hAnsi="Times New Roman" w:cs="Times New Roman"/>
          <w:sz w:val="24"/>
          <w:szCs w:val="24"/>
        </w:rPr>
        <w:t xml:space="preserve"> [Accessed on 31 January 2025].</w:t>
      </w:r>
    </w:p>
    <w:p w14:paraId="6A948DE8"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Macpherson, L., (2021). </w:t>
      </w:r>
      <w:r>
        <w:rPr>
          <w:rFonts w:ascii="Times New Roman" w:eastAsia="Times New Roman" w:hAnsi="Times New Roman" w:cs="Times New Roman"/>
          <w:i/>
          <w:sz w:val="24"/>
          <w:szCs w:val="24"/>
        </w:rPr>
        <w:t>Barriers to Women's Career Advancement in the New Zealand Hospitality Industry</w:t>
      </w:r>
      <w:r>
        <w:rPr>
          <w:rFonts w:ascii="Times New Roman" w:eastAsia="Times New Roman" w:hAnsi="Times New Roman" w:cs="Times New Roman"/>
          <w:sz w:val="24"/>
          <w:szCs w:val="24"/>
        </w:rPr>
        <w:t xml:space="preserve"> (Doctoral dissertation, Open Access Te Herenga Waka-Victoria University of Wellington). Available at:</w:t>
      </w:r>
      <w:hyperlink r:id="rId22">
        <w:r>
          <w:rPr>
            <w:rFonts w:ascii="Times New Roman" w:eastAsia="Times New Roman" w:hAnsi="Times New Roman" w:cs="Times New Roman"/>
            <w:sz w:val="24"/>
            <w:szCs w:val="24"/>
          </w:rPr>
          <w:t xml:space="preserve"> </w:t>
        </w:r>
      </w:hyperlink>
      <w:hyperlink r:id="rId23">
        <w:r>
          <w:rPr>
            <w:rFonts w:ascii="Times New Roman" w:eastAsia="Times New Roman" w:hAnsi="Times New Roman" w:cs="Times New Roman"/>
            <w:color w:val="1155CC"/>
            <w:sz w:val="24"/>
            <w:szCs w:val="24"/>
            <w:u w:val="single"/>
          </w:rPr>
          <w:t>https://openaccess.wgtn.ac.nz/articles/thesis/Barriers_to_Women_s_Career_Advancement_in_the_New_Zealand_Hospitality_Industry/17151932/1/files/31714346.pdf</w:t>
        </w:r>
      </w:hyperlink>
      <w:r>
        <w:rPr>
          <w:rFonts w:ascii="Times New Roman" w:eastAsia="Times New Roman" w:hAnsi="Times New Roman" w:cs="Times New Roman"/>
          <w:sz w:val="24"/>
          <w:szCs w:val="24"/>
        </w:rPr>
        <w:t xml:space="preserve"> [Accessed on 31 January 2025].</w:t>
      </w:r>
    </w:p>
    <w:p w14:paraId="6014EBCD"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Rachmad, Y.E., (2022). The Influence And Impact of The Money Burning Strategy on The Future of Startups. </w:t>
      </w:r>
      <w:r>
        <w:rPr>
          <w:rFonts w:ascii="Times New Roman" w:eastAsia="Times New Roman" w:hAnsi="Times New Roman" w:cs="Times New Roman"/>
          <w:i/>
          <w:sz w:val="24"/>
          <w:szCs w:val="24"/>
        </w:rPr>
        <w:t>Adpebi Science Series</w:t>
      </w:r>
      <w:r>
        <w:rPr>
          <w:rFonts w:ascii="Times New Roman" w:eastAsia="Times New Roman" w:hAnsi="Times New Roman" w:cs="Times New Roman"/>
          <w:sz w:val="24"/>
          <w:szCs w:val="24"/>
        </w:rPr>
        <w:t>. Available at:</w:t>
      </w:r>
      <w:hyperlink r:id="rId24">
        <w:r>
          <w:rPr>
            <w:rFonts w:ascii="Times New Roman" w:eastAsia="Times New Roman" w:hAnsi="Times New Roman" w:cs="Times New Roman"/>
            <w:sz w:val="24"/>
            <w:szCs w:val="24"/>
          </w:rPr>
          <w:t xml:space="preserve"> </w:t>
        </w:r>
      </w:hyperlink>
      <w:hyperlink r:id="rId25">
        <w:r>
          <w:rPr>
            <w:rFonts w:ascii="Times New Roman" w:eastAsia="Times New Roman" w:hAnsi="Times New Roman" w:cs="Times New Roman"/>
            <w:color w:val="1155CC"/>
            <w:sz w:val="24"/>
            <w:szCs w:val="24"/>
            <w:u w:val="single"/>
          </w:rPr>
          <w:t>http://adpebipublishing.com/index.php/AICMEST/article/download/180/37</w:t>
        </w:r>
      </w:hyperlink>
      <w:r>
        <w:rPr>
          <w:rFonts w:ascii="Times New Roman" w:eastAsia="Times New Roman" w:hAnsi="Times New Roman" w:cs="Times New Roman"/>
          <w:sz w:val="24"/>
          <w:szCs w:val="24"/>
        </w:rPr>
        <w:t xml:space="preserve"> [Accessed on 31 January 2025].</w:t>
      </w:r>
    </w:p>
    <w:p w14:paraId="1DA6EE3E"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Tam, B.T., Le Quyen, M. and Quang, N.H.T., (2022). Women's career advancement in the hospitality industry in the central region, Vietnam. Available at:</w:t>
      </w:r>
      <w:hyperlink r:id="rId26">
        <w:r>
          <w:rPr>
            <w:rFonts w:ascii="Times New Roman" w:eastAsia="Times New Roman" w:hAnsi="Times New Roman" w:cs="Times New Roman"/>
            <w:sz w:val="24"/>
            <w:szCs w:val="24"/>
          </w:rPr>
          <w:t xml:space="preserve"> </w:t>
        </w:r>
      </w:hyperlink>
      <w:hyperlink r:id="rId27">
        <w:r>
          <w:rPr>
            <w:rFonts w:ascii="Times New Roman" w:eastAsia="Times New Roman" w:hAnsi="Times New Roman" w:cs="Times New Roman"/>
            <w:color w:val="1155CC"/>
            <w:sz w:val="24"/>
            <w:szCs w:val="24"/>
            <w:u w:val="single"/>
          </w:rPr>
          <w:t>https://csdlkhoahoc.hueuni.edu.vn/data/2022/7/APJIHT-111_Paper-5_(1).pdf</w:t>
        </w:r>
      </w:hyperlink>
      <w:r>
        <w:rPr>
          <w:rFonts w:ascii="Times New Roman" w:eastAsia="Times New Roman" w:hAnsi="Times New Roman" w:cs="Times New Roman"/>
          <w:sz w:val="24"/>
          <w:szCs w:val="24"/>
        </w:rPr>
        <w:t xml:space="preserve"> [Accessed on 31 January 2025].</w:t>
      </w:r>
    </w:p>
    <w:p w14:paraId="280E810A" w14:textId="77777777" w:rsidR="00D717A7" w:rsidRDefault="00A7683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Zografou, I. and Galanaki, E., (2024). To “talk the walk” or to “walk the talk”? Employer branding and HRM synergies in small and medium-sized hotels. </w:t>
      </w:r>
      <w:r>
        <w:rPr>
          <w:rFonts w:ascii="Times New Roman" w:eastAsia="Times New Roman" w:hAnsi="Times New Roman" w:cs="Times New Roman"/>
          <w:i/>
          <w:sz w:val="24"/>
          <w:szCs w:val="24"/>
        </w:rPr>
        <w:t>EuroMed Journal of Business</w:t>
      </w:r>
      <w:r>
        <w:rPr>
          <w:rFonts w:ascii="Times New Roman" w:eastAsia="Times New Roman" w:hAnsi="Times New Roman" w:cs="Times New Roman"/>
          <w:sz w:val="24"/>
          <w:szCs w:val="24"/>
        </w:rPr>
        <w:t>. Available at:</w:t>
      </w:r>
      <w:hyperlink r:id="rId28">
        <w:r>
          <w:rPr>
            <w:rFonts w:ascii="Times New Roman" w:eastAsia="Times New Roman" w:hAnsi="Times New Roman" w:cs="Times New Roman"/>
            <w:sz w:val="24"/>
            <w:szCs w:val="24"/>
          </w:rPr>
          <w:t xml:space="preserve"> </w:t>
        </w:r>
      </w:hyperlink>
      <w:hyperlink r:id="rId29">
        <w:r>
          <w:rPr>
            <w:rFonts w:ascii="Times New Roman" w:eastAsia="Times New Roman" w:hAnsi="Times New Roman" w:cs="Times New Roman"/>
            <w:color w:val="1155CC"/>
            <w:sz w:val="24"/>
            <w:szCs w:val="24"/>
            <w:u w:val="single"/>
          </w:rPr>
          <w:t>https://www.emerald.com/insight/content/doi/10.1108/EMJB-09-2023-0259/full/pdf</w:t>
        </w:r>
      </w:hyperlink>
      <w:r>
        <w:rPr>
          <w:rFonts w:ascii="Times New Roman" w:eastAsia="Times New Roman" w:hAnsi="Times New Roman" w:cs="Times New Roman"/>
          <w:sz w:val="24"/>
          <w:szCs w:val="24"/>
        </w:rPr>
        <w:t xml:space="preserve"> [Accessed on 31 January 2025].</w:t>
      </w:r>
    </w:p>
    <w:p w14:paraId="4F791F2B" w14:textId="77777777" w:rsidR="00D717A7" w:rsidRDefault="00D717A7">
      <w:pPr>
        <w:spacing w:before="240" w:after="240" w:line="360" w:lineRule="auto"/>
        <w:jc w:val="both"/>
        <w:rPr>
          <w:rFonts w:ascii="Times New Roman" w:eastAsia="Times New Roman" w:hAnsi="Times New Roman" w:cs="Times New Roman"/>
          <w:sz w:val="24"/>
          <w:szCs w:val="24"/>
        </w:rPr>
      </w:pPr>
    </w:p>
    <w:sectPr w:rsidR="00D717A7" w:rsidSect="00C0640A">
      <w:footerReference w:type="default" r:id="rId30"/>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530F0" w14:textId="77777777" w:rsidR="00165CCC" w:rsidRDefault="00165CCC" w:rsidP="00C0640A">
      <w:pPr>
        <w:spacing w:line="240" w:lineRule="auto"/>
      </w:pPr>
      <w:r>
        <w:separator/>
      </w:r>
    </w:p>
  </w:endnote>
  <w:endnote w:type="continuationSeparator" w:id="0">
    <w:p w14:paraId="784F8CB0" w14:textId="77777777" w:rsidR="00165CCC" w:rsidRDefault="00165CCC" w:rsidP="00C064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6614917"/>
      <w:docPartObj>
        <w:docPartGallery w:val="Page Numbers (Bottom of Page)"/>
        <w:docPartUnique/>
      </w:docPartObj>
    </w:sdtPr>
    <w:sdtEndPr/>
    <w:sdtContent>
      <w:sdt>
        <w:sdtPr>
          <w:id w:val="-1769616900"/>
          <w:docPartObj>
            <w:docPartGallery w:val="Page Numbers (Top of Page)"/>
            <w:docPartUnique/>
          </w:docPartObj>
        </w:sdtPr>
        <w:sdtEndPr/>
        <w:sdtContent>
          <w:p w14:paraId="106C3B91" w14:textId="37AC0D0B" w:rsidR="00C0640A" w:rsidRDefault="00C0640A">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D426C1">
              <w:rPr>
                <w:b/>
                <w:bCs/>
                <w:noProof/>
              </w:rPr>
              <w:t>11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D426C1">
              <w:rPr>
                <w:b/>
                <w:bCs/>
                <w:noProof/>
              </w:rPr>
              <w:t>11</w:t>
            </w:r>
            <w:r>
              <w:rPr>
                <w:b/>
                <w:bCs/>
                <w:sz w:val="24"/>
                <w:szCs w:val="24"/>
              </w:rPr>
              <w:fldChar w:fldCharType="end"/>
            </w:r>
          </w:p>
        </w:sdtContent>
      </w:sdt>
    </w:sdtContent>
  </w:sdt>
  <w:p w14:paraId="377F4AF0" w14:textId="77777777" w:rsidR="00C0640A" w:rsidRDefault="00C064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6389C" w14:textId="77777777" w:rsidR="00165CCC" w:rsidRDefault="00165CCC" w:rsidP="00C0640A">
      <w:pPr>
        <w:spacing w:line="240" w:lineRule="auto"/>
      </w:pPr>
      <w:r>
        <w:separator/>
      </w:r>
    </w:p>
  </w:footnote>
  <w:footnote w:type="continuationSeparator" w:id="0">
    <w:p w14:paraId="1034D12E" w14:textId="77777777" w:rsidR="00165CCC" w:rsidRDefault="00165CCC" w:rsidP="00C0640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B0602E"/>
    <w:multiLevelType w:val="multilevel"/>
    <w:tmpl w:val="097C1C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E1B5B9E"/>
    <w:multiLevelType w:val="multilevel"/>
    <w:tmpl w:val="F1A4C5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03959730">
    <w:abstractNumId w:val="0"/>
  </w:num>
  <w:num w:numId="2" w16cid:durableId="10792110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7A7"/>
    <w:rsid w:val="00034E48"/>
    <w:rsid w:val="00165CCC"/>
    <w:rsid w:val="002536DD"/>
    <w:rsid w:val="002D5707"/>
    <w:rsid w:val="0050656B"/>
    <w:rsid w:val="006E4CC5"/>
    <w:rsid w:val="009460FC"/>
    <w:rsid w:val="00A7683A"/>
    <w:rsid w:val="00C0640A"/>
    <w:rsid w:val="00C64180"/>
    <w:rsid w:val="00D426C1"/>
    <w:rsid w:val="00D717A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23CAE8"/>
  <w15:docId w15:val="{762E574A-1981-4C26-81A0-9D80093DE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240"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0640A"/>
    <w:pPr>
      <w:tabs>
        <w:tab w:val="center" w:pos="4513"/>
        <w:tab w:val="right" w:pos="9026"/>
      </w:tabs>
      <w:spacing w:line="240" w:lineRule="auto"/>
    </w:pPr>
  </w:style>
  <w:style w:type="character" w:customStyle="1" w:styleId="HeaderChar">
    <w:name w:val="Header Char"/>
    <w:basedOn w:val="DefaultParagraphFont"/>
    <w:link w:val="Header"/>
    <w:uiPriority w:val="99"/>
    <w:rsid w:val="00C0640A"/>
  </w:style>
  <w:style w:type="paragraph" w:styleId="Footer">
    <w:name w:val="footer"/>
    <w:basedOn w:val="Normal"/>
    <w:link w:val="FooterChar"/>
    <w:uiPriority w:val="99"/>
    <w:unhideWhenUsed/>
    <w:rsid w:val="00C0640A"/>
    <w:pPr>
      <w:tabs>
        <w:tab w:val="center" w:pos="4513"/>
        <w:tab w:val="right" w:pos="9026"/>
      </w:tabs>
      <w:spacing w:line="240" w:lineRule="auto"/>
    </w:pPr>
  </w:style>
  <w:style w:type="character" w:customStyle="1" w:styleId="FooterChar">
    <w:name w:val="Footer Char"/>
    <w:basedOn w:val="DefaultParagraphFont"/>
    <w:link w:val="Footer"/>
    <w:uiPriority w:val="99"/>
    <w:rsid w:val="00C0640A"/>
  </w:style>
  <w:style w:type="paragraph" w:styleId="TOCHeading">
    <w:name w:val="TOC Heading"/>
    <w:basedOn w:val="Heading1"/>
    <w:next w:val="Normal"/>
    <w:uiPriority w:val="39"/>
    <w:unhideWhenUsed/>
    <w:qFormat/>
    <w:rsid w:val="00C0640A"/>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0640A"/>
    <w:pPr>
      <w:spacing w:after="100"/>
    </w:pPr>
  </w:style>
  <w:style w:type="character" w:styleId="Hyperlink">
    <w:name w:val="Hyperlink"/>
    <w:basedOn w:val="DefaultParagraphFont"/>
    <w:uiPriority w:val="99"/>
    <w:unhideWhenUsed/>
    <w:rsid w:val="00C0640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hyperlink" Target="https://link.springer.com/content/pdf/10.1007/s10664-023-10349-0.pdf" TargetMode="External" /><Relationship Id="rId18" Type="http://schemas.openxmlformats.org/officeDocument/2006/relationships/hyperlink" Target="https://shura.shu.ac.uk/29840/1/Kayikci-UsingBlockchainTechnology%28AM%29.pdf" TargetMode="External" /><Relationship Id="rId26" Type="http://schemas.openxmlformats.org/officeDocument/2006/relationships/hyperlink" Target="https://csdlkhoahoc.hueuni.edu.vn/data/2022/7/APJIHT-111_Paper-5_(1).pdf" TargetMode="External" /><Relationship Id="rId3" Type="http://schemas.openxmlformats.org/officeDocument/2006/relationships/numbering" Target="numbering.xml" /><Relationship Id="rId21" Type="http://schemas.openxmlformats.org/officeDocument/2006/relationships/hyperlink" Target="https://www.tandfonline.com/doi/pdf/10.1080/19407963.2021.1999967" TargetMode="External" /><Relationship Id="rId7" Type="http://schemas.openxmlformats.org/officeDocument/2006/relationships/footnotes" Target="footnotes.xml" /><Relationship Id="rId12" Type="http://schemas.openxmlformats.org/officeDocument/2006/relationships/hyperlink" Target="https://link.springer.com/content/pdf/10.1007/s10664-023-10349-0.pdf" TargetMode="External" /><Relationship Id="rId17" Type="http://schemas.openxmlformats.org/officeDocument/2006/relationships/hyperlink" Target="https://www.researchgate.net/profile/Jess-Je/publication/346302206_Gender_issues_in_tourism_organisations_insights_from_a_two-phased_pragmatic_systematic_literature_review/links/613d888001846e45ef423eca/Gender-issues-in-tourism-organisations-insights-from-a-two-phased-pragmatic-systematic-literature-review.pdf?origin=journalDetail&amp;_tp=eyJwYWdlIjoiam91cm5hbERldGFpbCJ9" TargetMode="External" /><Relationship Id="rId25" Type="http://schemas.openxmlformats.org/officeDocument/2006/relationships/hyperlink" Target="http://adpebipublishing.com/index.php/AICMEST/article/download/180/37" TargetMode="External" /><Relationship Id="rId2" Type="http://schemas.openxmlformats.org/officeDocument/2006/relationships/customXml" Target="../customXml/item2.xml" /><Relationship Id="rId16" Type="http://schemas.openxmlformats.org/officeDocument/2006/relationships/hyperlink" Target="https://www.researchgate.net/profile/Jess-Je/publication/346302206_Gender_issues_in_tourism_organisations_insights_from_a_two-phased_pragmatic_systematic_literature_review/links/613d888001846e45ef423eca/Gender-issues-in-tourism-organisations-insights-from-a-two-phased-pragmatic-systematic-literature-review.pdf?origin=journalDetail&amp;_tp=eyJwYWdlIjoiam91cm5hbERldGFpbCJ9" TargetMode="External" /><Relationship Id="rId20" Type="http://schemas.openxmlformats.org/officeDocument/2006/relationships/hyperlink" Target="https://www.tandfonline.com/doi/pdf/10.1080/19407963.2021.1999967" TargetMode="External" /><Relationship Id="rId29" Type="http://schemas.openxmlformats.org/officeDocument/2006/relationships/hyperlink" Target="https://www.emerald.com/insight/content/doi/10.1108/EMJB-09-2023-0259/full/pdf" TargetMode="Externa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hyperlink" Target="https://www.sciencedirect.com/science/article/pii/S1110016823006178" TargetMode="External" /><Relationship Id="rId24" Type="http://schemas.openxmlformats.org/officeDocument/2006/relationships/hyperlink" Target="http://adpebipublishing.com/index.php/AICMEST/article/download/180/37" TargetMode="External" /><Relationship Id="rId32" Type="http://schemas.openxmlformats.org/officeDocument/2006/relationships/theme" Target="theme/theme1.xml" /><Relationship Id="rId5" Type="http://schemas.openxmlformats.org/officeDocument/2006/relationships/settings" Target="settings.xml" /><Relationship Id="rId15" Type="http://schemas.openxmlformats.org/officeDocument/2006/relationships/hyperlink" Target="https://www.researchgate.net/profile/Bilal-Bhat-6/publication/362226012_Promoting_Gender_Equality_for_Women's_Leadership/links/62dd7ad4aa5823729edf0c6b/Promoting-Gender-Equality-for-Womens-Leadership.pdf" TargetMode="External" /><Relationship Id="rId23" Type="http://schemas.openxmlformats.org/officeDocument/2006/relationships/hyperlink" Target="https://openaccess.wgtn.ac.nz/articles/thesis/Barriers_to_Women_s_Career_Advancement_in_the_New_Zealand_Hospitality_Industry/17151932/1/files/31714346.pdf" TargetMode="External" /><Relationship Id="rId28" Type="http://schemas.openxmlformats.org/officeDocument/2006/relationships/hyperlink" Target="https://www.emerald.com/insight/content/doi/10.1108/EMJB-09-2023-0259/full/pdf" TargetMode="External" /><Relationship Id="rId10" Type="http://schemas.openxmlformats.org/officeDocument/2006/relationships/hyperlink" Target="https://www.sciencedirect.com/science/article/pii/S1110016823006178" TargetMode="External" /><Relationship Id="rId19" Type="http://schemas.openxmlformats.org/officeDocument/2006/relationships/hyperlink" Target="https://shura.shu.ac.uk/29840/1/Kayikci-UsingBlockchainTechnology%28AM%29.pdf" TargetMode="External" /><Relationship Id="rId31" Type="http://schemas.openxmlformats.org/officeDocument/2006/relationships/fontTable" Target="fontTable.xml" /><Relationship Id="rId4" Type="http://schemas.openxmlformats.org/officeDocument/2006/relationships/styles" Target="styles.xml" /><Relationship Id="rId9" Type="http://schemas.openxmlformats.org/officeDocument/2006/relationships/image" Target="media/image1.png" /><Relationship Id="rId14" Type="http://schemas.openxmlformats.org/officeDocument/2006/relationships/hyperlink" Target="https://www.researchgate.net/profile/Bilal-Bhat-6/publication/362226012_Promoting_Gender_Equality_for_Women's_Leadership/links/62dd7ad4aa5823729edf0c6b/Promoting-Gender-Equality-for-Womens-Leadership.pdf" TargetMode="External" /><Relationship Id="rId22" Type="http://schemas.openxmlformats.org/officeDocument/2006/relationships/hyperlink" Target="https://openaccess.wgtn.ac.nz/articles/thesis/Barriers_to_Women_s_Career_Advancement_in_the_New_Zealand_Hospitality_Industry/17151932/1/files/31714346.pdf" TargetMode="External" /><Relationship Id="rId27" Type="http://schemas.openxmlformats.org/officeDocument/2006/relationships/hyperlink" Target="https://csdlkhoahoc.hueuni.edu.vn/data/2022/7/APJIHT-111_Paper-5_(1).pdf" TargetMode="External" /><Relationship Id="rId30"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9kfwpH13pcK38jqMG3Px0aNR/Ew==">CgMxLjAyCGguZ2pkZ3hzMgloLjMwajB6bGwyCWguMWZvYjl0ZTIJaC4yZXQ5MnAwMg5oLnU3dWp5M2xyaXFuNjIOaC45YXB5dG9peGc2cjQyCGgudHlqY3d0MgloLjNkeTZ2a20yCWguMXQzaDVzZjIOaC43MGl3ajB0dWE4YWcyCWguNGQzNG9nODIJaC4yczhleW8xOAByITFxSV9xV05kUjRrd29aUkJyZF84OTVjc295b1l2VHotMA==</go:docsCustomData>
</go:gDocsCustomXmlDataStorage>
</file>

<file path=customXml/itemProps1.xml><?xml version="1.0" encoding="utf-8"?>
<ds:datastoreItem xmlns:ds="http://schemas.openxmlformats.org/officeDocument/2006/customXml" ds:itemID="{8FC7407C-E2B4-4ABA-86C1-A8F4ACED0A2E}">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2929</Words>
  <Characters>21445</Characters>
  <Application>Microsoft Office Word</Application>
  <DocSecurity>0</DocSecurity>
  <Lines>178</Lines>
  <Paragraphs>48</Paragraphs>
  <ScaleCrop>false</ScaleCrop>
  <Company/>
  <LinksUpToDate>false</LinksUpToDate>
  <CharactersWithSpaces>24326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khan1204@hotmail.co.uk</cp:lastModifiedBy>
  <cp:revision>2</cp:revision>
  <dcterms:created xsi:type="dcterms:W3CDTF">2025-02-28T23:53:00Z</dcterms:created>
  <dcterms:modified xsi:type="dcterms:W3CDTF">2025-02-28T23:53:00Z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5e0b6c8b64b2617a687fe178c5b23dbfe968c58082dcb88abbd5880dae5b2217</vt:lpwstr>
  </property>
</Properties>
</file>