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FC93D"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585A8213"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764144F0" w14:textId="394C4126" w:rsidR="00E754F7" w:rsidRPr="006166E9" w:rsidRDefault="00EF0259" w:rsidP="00E754F7">
      <w:pPr>
        <w:spacing w:before="100" w:beforeAutospacing="1" w:after="100" w:afterAutospacing="1" w:line="360" w:lineRule="auto"/>
        <w:outlineLvl w:val="2"/>
        <w:rPr>
          <w:rFonts w:ascii="Ariel" w:eastAsia="Times New Roman" w:hAnsi="Ariel" w:cs="Times New Roman"/>
          <w:b/>
          <w:bCs/>
          <w:kern w:val="0"/>
          <w:sz w:val="40"/>
          <w:szCs w:val="40"/>
          <w:lang w:eastAsia="en-GB"/>
          <w14:ligatures w14:val="none"/>
        </w:rPr>
      </w:pPr>
      <w:r w:rsidRPr="006166E9">
        <w:rPr>
          <w:rFonts w:ascii="Ariel" w:eastAsia="Times New Roman" w:hAnsi="Ariel" w:cs="Times New Roman"/>
          <w:b/>
          <w:bCs/>
          <w:kern w:val="0"/>
          <w:sz w:val="40"/>
          <w:szCs w:val="40"/>
          <w:lang w:eastAsia="en-GB"/>
          <w14:ligatures w14:val="none"/>
        </w:rPr>
        <w:t>Student Name:</w:t>
      </w:r>
      <w:r w:rsidR="000F27C2" w:rsidRPr="006166E9">
        <w:rPr>
          <w:rFonts w:ascii="Ariel" w:eastAsia="Times New Roman" w:hAnsi="Ariel" w:cs="Times New Roman"/>
          <w:b/>
          <w:bCs/>
          <w:kern w:val="0"/>
          <w:sz w:val="40"/>
          <w:szCs w:val="40"/>
          <w:lang w:eastAsia="en-GB"/>
          <w14:ligatures w14:val="none"/>
        </w:rPr>
        <w:t xml:space="preserve"> Zakia Bi</w:t>
      </w:r>
    </w:p>
    <w:p w14:paraId="28BABE99" w14:textId="64388073" w:rsidR="00352D05" w:rsidRPr="006166E9" w:rsidRDefault="00352D05" w:rsidP="00E754F7">
      <w:pPr>
        <w:spacing w:before="100" w:beforeAutospacing="1" w:after="100" w:afterAutospacing="1" w:line="360" w:lineRule="auto"/>
        <w:outlineLvl w:val="2"/>
        <w:rPr>
          <w:rFonts w:ascii="Ariel" w:eastAsia="Times New Roman" w:hAnsi="Ariel" w:cs="Times New Roman"/>
          <w:b/>
          <w:bCs/>
          <w:kern w:val="0"/>
          <w:sz w:val="40"/>
          <w:szCs w:val="40"/>
          <w:u w:val="single"/>
          <w:lang w:eastAsia="en-GB"/>
          <w14:ligatures w14:val="none"/>
        </w:rPr>
      </w:pPr>
      <w:r w:rsidRPr="006166E9">
        <w:rPr>
          <w:rFonts w:ascii="Ariel" w:eastAsia="Times New Roman" w:hAnsi="Ariel" w:cs="Times New Roman"/>
          <w:b/>
          <w:bCs/>
          <w:kern w:val="0"/>
          <w:sz w:val="40"/>
          <w:szCs w:val="40"/>
          <w:lang w:eastAsia="en-GB"/>
          <w14:ligatures w14:val="none"/>
        </w:rPr>
        <w:t xml:space="preserve">Student </w:t>
      </w:r>
      <w:r w:rsidR="000F27C2" w:rsidRPr="006166E9">
        <w:rPr>
          <w:rFonts w:ascii="Ariel" w:eastAsia="Times New Roman" w:hAnsi="Ariel" w:cs="Times New Roman"/>
          <w:b/>
          <w:bCs/>
          <w:kern w:val="0"/>
          <w:sz w:val="40"/>
          <w:szCs w:val="40"/>
          <w:lang w:eastAsia="en-GB"/>
          <w14:ligatures w14:val="none"/>
        </w:rPr>
        <w:t>Number</w:t>
      </w:r>
      <w:r w:rsidRPr="006166E9">
        <w:rPr>
          <w:rFonts w:ascii="Ariel" w:eastAsia="Times New Roman" w:hAnsi="Ariel" w:cs="Times New Roman"/>
          <w:b/>
          <w:bCs/>
          <w:kern w:val="0"/>
          <w:sz w:val="40"/>
          <w:szCs w:val="40"/>
          <w:lang w:eastAsia="en-GB"/>
          <w14:ligatures w14:val="none"/>
        </w:rPr>
        <w:t>:</w:t>
      </w:r>
      <w:r w:rsidR="00AC4277" w:rsidRPr="006166E9">
        <w:rPr>
          <w:rFonts w:ascii="Ariel" w:eastAsia="Times New Roman" w:hAnsi="Ariel" w:cs="Times New Roman"/>
          <w:b/>
          <w:bCs/>
          <w:kern w:val="0"/>
          <w:sz w:val="40"/>
          <w:szCs w:val="40"/>
          <w:lang w:eastAsia="en-GB"/>
          <w14:ligatures w14:val="none"/>
        </w:rPr>
        <w:t xml:space="preserve"> 2446095</w:t>
      </w:r>
    </w:p>
    <w:p w14:paraId="2F17A597" w14:textId="7AEDEC0E" w:rsidR="0009636C" w:rsidRPr="006166E9" w:rsidRDefault="0009636C" w:rsidP="0009636C">
      <w:pPr>
        <w:spacing w:before="100" w:beforeAutospacing="1" w:after="100" w:afterAutospacing="1" w:line="360" w:lineRule="auto"/>
        <w:outlineLvl w:val="2"/>
        <w:rPr>
          <w:rFonts w:ascii="Ariel" w:eastAsia="Times New Roman" w:hAnsi="Ariel" w:cs="Times New Roman"/>
          <w:b/>
          <w:bCs/>
          <w:kern w:val="0"/>
          <w:sz w:val="40"/>
          <w:szCs w:val="40"/>
          <w:lang w:eastAsia="en-GB"/>
          <w14:ligatures w14:val="none"/>
        </w:rPr>
      </w:pPr>
      <w:r w:rsidRPr="006166E9">
        <w:rPr>
          <w:rFonts w:ascii="Ariel" w:eastAsia="Times New Roman" w:hAnsi="Ariel" w:cs="Times New Roman"/>
          <w:b/>
          <w:bCs/>
          <w:kern w:val="0"/>
          <w:sz w:val="40"/>
          <w:szCs w:val="40"/>
          <w:lang w:eastAsia="en-GB"/>
          <w14:ligatures w14:val="none"/>
        </w:rPr>
        <w:t>Programme:</w:t>
      </w:r>
      <w:r w:rsidR="00185D3B" w:rsidRPr="006166E9">
        <w:rPr>
          <w:rFonts w:ascii="Ariel" w:eastAsia="Times New Roman" w:hAnsi="Ariel" w:cs="Times New Roman"/>
          <w:b/>
          <w:bCs/>
          <w:kern w:val="0"/>
          <w:sz w:val="40"/>
          <w:szCs w:val="40"/>
          <w:lang w:eastAsia="en-GB"/>
          <w14:ligatures w14:val="none"/>
        </w:rPr>
        <w:t xml:space="preserve"> </w:t>
      </w:r>
      <w:r w:rsidRPr="006166E9">
        <w:rPr>
          <w:rFonts w:ascii="Ariel" w:eastAsia="Times New Roman" w:hAnsi="Ariel" w:cs="Times New Roman"/>
          <w:b/>
          <w:bCs/>
          <w:kern w:val="0"/>
          <w:sz w:val="40"/>
          <w:szCs w:val="40"/>
          <w:lang w:eastAsia="en-GB"/>
          <w14:ligatures w14:val="none"/>
        </w:rPr>
        <w:t xml:space="preserve">BSc (Hons) Health and Social Care </w:t>
      </w:r>
    </w:p>
    <w:p w14:paraId="41510C27" w14:textId="448387F6" w:rsidR="0009636C" w:rsidRPr="006166E9" w:rsidRDefault="0009636C" w:rsidP="0009636C">
      <w:pPr>
        <w:spacing w:before="100" w:beforeAutospacing="1" w:after="100" w:afterAutospacing="1" w:line="360" w:lineRule="auto"/>
        <w:outlineLvl w:val="2"/>
        <w:rPr>
          <w:rFonts w:ascii="Ariel" w:eastAsia="Times New Roman" w:hAnsi="Ariel" w:cs="Times New Roman"/>
          <w:b/>
          <w:bCs/>
          <w:kern w:val="0"/>
          <w:sz w:val="40"/>
          <w:szCs w:val="40"/>
          <w:lang w:eastAsia="en-GB"/>
          <w14:ligatures w14:val="none"/>
        </w:rPr>
      </w:pPr>
      <w:r w:rsidRPr="006166E9">
        <w:rPr>
          <w:rFonts w:ascii="Ariel" w:eastAsia="Times New Roman" w:hAnsi="Ariel" w:cs="Times New Roman"/>
          <w:b/>
          <w:bCs/>
          <w:kern w:val="0"/>
          <w:sz w:val="40"/>
          <w:szCs w:val="40"/>
          <w:lang w:eastAsia="en-GB"/>
          <w14:ligatures w14:val="none"/>
        </w:rPr>
        <w:t>Module:</w:t>
      </w:r>
      <w:r w:rsidR="00C573AA" w:rsidRPr="006166E9">
        <w:rPr>
          <w:rFonts w:ascii="Ariel" w:eastAsia="Times New Roman" w:hAnsi="Ariel" w:cs="Times New Roman"/>
          <w:b/>
          <w:bCs/>
          <w:kern w:val="0"/>
          <w:sz w:val="40"/>
          <w:szCs w:val="40"/>
          <w:lang w:eastAsia="en-GB"/>
          <w14:ligatures w14:val="none"/>
        </w:rPr>
        <w:t xml:space="preserve"> Indepe</w:t>
      </w:r>
      <w:r w:rsidR="00185D3B" w:rsidRPr="006166E9">
        <w:rPr>
          <w:rFonts w:ascii="Ariel" w:eastAsia="Times New Roman" w:hAnsi="Ariel" w:cs="Times New Roman"/>
          <w:b/>
          <w:bCs/>
          <w:kern w:val="0"/>
          <w:sz w:val="40"/>
          <w:szCs w:val="40"/>
          <w:lang w:eastAsia="en-GB"/>
          <w14:ligatures w14:val="none"/>
        </w:rPr>
        <w:t>ndent Project</w:t>
      </w:r>
    </w:p>
    <w:p w14:paraId="6AC7C6E9" w14:textId="2152EA81" w:rsidR="00185D3B" w:rsidRPr="006166E9" w:rsidRDefault="00185D3B" w:rsidP="0009636C">
      <w:pPr>
        <w:spacing w:before="100" w:beforeAutospacing="1" w:after="100" w:afterAutospacing="1" w:line="360" w:lineRule="auto"/>
        <w:outlineLvl w:val="2"/>
        <w:rPr>
          <w:rFonts w:ascii="Ariel" w:eastAsia="Times New Roman" w:hAnsi="Ariel" w:cs="Times New Roman"/>
          <w:b/>
          <w:bCs/>
          <w:kern w:val="0"/>
          <w:sz w:val="40"/>
          <w:szCs w:val="40"/>
          <w:lang w:eastAsia="en-GB"/>
          <w14:ligatures w14:val="none"/>
        </w:rPr>
      </w:pPr>
      <w:r w:rsidRPr="006166E9">
        <w:rPr>
          <w:rFonts w:ascii="Ariel" w:eastAsia="Times New Roman" w:hAnsi="Ariel" w:cs="Times New Roman"/>
          <w:b/>
          <w:bCs/>
          <w:kern w:val="0"/>
          <w:sz w:val="40"/>
          <w:szCs w:val="40"/>
          <w:lang w:eastAsia="en-GB"/>
          <w14:ligatures w14:val="none"/>
        </w:rPr>
        <w:t xml:space="preserve">Module </w:t>
      </w:r>
      <w:r w:rsidR="000F27C2" w:rsidRPr="006166E9">
        <w:rPr>
          <w:rFonts w:ascii="Ariel" w:eastAsia="Times New Roman" w:hAnsi="Ariel" w:cs="Times New Roman"/>
          <w:b/>
          <w:bCs/>
          <w:kern w:val="0"/>
          <w:sz w:val="40"/>
          <w:szCs w:val="40"/>
          <w:lang w:eastAsia="en-GB"/>
          <w14:ligatures w14:val="none"/>
        </w:rPr>
        <w:t>Code: BMHP6020</w:t>
      </w:r>
    </w:p>
    <w:p w14:paraId="583EE599" w14:textId="73E9A379" w:rsidR="00CB1328" w:rsidRPr="006166E9" w:rsidRDefault="00CB1328" w:rsidP="00CB1328">
      <w:pPr>
        <w:spacing w:before="120" w:after="120"/>
        <w:rPr>
          <w:rFonts w:ascii="Arial" w:hAnsi="Arial" w:cs="Arial"/>
          <w:b/>
          <w:sz w:val="40"/>
          <w:szCs w:val="40"/>
        </w:rPr>
      </w:pPr>
      <w:r w:rsidRPr="006166E9">
        <w:rPr>
          <w:rFonts w:ascii="Arial" w:hAnsi="Arial" w:cs="Arial"/>
          <w:b/>
          <w:sz w:val="40"/>
          <w:szCs w:val="40"/>
        </w:rPr>
        <w:t>Assignment Title:</w:t>
      </w:r>
      <w:r w:rsidR="006067C3" w:rsidRPr="006166E9">
        <w:rPr>
          <w:rFonts w:ascii="Arial" w:hAnsi="Arial" w:cs="Arial"/>
          <w:b/>
          <w:sz w:val="40"/>
          <w:szCs w:val="40"/>
        </w:rPr>
        <w:t xml:space="preserve"> </w:t>
      </w:r>
      <w:r w:rsidR="00C573AA" w:rsidRPr="006166E9">
        <w:rPr>
          <w:rFonts w:ascii="Arial" w:hAnsi="Arial" w:cs="Arial"/>
          <w:b/>
          <w:sz w:val="40"/>
          <w:szCs w:val="40"/>
        </w:rPr>
        <w:t>D</w:t>
      </w:r>
      <w:r w:rsidR="006067C3" w:rsidRPr="006166E9">
        <w:rPr>
          <w:rFonts w:ascii="Arial" w:hAnsi="Arial" w:cs="Arial"/>
          <w:b/>
          <w:sz w:val="40"/>
          <w:szCs w:val="40"/>
        </w:rPr>
        <w:t xml:space="preserve">issertation chapter1 </w:t>
      </w:r>
      <w:r w:rsidR="00C573AA" w:rsidRPr="006166E9">
        <w:rPr>
          <w:rFonts w:ascii="Arial" w:hAnsi="Arial" w:cs="Arial"/>
          <w:b/>
          <w:sz w:val="40"/>
          <w:szCs w:val="40"/>
        </w:rPr>
        <w:t xml:space="preserve">&amp; </w:t>
      </w:r>
      <w:r w:rsidR="006067C3" w:rsidRPr="006166E9">
        <w:rPr>
          <w:rFonts w:ascii="Arial" w:hAnsi="Arial" w:cs="Arial"/>
          <w:b/>
          <w:sz w:val="40"/>
          <w:szCs w:val="40"/>
        </w:rPr>
        <w:t>2</w:t>
      </w:r>
    </w:p>
    <w:p w14:paraId="6AA68071" w14:textId="72345C10" w:rsidR="00CB1328" w:rsidRPr="006166E9" w:rsidRDefault="00352D05" w:rsidP="0009636C">
      <w:pPr>
        <w:spacing w:before="100" w:beforeAutospacing="1" w:after="100" w:afterAutospacing="1" w:line="360" w:lineRule="auto"/>
        <w:outlineLvl w:val="2"/>
        <w:rPr>
          <w:rFonts w:ascii="Ariel" w:eastAsia="Times New Roman" w:hAnsi="Ariel" w:cs="Times New Roman"/>
          <w:b/>
          <w:bCs/>
          <w:kern w:val="0"/>
          <w:sz w:val="40"/>
          <w:szCs w:val="40"/>
          <w:lang w:eastAsia="en-GB"/>
          <w14:ligatures w14:val="none"/>
        </w:rPr>
      </w:pPr>
      <w:r w:rsidRPr="006166E9">
        <w:rPr>
          <w:rFonts w:ascii="Ariel" w:eastAsia="Times New Roman" w:hAnsi="Ariel" w:cs="Times New Roman"/>
          <w:b/>
          <w:bCs/>
          <w:kern w:val="0"/>
          <w:sz w:val="40"/>
          <w:szCs w:val="40"/>
          <w:lang w:eastAsia="en-GB"/>
          <w14:ligatures w14:val="none"/>
        </w:rPr>
        <w:t>Lecturer</w:t>
      </w:r>
      <w:r w:rsidR="00C573AA" w:rsidRPr="006166E9">
        <w:rPr>
          <w:rFonts w:ascii="Ariel" w:eastAsia="Times New Roman" w:hAnsi="Ariel" w:cs="Times New Roman"/>
          <w:b/>
          <w:bCs/>
          <w:kern w:val="0"/>
          <w:sz w:val="40"/>
          <w:szCs w:val="40"/>
          <w:lang w:eastAsia="en-GB"/>
          <w14:ligatures w14:val="none"/>
        </w:rPr>
        <w:t>: Chloe</w:t>
      </w:r>
      <w:r w:rsidR="00AC4277" w:rsidRPr="006166E9">
        <w:rPr>
          <w:rFonts w:ascii="Ariel" w:eastAsia="Times New Roman" w:hAnsi="Ariel" w:cs="Times New Roman"/>
          <w:b/>
          <w:bCs/>
          <w:kern w:val="0"/>
          <w:sz w:val="40"/>
          <w:szCs w:val="40"/>
          <w:lang w:eastAsia="en-GB"/>
          <w14:ligatures w14:val="none"/>
        </w:rPr>
        <w:t xml:space="preserve"> </w:t>
      </w:r>
      <w:r w:rsidR="00794F2A" w:rsidRPr="006166E9">
        <w:rPr>
          <w:rFonts w:ascii="Ariel" w:eastAsia="Times New Roman" w:hAnsi="Ariel" w:cs="Times New Roman"/>
          <w:b/>
          <w:bCs/>
          <w:kern w:val="0"/>
          <w:sz w:val="40"/>
          <w:szCs w:val="40"/>
          <w:lang w:eastAsia="en-GB"/>
          <w14:ligatures w14:val="none"/>
        </w:rPr>
        <w:t>Harris</w:t>
      </w:r>
    </w:p>
    <w:p w14:paraId="04BA1063"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0E91B345"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6C3E1687"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20A6061F"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3376E503"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7247CA2C"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4B4A4949"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6899DB15" w14:textId="77777777" w:rsidR="00E754F7" w:rsidRDefault="00E754F7"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08B46E74" w14:textId="77777777" w:rsidR="006166E9" w:rsidRDefault="006166E9"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p>
    <w:p w14:paraId="41EC4338" w14:textId="374261F3" w:rsidR="00201DDB" w:rsidRPr="00E754F7" w:rsidRDefault="00201DDB"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lastRenderedPageBreak/>
        <w:t>Chapter one</w:t>
      </w:r>
    </w:p>
    <w:p w14:paraId="561A7BD0" w14:textId="4098D33B" w:rsidR="00201DDB" w:rsidRPr="00E754F7" w:rsidRDefault="00201DDB"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 xml:space="preserve">Introduction </w:t>
      </w:r>
    </w:p>
    <w:p w14:paraId="510CB8AC"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This study aims to explore the complex relationship between alcohol use, socioeconomic disadvantage, and early-onset dementia (Kovačić Petrović et al., 2025). Its goal is to produce insights that can guide prevention efforts, enhance service provision, and reduce health disparities (Zahr, 2024). The rising prevalence of dementia represents a major global public health concern. Although most cases occur among older adults, YOD—defined as dementia diagnosed before the age of 65—is gaining recognition as a complex and growing problem (Kivimäki et al., 2020). In contrast to late-onset dementia, YOD typically impacts individuals during their most productive social and economic years, disrupting employment, family dynamics, and overall quality of life (Ridley et al., 2013). Consequently, YOD emerges not only as a medical condition but also as a significant social and economic challenge (Sabia et al., 2018; Topiwala et al., 2025a).</w:t>
      </w:r>
    </w:p>
    <w:p w14:paraId="70157DB7"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Research has highlighted alcohol use and socioeconomic disadvantage as key risk factors contributing to the development and progression of YOD (Rehm et al., 2019). Persistent alcohol consumption can cause neurotoxic effects, nutritional deficiencies, and conditions such as alcohol-related brain damage, thereby substantially elevating dementia risk (Xu et al., 2017). Socioeconomic adversity is linked to reduced access to healthcare, lower educational achievement, and lifestyle-related challenges, all of which can heighten vulnerability to dementia. The intersection of these factors represents a crucial area for investigation, carrying important implications for both health and social care policy (Hendriks et al., 2023)</w:t>
      </w:r>
    </w:p>
    <w:p w14:paraId="0384D084" w14:textId="77777777" w:rsidR="00201DDB" w:rsidRPr="00E754F7" w:rsidRDefault="00201DDB" w:rsidP="00E754F7">
      <w:pPr>
        <w:spacing w:before="100" w:beforeAutospacing="1" w:after="100" w:afterAutospacing="1" w:line="360" w:lineRule="auto"/>
        <w:outlineLvl w:val="2"/>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 xml:space="preserve">Definitions and Terminology </w:t>
      </w:r>
    </w:p>
    <w:p w14:paraId="19401552"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To achieve conceptual clarity, it is essential to delineate the key concepts underpinning this dissertation.</w:t>
      </w:r>
    </w:p>
    <w:p w14:paraId="4A7EBB90"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Dementia:</w:t>
      </w:r>
      <w:r w:rsidRPr="00E754F7">
        <w:rPr>
          <w:rFonts w:ascii="Ariel" w:eastAsia="Times New Roman" w:hAnsi="Ariel" w:cs="Times New Roman"/>
          <w:kern w:val="0"/>
          <w:sz w:val="22"/>
          <w:szCs w:val="22"/>
          <w:lang w:eastAsia="en-GB"/>
          <w14:ligatures w14:val="none"/>
        </w:rPr>
        <w:t xml:space="preserve"> Refers to a group of neurological disorders characterized by cognitive decline, memory impairment, and difficulties in reasoning, communication, and daily functioning (Anstey et al., 2009; </w:t>
      </w:r>
      <w:proofErr w:type="spellStart"/>
      <w:r w:rsidRPr="00E754F7">
        <w:rPr>
          <w:rFonts w:ascii="Ariel" w:eastAsia="Times New Roman" w:hAnsi="Ariel" w:cs="Times New Roman"/>
          <w:kern w:val="0"/>
          <w:sz w:val="22"/>
          <w:szCs w:val="22"/>
          <w:lang w:eastAsia="en-GB"/>
          <w14:ligatures w14:val="none"/>
        </w:rPr>
        <w:t>Schelleman</w:t>
      </w:r>
      <w:proofErr w:type="spellEnd"/>
      <w:r w:rsidRPr="00E754F7">
        <w:rPr>
          <w:rFonts w:ascii="Ariel" w:eastAsia="Times New Roman" w:hAnsi="Ariel" w:cs="Times New Roman"/>
          <w:kern w:val="0"/>
          <w:sz w:val="22"/>
          <w:szCs w:val="22"/>
          <w:lang w:eastAsia="en-GB"/>
          <w14:ligatures w14:val="none"/>
        </w:rPr>
        <w:t>-Offermans et al., 2025).</w:t>
      </w:r>
    </w:p>
    <w:p w14:paraId="7AEE55CE"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Young-Onset Dementia (YOD):</w:t>
      </w:r>
      <w:r w:rsidRPr="00E754F7">
        <w:rPr>
          <w:rFonts w:ascii="Ariel" w:eastAsia="Times New Roman" w:hAnsi="Ariel" w:cs="Times New Roman"/>
          <w:kern w:val="0"/>
          <w:sz w:val="22"/>
          <w:szCs w:val="22"/>
          <w:lang w:eastAsia="en-GB"/>
          <w14:ligatures w14:val="none"/>
        </w:rPr>
        <w:t xml:space="preserve"> Dementia diagnosed before the age of 65. This subgroup often faces unique challenges, including misdiagnosis, increased social and financial pressures, and reduced access to age-appropriate support options (</w:t>
      </w:r>
      <w:proofErr w:type="spellStart"/>
      <w:r w:rsidRPr="00E754F7">
        <w:rPr>
          <w:rFonts w:ascii="Ariel" w:eastAsia="Times New Roman" w:hAnsi="Ariel" w:cs="Times New Roman"/>
          <w:kern w:val="0"/>
          <w:sz w:val="22"/>
          <w:szCs w:val="22"/>
          <w:lang w:eastAsia="en-GB"/>
          <w14:ligatures w14:val="none"/>
        </w:rPr>
        <w:t>Mukamal</w:t>
      </w:r>
      <w:proofErr w:type="spellEnd"/>
      <w:r w:rsidRPr="00E754F7">
        <w:rPr>
          <w:rFonts w:ascii="Ariel" w:eastAsia="Times New Roman" w:hAnsi="Ariel" w:cs="Times New Roman"/>
          <w:kern w:val="0"/>
          <w:sz w:val="22"/>
          <w:szCs w:val="22"/>
          <w:lang w:eastAsia="en-GB"/>
          <w14:ligatures w14:val="none"/>
        </w:rPr>
        <w:t xml:space="preserve"> et al., 2003</w:t>
      </w:r>
      <w:r w:rsidRPr="00E754F7">
        <w:rPr>
          <w:rFonts w:ascii="Ariel" w:hAnsi="Ariel"/>
          <w:sz w:val="22"/>
          <w:szCs w:val="22"/>
        </w:rPr>
        <w:t xml:space="preserve">; </w:t>
      </w:r>
      <w:r w:rsidRPr="00E754F7">
        <w:rPr>
          <w:rFonts w:ascii="Ariel" w:eastAsia="Times New Roman" w:hAnsi="Ariel" w:cs="Times New Roman"/>
          <w:kern w:val="0"/>
          <w:sz w:val="22"/>
          <w:szCs w:val="22"/>
          <w:lang w:eastAsia="en-GB"/>
          <w14:ligatures w14:val="none"/>
        </w:rPr>
        <w:t xml:space="preserve">Petrović, Peraica  and </w:t>
      </w:r>
      <w:proofErr w:type="spellStart"/>
      <w:r w:rsidRPr="00E754F7">
        <w:rPr>
          <w:rFonts w:ascii="Ariel" w:eastAsia="Times New Roman" w:hAnsi="Ariel" w:cs="Times New Roman"/>
          <w:kern w:val="0"/>
          <w:sz w:val="22"/>
          <w:szCs w:val="22"/>
          <w:lang w:eastAsia="en-GB"/>
          <w14:ligatures w14:val="none"/>
        </w:rPr>
        <w:t>Kozarić</w:t>
      </w:r>
      <w:proofErr w:type="spellEnd"/>
      <w:r w:rsidRPr="00E754F7">
        <w:rPr>
          <w:rFonts w:ascii="Ariel" w:eastAsia="Times New Roman" w:hAnsi="Ariel" w:cs="Times New Roman"/>
          <w:kern w:val="0"/>
          <w:sz w:val="22"/>
          <w:szCs w:val="22"/>
          <w:lang w:eastAsia="en-GB"/>
          <w14:ligatures w14:val="none"/>
        </w:rPr>
        <w:t>-Kovačić, 2025).</w:t>
      </w:r>
    </w:p>
    <w:p w14:paraId="245EBF84"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lastRenderedPageBreak/>
        <w:t>Alcohol Abuse:</w:t>
      </w:r>
      <w:r w:rsidRPr="00E754F7">
        <w:rPr>
          <w:rFonts w:ascii="Ariel" w:eastAsia="Times New Roman" w:hAnsi="Ariel" w:cs="Times New Roman"/>
          <w:kern w:val="0"/>
          <w:sz w:val="22"/>
          <w:szCs w:val="22"/>
          <w:lang w:eastAsia="en-GB"/>
          <w14:ligatures w14:val="none"/>
        </w:rPr>
        <w:t xml:space="preserve"> Often described as alcohol misuse, this term refers to a pattern of drinking that negatively impacts a person’s health, relationships, or daily functioning. Long-term consumption can lead to Alcohol-Related Brain Damage (ARBD), Wernicke–Korsakoff syndrome, and various cognitive impairments (Kim, et al. 2019; Topiwala et al., 2025b).</w:t>
      </w:r>
    </w:p>
    <w:p w14:paraId="61E5F235"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Socioeconomic Deprivation:</w:t>
      </w:r>
      <w:r w:rsidRPr="00E754F7">
        <w:rPr>
          <w:rFonts w:ascii="Ariel" w:eastAsia="Times New Roman" w:hAnsi="Ariel" w:cs="Times New Roman"/>
          <w:kern w:val="0"/>
          <w:sz w:val="22"/>
          <w:szCs w:val="22"/>
          <w:lang w:eastAsia="en-GB"/>
          <w14:ligatures w14:val="none"/>
        </w:rPr>
        <w:t xml:space="preserve"> Covers aspects of disadvantage such as poverty, unemployment, low educational attainment, and restricted access to healthcare. Such deprivation worsens health inequities and heightens the risk of both physical and mental health issues (Topiwala et al., 2025c).</w:t>
      </w:r>
    </w:p>
    <w:p w14:paraId="4D89D17E"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Health and Social Care:</w:t>
      </w:r>
      <w:r w:rsidRPr="00E754F7">
        <w:rPr>
          <w:rFonts w:ascii="Ariel" w:eastAsia="Times New Roman" w:hAnsi="Ariel" w:cs="Times New Roman"/>
          <w:kern w:val="0"/>
          <w:sz w:val="22"/>
          <w:szCs w:val="22"/>
          <w:lang w:eastAsia="en-GB"/>
          <w14:ligatures w14:val="none"/>
        </w:rPr>
        <w:t xml:space="preserve"> Relates to the combined support offered by medical professionals, social workers, and community services to meet individuals’ healthcare and social needs (Hendriks et al., 2023).</w:t>
      </w:r>
    </w:p>
    <w:p w14:paraId="3B369A60" w14:textId="77777777" w:rsidR="00201DDB" w:rsidRPr="00E754F7" w:rsidRDefault="00201DDB" w:rsidP="00E754F7">
      <w:pPr>
        <w:spacing w:before="100" w:beforeAutospacing="1" w:after="100" w:afterAutospacing="1" w:line="360" w:lineRule="auto"/>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Acronyms and Abbreviations</w:t>
      </w:r>
    </w:p>
    <w:p w14:paraId="38CD3948"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YOD –</w:t>
      </w:r>
      <w:r w:rsidRPr="00E754F7">
        <w:rPr>
          <w:rFonts w:ascii="Ariel" w:eastAsia="Times New Roman" w:hAnsi="Ariel" w:cs="Times New Roman"/>
          <w:kern w:val="0"/>
          <w:sz w:val="22"/>
          <w:szCs w:val="22"/>
          <w:lang w:eastAsia="en-GB"/>
          <w14:ligatures w14:val="none"/>
        </w:rPr>
        <w:t xml:space="preserve"> Young Onset Dementia</w:t>
      </w:r>
    </w:p>
    <w:p w14:paraId="341B41EB"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ARBD –</w:t>
      </w:r>
      <w:r w:rsidRPr="00E754F7">
        <w:rPr>
          <w:rFonts w:ascii="Ariel" w:eastAsia="Times New Roman" w:hAnsi="Ariel" w:cs="Times New Roman"/>
          <w:kern w:val="0"/>
          <w:sz w:val="22"/>
          <w:szCs w:val="22"/>
          <w:lang w:eastAsia="en-GB"/>
          <w14:ligatures w14:val="none"/>
        </w:rPr>
        <w:t xml:space="preserve"> Alcohol-Related Brain Damage</w:t>
      </w:r>
    </w:p>
    <w:p w14:paraId="14BCA825"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NHS –</w:t>
      </w:r>
      <w:r w:rsidRPr="00E754F7">
        <w:rPr>
          <w:rFonts w:ascii="Ariel" w:eastAsia="Times New Roman" w:hAnsi="Ariel" w:cs="Times New Roman"/>
          <w:kern w:val="0"/>
          <w:sz w:val="22"/>
          <w:szCs w:val="22"/>
          <w:lang w:eastAsia="en-GB"/>
          <w14:ligatures w14:val="none"/>
        </w:rPr>
        <w:t xml:space="preserve"> National Health Service</w:t>
      </w:r>
    </w:p>
    <w:p w14:paraId="248B49C4"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WHO –</w:t>
      </w:r>
      <w:r w:rsidRPr="00E754F7">
        <w:rPr>
          <w:rFonts w:ascii="Ariel" w:eastAsia="Times New Roman" w:hAnsi="Ariel" w:cs="Times New Roman"/>
          <w:kern w:val="0"/>
          <w:sz w:val="22"/>
          <w:szCs w:val="22"/>
          <w:lang w:eastAsia="en-GB"/>
          <w14:ligatures w14:val="none"/>
        </w:rPr>
        <w:t xml:space="preserve"> World Health Organization</w:t>
      </w:r>
    </w:p>
    <w:p w14:paraId="0E99B222"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lang w:eastAsia="en-GB"/>
          <w14:ligatures w14:val="none"/>
        </w:rPr>
        <w:t>SES –</w:t>
      </w:r>
      <w:r w:rsidRPr="00E754F7">
        <w:rPr>
          <w:rFonts w:ascii="Ariel" w:eastAsia="Times New Roman" w:hAnsi="Ariel" w:cs="Times New Roman"/>
          <w:kern w:val="0"/>
          <w:sz w:val="22"/>
          <w:szCs w:val="22"/>
          <w:lang w:eastAsia="en-GB"/>
          <w14:ligatures w14:val="none"/>
        </w:rPr>
        <w:t xml:space="preserve"> Socioeconomic Status</w:t>
      </w:r>
    </w:p>
    <w:p w14:paraId="3953723B"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Defining these key terms promotes clarity and coherence across the dissertation, ensuring that readers with varied levels of prior knowledge can fully understand the engage with the topic.</w:t>
      </w:r>
    </w:p>
    <w:p w14:paraId="51521DE5" w14:textId="77777777" w:rsidR="00201DDB" w:rsidRPr="00E754F7" w:rsidRDefault="00201DDB" w:rsidP="00E754F7">
      <w:pPr>
        <w:spacing w:before="100" w:beforeAutospacing="1" w:after="100" w:afterAutospacing="1" w:line="360" w:lineRule="auto"/>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 xml:space="preserve">Purpose of the Research </w:t>
      </w:r>
    </w:p>
    <w:p w14:paraId="5651B993"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This study is motivated by the convergence of three major public health and social concerns: alcohol misuse, socioeconomic disadvantage, and early-onset dementia</w:t>
      </w:r>
      <w:r w:rsidRPr="00E754F7">
        <w:rPr>
          <w:rFonts w:ascii="Ariel" w:hAnsi="Ariel"/>
          <w:sz w:val="22"/>
          <w:szCs w:val="22"/>
        </w:rPr>
        <w:t xml:space="preserve"> (</w:t>
      </w:r>
      <w:r w:rsidRPr="00E754F7">
        <w:rPr>
          <w:rFonts w:ascii="Ariel" w:eastAsia="Times New Roman" w:hAnsi="Ariel" w:cs="Times New Roman"/>
          <w:kern w:val="0"/>
          <w:sz w:val="22"/>
          <w:szCs w:val="22"/>
          <w:lang w:eastAsia="en-GB"/>
          <w14:ligatures w14:val="none"/>
        </w:rPr>
        <w:t xml:space="preserve">Livingston et al., 2020). While each of these areas has been examined individually, there remains a significant gap in research exploring how they interact to heighten vulnerability among younger adults. Alcohol consumption rates within socioeconomically disadvantaged groups are well documented, with systemic inequalities contributing to harmful drinking patterns (Evans, 2025). Evidence suggests that individuals from lower socioeconomic backgrounds face an increased risk of early-onset dementia, partly due to lifestyle factors, chronic stress, and barriers to healthcare </w:t>
      </w:r>
      <w:r w:rsidRPr="00E754F7">
        <w:rPr>
          <w:rFonts w:ascii="Ariel" w:eastAsia="Times New Roman" w:hAnsi="Ariel" w:cs="Times New Roman"/>
          <w:kern w:val="0"/>
          <w:sz w:val="22"/>
          <w:szCs w:val="22"/>
          <w:lang w:eastAsia="en-GB"/>
          <w14:ligatures w14:val="none"/>
        </w:rPr>
        <w:lastRenderedPageBreak/>
        <w:t>access (Zhao, Yin and Xu, 2024). Despite this, limited research specifically assesses how alcohol use and deprivation combine to influence the development of young-onset dementia (Shield et al., 2025).</w:t>
      </w:r>
    </w:p>
    <w:p w14:paraId="18491F03"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The real-world consequences of young-onset dementia extend far beyond the individual, affecting families, workplaces, and broader health and social care systems (</w:t>
      </w:r>
      <w:proofErr w:type="spellStart"/>
      <w:r w:rsidRPr="00E754F7">
        <w:rPr>
          <w:rFonts w:ascii="Ariel" w:eastAsia="Times New Roman" w:hAnsi="Ariel" w:cs="Times New Roman"/>
          <w:kern w:val="0"/>
          <w:sz w:val="22"/>
          <w:szCs w:val="22"/>
          <w:lang w:eastAsia="en-GB"/>
          <w14:ligatures w14:val="none"/>
        </w:rPr>
        <w:t>Omote</w:t>
      </w:r>
      <w:proofErr w:type="spellEnd"/>
      <w:r w:rsidRPr="00E754F7">
        <w:rPr>
          <w:rFonts w:ascii="Ariel" w:eastAsia="Times New Roman" w:hAnsi="Ariel" w:cs="Times New Roman"/>
          <w:kern w:val="0"/>
          <w:sz w:val="22"/>
          <w:szCs w:val="22"/>
          <w:lang w:eastAsia="en-GB"/>
          <w14:ligatures w14:val="none"/>
        </w:rPr>
        <w:t xml:space="preserve"> et al., 2023). Many diagnosed individuals experience employment disruptions, financial instability, and increased reliance on support services (Liu et al., 2019). This underscores the urgent need for a deeper understanding of overlapping risk factors to inform prevention strategies, targeted interventions, and policies aimed at reducing long-term health inequalities (Chowdhary et al., 2022). This research aligns with ongoing discussions about unequal health outcomes, particularly in the context of widening economic gaps and rising alcohol use during financial hardship (Pickett, </w:t>
      </w:r>
      <w:proofErr w:type="spellStart"/>
      <w:r w:rsidRPr="00E754F7">
        <w:rPr>
          <w:rFonts w:ascii="Ariel" w:eastAsia="Times New Roman" w:hAnsi="Ariel" w:cs="Times New Roman"/>
          <w:kern w:val="0"/>
          <w:sz w:val="22"/>
          <w:szCs w:val="22"/>
          <w:lang w:eastAsia="en-GB"/>
          <w14:ligatures w14:val="none"/>
        </w:rPr>
        <w:t>Gauhar</w:t>
      </w:r>
      <w:proofErr w:type="spellEnd"/>
      <w:r w:rsidRPr="00E754F7">
        <w:rPr>
          <w:rFonts w:ascii="Ariel" w:eastAsia="Times New Roman" w:hAnsi="Ariel" w:cs="Times New Roman"/>
          <w:kern w:val="0"/>
          <w:sz w:val="22"/>
          <w:szCs w:val="22"/>
          <w:lang w:eastAsia="en-GB"/>
          <w14:ligatures w14:val="none"/>
        </w:rPr>
        <w:t xml:space="preserve"> and Wilkinson, 2024). Addressing these limitations will strengthen scholarly understanding and provide evidence-based guidance for improving early support, enhancing service provision, and achieving better long-term outcomes (Giebel et al., 2024).</w:t>
      </w:r>
    </w:p>
    <w:p w14:paraId="48376B10" w14:textId="77777777" w:rsidR="00201DDB" w:rsidRPr="00E754F7" w:rsidRDefault="00201DDB" w:rsidP="00E754F7">
      <w:pPr>
        <w:spacing w:before="100" w:beforeAutospacing="1" w:after="100" w:afterAutospacing="1" w:line="360" w:lineRule="auto"/>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Aim</w:t>
      </w:r>
    </w:p>
    <w:p w14:paraId="11132EC4" w14:textId="77777777" w:rsidR="00201DDB" w:rsidRPr="00E754F7" w:rsidRDefault="00201DDB" w:rsidP="00E754F7">
      <w:pPr>
        <w:spacing w:before="100" w:beforeAutospacing="1" w:after="100" w:afterAutospacing="1" w:line="360" w:lineRule="auto"/>
        <w:rPr>
          <w:rFonts w:ascii="Ariel" w:eastAsia="Times New Roman" w:hAnsi="Ariel" w:cs="Times New Roman"/>
          <w:b/>
          <w:bCs/>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To examine the relationship between alcohol misuse, socioeconomic disadvantage, and early onset dementia, and to outline evidence-based implications for healthcare and social services.</w:t>
      </w:r>
    </w:p>
    <w:p w14:paraId="27F5C289" w14:textId="77777777" w:rsidR="00201DDB" w:rsidRPr="00E754F7" w:rsidRDefault="00201DDB" w:rsidP="00E754F7">
      <w:pPr>
        <w:spacing w:before="100" w:beforeAutospacing="1" w:after="100" w:afterAutospacing="1" w:line="360" w:lineRule="auto"/>
        <w:rPr>
          <w:rFonts w:ascii="Ariel" w:eastAsia="Times New Roman" w:hAnsi="Ariel" w:cs="Times New Roman"/>
          <w:b/>
          <w:bCs/>
          <w:kern w:val="0"/>
          <w:sz w:val="22"/>
          <w:szCs w:val="22"/>
          <w:u w:val="single"/>
          <w:lang w:eastAsia="en-GB"/>
          <w14:ligatures w14:val="none"/>
        </w:rPr>
      </w:pPr>
      <w:r w:rsidRPr="00E754F7">
        <w:rPr>
          <w:rFonts w:ascii="Ariel" w:eastAsia="Times New Roman" w:hAnsi="Ariel" w:cs="Times New Roman"/>
          <w:b/>
          <w:bCs/>
          <w:kern w:val="0"/>
          <w:sz w:val="22"/>
          <w:szCs w:val="22"/>
          <w:u w:val="single"/>
          <w:lang w:eastAsia="en-GB"/>
          <w14:ligatures w14:val="none"/>
        </w:rPr>
        <w:t>Objectives</w:t>
      </w:r>
    </w:p>
    <w:p w14:paraId="1A34D77D"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The research objectives are structured to systematically tackle the target and create a framework for analysis.</w:t>
      </w:r>
    </w:p>
    <w:p w14:paraId="783BA874"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1.</w:t>
      </w:r>
      <w:r w:rsidRPr="00E754F7">
        <w:rPr>
          <w:rFonts w:ascii="Ariel" w:eastAsia="Times New Roman" w:hAnsi="Ariel" w:cs="Times New Roman"/>
          <w:b/>
          <w:bCs/>
          <w:kern w:val="0"/>
          <w:sz w:val="22"/>
          <w:szCs w:val="22"/>
          <w:lang w:eastAsia="en-GB"/>
          <w14:ligatures w14:val="none"/>
        </w:rPr>
        <w:t>Define and examine</w:t>
      </w:r>
      <w:r w:rsidRPr="00E754F7">
        <w:rPr>
          <w:rFonts w:ascii="Ariel" w:eastAsia="Times New Roman" w:hAnsi="Ariel" w:cs="Times New Roman"/>
          <w:kern w:val="0"/>
          <w:sz w:val="22"/>
          <w:szCs w:val="22"/>
          <w:lang w:eastAsia="en-GB"/>
          <w14:ligatures w14:val="none"/>
        </w:rPr>
        <w:t xml:space="preserve"> the correlation between alcohol misuse and early-onset dementia, referencing peer-reviewed research (Zahr, 2024b).</w:t>
      </w:r>
    </w:p>
    <w:p w14:paraId="23BA6660"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2.</w:t>
      </w:r>
      <w:r w:rsidRPr="00E754F7">
        <w:rPr>
          <w:rFonts w:ascii="Ariel" w:eastAsia="Times New Roman" w:hAnsi="Ariel" w:cs="Times New Roman"/>
          <w:b/>
          <w:bCs/>
          <w:kern w:val="0"/>
          <w:sz w:val="22"/>
          <w:szCs w:val="22"/>
          <w:lang w:eastAsia="en-GB"/>
          <w14:ligatures w14:val="none"/>
        </w:rPr>
        <w:t xml:space="preserve">Analyse </w:t>
      </w:r>
      <w:r w:rsidRPr="00E754F7">
        <w:rPr>
          <w:rFonts w:ascii="Ariel" w:eastAsia="Times New Roman" w:hAnsi="Ariel" w:cs="Times New Roman"/>
          <w:kern w:val="0"/>
          <w:sz w:val="22"/>
          <w:szCs w:val="22"/>
          <w:lang w:eastAsia="en-GB"/>
          <w14:ligatures w14:val="none"/>
        </w:rPr>
        <w:t>the influence of socioeconomic deprivation on the risk factors, diagnosis, and treatment of alcohol-related dementia, including relevant policies and care legislation (Mayrhofer et al., 2020b).</w:t>
      </w:r>
    </w:p>
    <w:p w14:paraId="40F62AA5"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3.</w:t>
      </w:r>
      <w:r w:rsidRPr="00E754F7">
        <w:rPr>
          <w:rFonts w:ascii="Ariel" w:eastAsia="Times New Roman" w:hAnsi="Ariel" w:cs="Times New Roman"/>
          <w:b/>
          <w:bCs/>
          <w:kern w:val="0"/>
          <w:sz w:val="22"/>
          <w:szCs w:val="22"/>
          <w:lang w:eastAsia="en-GB"/>
          <w14:ligatures w14:val="none"/>
        </w:rPr>
        <w:t>Evaluate</w:t>
      </w:r>
      <w:r w:rsidRPr="00E754F7">
        <w:rPr>
          <w:rFonts w:ascii="Ariel" w:eastAsia="Times New Roman" w:hAnsi="Ariel" w:cs="Times New Roman"/>
          <w:kern w:val="0"/>
          <w:sz w:val="22"/>
          <w:szCs w:val="22"/>
          <w:lang w:eastAsia="en-GB"/>
          <w14:ligatures w14:val="none"/>
        </w:rPr>
        <w:t xml:space="preserve"> current health and social care policies targeting young onset dementia in underprivileged communities, highlighting their strengths and weaknesses (Care Quality Commission, 2023).</w:t>
      </w:r>
    </w:p>
    <w:p w14:paraId="3ECED781"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lastRenderedPageBreak/>
        <w:t>4.</w:t>
      </w:r>
      <w:r w:rsidRPr="00E754F7">
        <w:rPr>
          <w:rFonts w:ascii="Ariel" w:eastAsia="Times New Roman" w:hAnsi="Ariel" w:cs="Times New Roman"/>
          <w:b/>
          <w:bCs/>
          <w:kern w:val="0"/>
          <w:sz w:val="22"/>
          <w:szCs w:val="22"/>
          <w:lang w:eastAsia="en-GB"/>
          <w14:ligatures w14:val="none"/>
        </w:rPr>
        <w:t>Reccommendation</w:t>
      </w:r>
      <w:r w:rsidRPr="00E754F7">
        <w:rPr>
          <w:rFonts w:ascii="Ariel" w:eastAsia="Times New Roman" w:hAnsi="Ariel" w:cs="Times New Roman"/>
          <w:kern w:val="0"/>
          <w:sz w:val="22"/>
          <w:szCs w:val="22"/>
          <w:lang w:eastAsia="en-GB"/>
          <w14:ligatures w14:val="none"/>
        </w:rPr>
        <w:t xml:space="preserve"> suggestions for prevention, early intervention, and enhanced service delivery to mitigate disparities in dementia care and outcomes (Beard and Bloom, 2015).</w:t>
      </w:r>
    </w:p>
    <w:p w14:paraId="202E485B"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This dissertation seeks to cultivate a thorough comprehension of the interaction of biological, social, and systemic factors, while providing substantiated recommendations for policy and practice.</w:t>
      </w:r>
    </w:p>
    <w:p w14:paraId="2A9A9264"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b/>
          <w:bCs/>
          <w:kern w:val="0"/>
          <w:sz w:val="22"/>
          <w:szCs w:val="22"/>
          <w:u w:val="single"/>
          <w:lang w:eastAsia="en-GB"/>
          <w14:ligatures w14:val="none"/>
        </w:rPr>
        <w:t>Conclusion</w:t>
      </w:r>
    </w:p>
    <w:p w14:paraId="06EEDD2C"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This chapter introduced the research topic, highlighting the critical intersection between alcohol misuse, socioeconomic disadvantage, and early-onset dementia (Zahr, 2024c). It outlined the background and context, clarified key definitions and terminology, and presented the rationale for investigating this relationship (</w:t>
      </w:r>
      <w:proofErr w:type="spellStart"/>
      <w:r w:rsidRPr="00E754F7">
        <w:rPr>
          <w:rFonts w:ascii="Ariel" w:eastAsia="Times New Roman" w:hAnsi="Ariel" w:cs="Times New Roman"/>
          <w:kern w:val="0"/>
          <w:sz w:val="22"/>
          <w:szCs w:val="22"/>
          <w:lang w:eastAsia="en-GB"/>
          <w14:ligatures w14:val="none"/>
        </w:rPr>
        <w:t>Sakaniwa</w:t>
      </w:r>
      <w:proofErr w:type="spellEnd"/>
      <w:r w:rsidRPr="00E754F7">
        <w:rPr>
          <w:rFonts w:ascii="Ariel" w:eastAsia="Times New Roman" w:hAnsi="Ariel" w:cs="Times New Roman"/>
          <w:kern w:val="0"/>
          <w:sz w:val="22"/>
          <w:szCs w:val="22"/>
          <w:lang w:eastAsia="en-GB"/>
          <w14:ligatures w14:val="none"/>
        </w:rPr>
        <w:t xml:space="preserve"> et al., 2024). The chapter also articulated the overarching aim and specific objectives, which focus on understanding the correlation between alcohol misuse and EOD, analysing the role of socioeconomic deprivation, evaluating current health and social care policies, and proposing evidence-based recommendations for prevention and service improvement (Care Quality Commission, 2023).</w:t>
      </w:r>
    </w:p>
    <w:p w14:paraId="14A7A878"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The importance of this research lies in addressing gaps in policy and practice to reduce health inequalities and improve dementia care outcomes (Livingston et al. 2024).</w:t>
      </w:r>
    </w:p>
    <w:p w14:paraId="7EF6C201" w14:textId="77777777" w:rsidR="00201DDB" w:rsidRPr="00E754F7" w:rsidRDefault="00201DDB"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E754F7">
        <w:rPr>
          <w:rFonts w:ascii="Ariel" w:eastAsia="Times New Roman" w:hAnsi="Ariel" w:cs="Times New Roman"/>
          <w:kern w:val="0"/>
          <w:sz w:val="22"/>
          <w:szCs w:val="22"/>
          <w:lang w:eastAsia="en-GB"/>
          <w14:ligatures w14:val="none"/>
        </w:rPr>
        <w:t>The next chapter will provide a comprehensive background analysis, including historical developments, theoretical frameworks, and international and UK contexts, to establish a strong foundation for the methodology and subsequent discussion (Ridley et al., 2013).</w:t>
      </w:r>
    </w:p>
    <w:p w14:paraId="415F787F" w14:textId="77777777" w:rsidR="00201DDB" w:rsidRPr="00E754F7" w:rsidRDefault="00201DDB" w:rsidP="00E754F7">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095B3641" w14:textId="77777777" w:rsidR="00201DDB" w:rsidRPr="00E754F7" w:rsidRDefault="00201DDB" w:rsidP="00E754F7">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405078D7" w14:textId="77777777" w:rsidR="00201DDB" w:rsidRPr="00E754F7" w:rsidRDefault="00201DDB" w:rsidP="00E754F7">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1E5BB66A" w14:textId="0B3D0E0B" w:rsidR="00D30B36" w:rsidRPr="00D30B36" w:rsidRDefault="00D30B36" w:rsidP="00E754F7">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r w:rsidRPr="00D30B36">
        <w:rPr>
          <w:rFonts w:ascii="Ariel" w:eastAsia="Times New Roman" w:hAnsi="Ariel" w:cs="Times New Roman"/>
          <w:b/>
          <w:bCs/>
          <w:kern w:val="36"/>
          <w:sz w:val="22"/>
          <w:szCs w:val="22"/>
          <w:lang w:eastAsia="en-GB"/>
          <w14:ligatures w14:val="none"/>
        </w:rPr>
        <w:t xml:space="preserve">CHAPTER 2 – Background Information and Analysis </w:t>
      </w:r>
    </w:p>
    <w:p w14:paraId="1F397B9A" w14:textId="3A5E5167" w:rsidR="00E77188" w:rsidRPr="00E754F7"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2.1 Introduction </w:t>
      </w:r>
    </w:p>
    <w:p w14:paraId="38EFF3E6" w14:textId="2A8C3BF1" w:rsidR="00734979" w:rsidRPr="00E754F7" w:rsidRDefault="00E77188" w:rsidP="00E754F7">
      <w:pPr>
        <w:spacing w:before="100" w:beforeAutospacing="1" w:after="100" w:afterAutospacing="1" w:line="360" w:lineRule="auto"/>
        <w:outlineLvl w:val="1"/>
        <w:rPr>
          <w:rFonts w:ascii="Ariel" w:eastAsia="Times New Roman" w:hAnsi="Ariel" w:cs="Segoe UI"/>
          <w:kern w:val="0"/>
          <w:sz w:val="22"/>
          <w:szCs w:val="22"/>
          <w:lang w:eastAsia="en-GB"/>
          <w14:ligatures w14:val="none"/>
        </w:rPr>
      </w:pPr>
      <w:r w:rsidRPr="00E77188">
        <w:rPr>
          <w:rFonts w:ascii="Ariel" w:eastAsia="Times New Roman" w:hAnsi="Ariel" w:cs="Times New Roman"/>
          <w:kern w:val="0"/>
          <w:sz w:val="22"/>
          <w:szCs w:val="22"/>
          <w:lang w:eastAsia="en-GB"/>
          <w14:ligatures w14:val="none"/>
        </w:rPr>
        <w:t>This chapter's goal is to contextualize the current study, which looks at the connection between alcohol use, socioeconomic deprivation, and young-onset dementia (YOD), by offering crucial background information and critical analysis. This chapter sets the larger foundations supporting the study's reasoning by examining the historical history of research on alcohol-</w:t>
      </w:r>
      <w:r w:rsidRPr="00E77188">
        <w:rPr>
          <w:rFonts w:ascii="Ariel" w:eastAsia="Times New Roman" w:hAnsi="Ariel" w:cs="Times New Roman"/>
          <w:kern w:val="0"/>
          <w:sz w:val="22"/>
          <w:szCs w:val="22"/>
          <w:lang w:eastAsia="en-GB"/>
          <w14:ligatures w14:val="none"/>
        </w:rPr>
        <w:lastRenderedPageBreak/>
        <w:t xml:space="preserve">related cognitive decline, reviewing theoretical frameworks, and </w:t>
      </w:r>
      <w:r w:rsidR="00011717" w:rsidRPr="00E754F7">
        <w:rPr>
          <w:rFonts w:ascii="Ariel" w:eastAsia="Times New Roman" w:hAnsi="Ariel" w:cs="Times New Roman"/>
          <w:kern w:val="0"/>
          <w:sz w:val="22"/>
          <w:szCs w:val="22"/>
          <w:lang w:eastAsia="en-GB"/>
          <w14:ligatures w14:val="none"/>
        </w:rPr>
        <w:t>considering</w:t>
      </w:r>
      <w:r w:rsidRPr="00E77188">
        <w:rPr>
          <w:rFonts w:ascii="Ariel" w:eastAsia="Times New Roman" w:hAnsi="Ariel" w:cs="Times New Roman"/>
          <w:kern w:val="0"/>
          <w:sz w:val="22"/>
          <w:szCs w:val="22"/>
          <w:lang w:eastAsia="en-GB"/>
          <w14:ligatures w14:val="none"/>
        </w:rPr>
        <w:t xml:space="preserve"> </w:t>
      </w:r>
      <w:r w:rsidR="00011717" w:rsidRPr="00E754F7">
        <w:rPr>
          <w:rFonts w:ascii="Ariel" w:eastAsia="Times New Roman" w:hAnsi="Ariel" w:cs="Times New Roman"/>
          <w:kern w:val="0"/>
          <w:sz w:val="22"/>
          <w:szCs w:val="22"/>
          <w:lang w:eastAsia="en-GB"/>
          <w14:ligatures w14:val="none"/>
        </w:rPr>
        <w:t xml:space="preserve">, </w:t>
      </w:r>
      <w:r w:rsidRPr="00E77188">
        <w:rPr>
          <w:rFonts w:ascii="Ariel" w:eastAsia="Times New Roman" w:hAnsi="Ariel" w:cs="Times New Roman"/>
          <w:kern w:val="0"/>
          <w:sz w:val="22"/>
          <w:szCs w:val="22"/>
          <w:lang w:eastAsia="en-GB"/>
          <w14:ligatures w14:val="none"/>
        </w:rPr>
        <w:t xml:space="preserve">both international and UK-specific circumstances. Since recent research shows that YOD, defined as dementia diagnosed before age 65, is significantly influenced by modifiable social and lifestyle factors, it is crucial to understand how attitudes toward alcohol misuse, poverty, and dementia have changed over time (Livingston et al., 2020; </w:t>
      </w:r>
      <w:r w:rsidR="00CA2377" w:rsidRPr="00EC2781">
        <w:rPr>
          <w:rFonts w:ascii="Ariel" w:eastAsia="Times New Roman" w:hAnsi="Ariel" w:cs="Segoe UI"/>
          <w:kern w:val="0"/>
          <w:sz w:val="22"/>
          <w:szCs w:val="22"/>
          <w:lang w:eastAsia="en-GB"/>
          <w14:ligatures w14:val="none"/>
        </w:rPr>
        <w:t xml:space="preserve">Tan, </w:t>
      </w:r>
      <w:r w:rsidR="00734979" w:rsidRPr="00E754F7">
        <w:rPr>
          <w:rFonts w:ascii="Ariel" w:eastAsia="Times New Roman" w:hAnsi="Ariel" w:cs="Segoe UI"/>
          <w:kern w:val="0"/>
          <w:sz w:val="22"/>
          <w:szCs w:val="22"/>
          <w:lang w:eastAsia="en-GB"/>
          <w14:ligatures w14:val="none"/>
        </w:rPr>
        <w:t xml:space="preserve">et al., </w:t>
      </w:r>
      <w:r w:rsidR="00CA2377" w:rsidRPr="00EC2781">
        <w:rPr>
          <w:rFonts w:ascii="Ariel" w:eastAsia="Times New Roman" w:hAnsi="Ariel" w:cs="Segoe UI"/>
          <w:kern w:val="0"/>
          <w:sz w:val="22"/>
          <w:szCs w:val="22"/>
          <w:lang w:eastAsia="en-GB"/>
          <w14:ligatures w14:val="none"/>
        </w:rPr>
        <w:t>2024</w:t>
      </w:r>
      <w:r w:rsidR="00734979" w:rsidRPr="00E754F7">
        <w:rPr>
          <w:rFonts w:ascii="Ariel" w:eastAsia="Times New Roman" w:hAnsi="Ariel" w:cs="Segoe UI"/>
          <w:kern w:val="0"/>
          <w:sz w:val="22"/>
          <w:szCs w:val="22"/>
          <w:lang w:eastAsia="en-GB"/>
          <w14:ligatures w14:val="none"/>
        </w:rPr>
        <w:t>).</w:t>
      </w:r>
    </w:p>
    <w:p w14:paraId="0C76DF7E" w14:textId="56AFFFAA" w:rsidR="00E77188" w:rsidRPr="00E77188" w:rsidRDefault="00E77188"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E77188">
        <w:rPr>
          <w:rFonts w:ascii="Ariel" w:eastAsia="Times New Roman" w:hAnsi="Ariel" w:cs="Times New Roman"/>
          <w:kern w:val="0"/>
          <w:sz w:val="22"/>
          <w:szCs w:val="22"/>
          <w:lang w:eastAsia="en-GB"/>
          <w14:ligatures w14:val="none"/>
        </w:rPr>
        <w:t>Before delving into the theoretical ideas that underpin contemporary understandings, this chapter provides a historical review of alcohol-related brain injury and its relationship to dementia. Following a discussion of global policies and strategies, the national and local setting of the UK is examined. When taken as a whole, this history lends credence to the methodological approach described in Chapter 3.</w:t>
      </w:r>
    </w:p>
    <w:p w14:paraId="04233860" w14:textId="30F8C7FA" w:rsidR="00D30B36" w:rsidRPr="00D30B36"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2.2 Historical Background </w:t>
      </w:r>
    </w:p>
    <w:p w14:paraId="56365C5E"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Development of the Topic</w:t>
      </w:r>
    </w:p>
    <w:p w14:paraId="45DCBF67" w14:textId="0863592D"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 xml:space="preserve">The correlation between excessive alcohol intake and cognitive decline has been acknowledged for over a century. In the late 19th century, medical observations initially characterized "alcoholic insanity," emphasizing the detrimental neurological consequences of prolonged alcohol abuse (Ridley, Draper </w:t>
      </w:r>
      <w:r w:rsidRPr="00E754F7">
        <w:rPr>
          <w:rFonts w:ascii="Ariel" w:eastAsia="Times New Roman" w:hAnsi="Ariel" w:cs="Times New Roman"/>
          <w:kern w:val="0"/>
          <w:sz w:val="22"/>
          <w:szCs w:val="22"/>
          <w:lang w:eastAsia="en-GB"/>
          <w14:ligatures w14:val="none"/>
        </w:rPr>
        <w:t>and</w:t>
      </w:r>
      <w:r w:rsidRPr="00E77188">
        <w:rPr>
          <w:rFonts w:ascii="Ariel" w:eastAsia="Times New Roman" w:hAnsi="Ariel" w:cs="Times New Roman"/>
          <w:kern w:val="0"/>
          <w:sz w:val="22"/>
          <w:szCs w:val="22"/>
          <w:lang w:eastAsia="en-GB"/>
          <w14:ligatures w14:val="none"/>
        </w:rPr>
        <w:t xml:space="preserve"> Withall, 2013). It was not until the mid-20th century that systematic biomedical research commenced elucidating the neurodegenerative mechanisms involved. Wernicke–Korsakoff syndrome illustrates that alcohol abuse can lead to thiamine deficiency, neuronal degeneration, and significant memory impairment, establishing a conceptual link between alcohol consumption and cognitive decline.</w:t>
      </w:r>
    </w:p>
    <w:p w14:paraId="56D9FE44" w14:textId="77777777" w:rsidR="00E77188" w:rsidRPr="00E754F7" w:rsidRDefault="00E77188" w:rsidP="00E754F7">
      <w:pPr>
        <w:spacing w:after="0" w:line="360" w:lineRule="auto"/>
        <w:rPr>
          <w:rFonts w:ascii="Ariel" w:eastAsia="Times New Roman" w:hAnsi="Ariel" w:cs="Times New Roman"/>
          <w:kern w:val="0"/>
          <w:sz w:val="22"/>
          <w:szCs w:val="22"/>
          <w:lang w:eastAsia="en-GB"/>
          <w14:ligatures w14:val="none"/>
        </w:rPr>
      </w:pPr>
    </w:p>
    <w:p w14:paraId="63033153" w14:textId="14FD5CB3"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The identification of "alcohol-related dementia" (ARD) in the 1970s and 1980s broadened comprehension beyond acute deficient symptoms, revealing enduring structural damage linked to prolonged high alcohol consumption (Rehm et al., 2019). By the early 2000s, extensive epidemiological research had started to identify alcohol usage as a notable modifiable risk factor for dementia, especially among working-age adults. The Whitehall II cohort study (Sabia et al., 2018) shown that both abstinence and excessive alcohol consumption throughout midlife were associated with an elevated risk of dementia, indicating a more intricate association than previously believed.</w:t>
      </w:r>
    </w:p>
    <w:p w14:paraId="201682C5"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Significant Historical Figures and Contributions</w:t>
      </w:r>
    </w:p>
    <w:p w14:paraId="3B107C2D" w14:textId="7ADD9D0A" w:rsidR="00F84678" w:rsidRPr="00E754F7" w:rsidRDefault="00E77188" w:rsidP="00E754F7">
      <w:pPr>
        <w:spacing w:line="360" w:lineRule="auto"/>
        <w:rPr>
          <w:rFonts w:ascii="Ariel" w:eastAsia="Times New Roman" w:hAnsi="Ariel" w:cs="Segoe UI"/>
          <w:kern w:val="0"/>
          <w:sz w:val="22"/>
          <w:szCs w:val="22"/>
          <w:lang w:eastAsia="en-GB"/>
          <w14:ligatures w14:val="none"/>
        </w:rPr>
      </w:pPr>
      <w:r w:rsidRPr="00E754F7">
        <w:rPr>
          <w:rFonts w:ascii="Ariel" w:eastAsia="Times New Roman" w:hAnsi="Ariel" w:cs="Times New Roman"/>
          <w:kern w:val="0"/>
          <w:sz w:val="22"/>
          <w:szCs w:val="22"/>
          <w:lang w:eastAsia="en-GB"/>
          <w14:ligatures w14:val="none"/>
        </w:rPr>
        <w:t>P</w:t>
      </w:r>
      <w:r w:rsidRPr="00E77188">
        <w:rPr>
          <w:rFonts w:ascii="Ariel" w:eastAsia="Times New Roman" w:hAnsi="Ariel" w:cs="Times New Roman"/>
          <w:kern w:val="0"/>
          <w:sz w:val="22"/>
          <w:szCs w:val="22"/>
          <w:lang w:eastAsia="en-GB"/>
          <w14:ligatures w14:val="none"/>
        </w:rPr>
        <w:t xml:space="preserve">rominent organizations and researchers have influenced the contemporary comprehension of alcohol-induced cognitive impairment. The World Health Organization (WHO) significantly </w:t>
      </w:r>
      <w:r w:rsidRPr="00E77188">
        <w:rPr>
          <w:rFonts w:ascii="Ariel" w:eastAsia="Times New Roman" w:hAnsi="Ariel" w:cs="Times New Roman"/>
          <w:kern w:val="0"/>
          <w:sz w:val="22"/>
          <w:szCs w:val="22"/>
          <w:lang w:eastAsia="en-GB"/>
          <w14:ligatures w14:val="none"/>
        </w:rPr>
        <w:lastRenderedPageBreak/>
        <w:t>contributed to defining alcohol misuse as a global public health concern, with authoritative reports associating alcohol intake with over 200 disorders, including dementia (WHO, 2021). Alzheimer’s Disease International (ADI</w:t>
      </w:r>
      <w:r w:rsidR="00011717" w:rsidRPr="00E754F7">
        <w:rPr>
          <w:rFonts w:ascii="Ariel" w:eastAsia="Times New Roman" w:hAnsi="Ariel" w:cs="Times New Roman"/>
          <w:kern w:val="0"/>
          <w:sz w:val="22"/>
          <w:szCs w:val="22"/>
          <w:lang w:eastAsia="en-GB"/>
          <w14:ligatures w14:val="none"/>
        </w:rPr>
        <w:t>, 2023</w:t>
      </w:r>
      <w:r w:rsidRPr="00E77188">
        <w:rPr>
          <w:rFonts w:ascii="Ariel" w:eastAsia="Times New Roman" w:hAnsi="Ariel" w:cs="Times New Roman"/>
          <w:kern w:val="0"/>
          <w:sz w:val="22"/>
          <w:szCs w:val="22"/>
          <w:lang w:eastAsia="en-GB"/>
          <w14:ligatures w14:val="none"/>
        </w:rPr>
        <w:t>) and national organizations like the Alzheimer’s Society have promoted awareness on the avoidable aspects of alcohol-related dementia.</w:t>
      </w:r>
      <w:r w:rsidR="00AC6AED" w:rsidRPr="00E754F7">
        <w:rPr>
          <w:rFonts w:ascii="Ariel" w:eastAsia="Times New Roman" w:hAnsi="Ariel" w:cs="Times New Roman"/>
          <w:kern w:val="0"/>
          <w:sz w:val="22"/>
          <w:szCs w:val="22"/>
          <w:lang w:eastAsia="en-GB"/>
          <w14:ligatures w14:val="none"/>
        </w:rPr>
        <w:t xml:space="preserve"> </w:t>
      </w:r>
      <w:r w:rsidR="00F84678" w:rsidRPr="00E754F7">
        <w:rPr>
          <w:rFonts w:ascii="Ariel" w:eastAsia="Times New Roman" w:hAnsi="Ariel" w:cs="Times New Roman"/>
          <w:kern w:val="0"/>
          <w:sz w:val="22"/>
          <w:szCs w:val="22"/>
          <w:lang w:eastAsia="en-GB"/>
          <w14:ligatures w14:val="none"/>
        </w:rPr>
        <w:t>(</w:t>
      </w:r>
      <w:r w:rsidR="00F84678" w:rsidRPr="00E754F7">
        <w:rPr>
          <w:rFonts w:ascii="Ariel" w:eastAsia="Times New Roman" w:hAnsi="Ariel" w:cs="Segoe UI"/>
          <w:kern w:val="0"/>
          <w:sz w:val="22"/>
          <w:szCs w:val="22"/>
          <w:lang w:eastAsia="en-GB"/>
          <w14:ligatures w14:val="none"/>
        </w:rPr>
        <w:t>Alzheimer’s Society 2025).</w:t>
      </w:r>
    </w:p>
    <w:p w14:paraId="04EA1803" w14:textId="0278AF5B"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p>
    <w:p w14:paraId="70F599B2" w14:textId="77777777" w:rsidR="00E77188" w:rsidRPr="00E754F7" w:rsidRDefault="00E77188" w:rsidP="00E754F7">
      <w:pPr>
        <w:spacing w:after="0" w:line="360" w:lineRule="auto"/>
        <w:rPr>
          <w:rFonts w:ascii="Ariel" w:eastAsia="Times New Roman" w:hAnsi="Ariel" w:cs="Times New Roman"/>
          <w:kern w:val="0"/>
          <w:sz w:val="22"/>
          <w:szCs w:val="22"/>
          <w:lang w:eastAsia="en-GB"/>
          <w14:ligatures w14:val="none"/>
        </w:rPr>
      </w:pPr>
    </w:p>
    <w:p w14:paraId="1FED4763" w14:textId="1284F718" w:rsidR="00E77188" w:rsidRPr="00E754F7"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The Lancet Commission on Dementia Prevention, Intervention and Care (Livingston et al., 2017; 2020;) significantly impacts modern discourse by recognizing detrimental alcohol consumption as a controllable risk factor in a life-course framework of dementia. Their work has amalgamated epidemiology, clinical evidence, and socioeconomic determinants of health, facilitating a transition from individual pathology to a more expansive public health accountability.</w:t>
      </w:r>
    </w:p>
    <w:p w14:paraId="14B212F7" w14:textId="77777777"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p>
    <w:p w14:paraId="237BC389" w14:textId="3225AB90" w:rsidR="00E77188" w:rsidRPr="00E754F7"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 xml:space="preserve">Historically, socioeconomic factors have been significant. Urbanization and industrialization in the UK created conditions that promote excessive alcohol use, especially within disadvantaged populations (Jefferis et al., 2014). These differences have endured, with recent studies regularly indicating that alcohol-related damage is more prevalent among lower socioeconomic groups </w:t>
      </w:r>
      <w:r w:rsidR="009E65DA" w:rsidRPr="00E754F7">
        <w:rPr>
          <w:rFonts w:ascii="Ariel" w:eastAsia="Times New Roman" w:hAnsi="Ariel" w:cs="Segoe UI"/>
          <w:kern w:val="0"/>
          <w:sz w:val="22"/>
          <w:szCs w:val="22"/>
          <w:lang w:eastAsia="en-GB"/>
          <w14:ligatures w14:val="none"/>
        </w:rPr>
        <w:t>(</w:t>
      </w:r>
      <w:r w:rsidR="00A8767B" w:rsidRPr="00741E0E">
        <w:rPr>
          <w:rFonts w:ascii="Ariel" w:eastAsia="Times New Roman" w:hAnsi="Ariel" w:cs="Segoe UI"/>
          <w:kern w:val="0"/>
          <w:sz w:val="22"/>
          <w:szCs w:val="22"/>
          <w:lang w:eastAsia="en-GB"/>
          <w14:ligatures w14:val="none"/>
        </w:rPr>
        <w:t>Wang, 2025</w:t>
      </w:r>
      <w:r w:rsidR="009E65DA" w:rsidRPr="00E754F7">
        <w:rPr>
          <w:rFonts w:ascii="Ariel" w:eastAsia="Times New Roman" w:hAnsi="Ariel" w:cs="Segoe UI"/>
          <w:kern w:val="0"/>
          <w:sz w:val="22"/>
          <w:szCs w:val="22"/>
          <w:lang w:eastAsia="en-GB"/>
          <w14:ligatures w14:val="none"/>
        </w:rPr>
        <w:t>)</w:t>
      </w:r>
      <w:r w:rsidR="00A8767B" w:rsidRPr="00741E0E">
        <w:rPr>
          <w:rFonts w:ascii="Ariel" w:eastAsia="Times New Roman" w:hAnsi="Ariel" w:cs="Segoe UI"/>
          <w:kern w:val="0"/>
          <w:sz w:val="22"/>
          <w:szCs w:val="22"/>
          <w:lang w:eastAsia="en-GB"/>
          <w14:ligatures w14:val="none"/>
        </w:rPr>
        <w:t>.</w:t>
      </w:r>
    </w:p>
    <w:p w14:paraId="195603D9" w14:textId="77777777"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p>
    <w:p w14:paraId="68841B6A" w14:textId="77777777" w:rsidR="00E77188" w:rsidRPr="00E77188"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These historical developments indicate a significant leap from initial clinical observations of alcohol-related brain injury to a comprehensive public health strategy that recognizes the socioeconomic factors contributing to alcohol consumption and early cognitive decline.</w:t>
      </w:r>
    </w:p>
    <w:p w14:paraId="4906B766" w14:textId="4F65A10D" w:rsidR="00D30B36" w:rsidRPr="00D30B36"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2.3 Theoretical Background </w:t>
      </w:r>
    </w:p>
    <w:p w14:paraId="21B6AB02"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Key Theories and Concepts</w:t>
      </w:r>
    </w:p>
    <w:p w14:paraId="7F42ADC7" w14:textId="0D3D9219" w:rsidR="00E77188" w:rsidRPr="00E754F7" w:rsidRDefault="00E77188" w:rsidP="00E754F7">
      <w:pPr>
        <w:spacing w:after="0" w:line="360" w:lineRule="auto"/>
        <w:rPr>
          <w:rFonts w:ascii="Ariel" w:eastAsia="Times New Roman" w:hAnsi="Ariel" w:cs="Times New Roman"/>
          <w:kern w:val="0"/>
          <w:sz w:val="22"/>
          <w:szCs w:val="22"/>
          <w:lang w:eastAsia="en-GB"/>
          <w14:ligatures w14:val="none"/>
        </w:rPr>
      </w:pPr>
      <w:r w:rsidRPr="00E77188">
        <w:rPr>
          <w:rFonts w:ascii="Ariel" w:eastAsia="Times New Roman" w:hAnsi="Ariel" w:cs="Times New Roman"/>
          <w:kern w:val="0"/>
          <w:sz w:val="22"/>
          <w:szCs w:val="22"/>
          <w:lang w:eastAsia="en-GB"/>
          <w14:ligatures w14:val="none"/>
        </w:rPr>
        <w:t xml:space="preserve">Multiple theoretical frameworks underpin the examination of the correlation between alcohol consumption, socioeconomic deprivation, and youth onset diabetes (YOD). The biopsychosocial paradigm (Engel, 1977) is fundamental, suggesting that health outcomes arise from the interaction of biological, psychological, and social variables. In the realm of alcohol-related dementia, molecular causes encompass neurotoxicity, inflammation, and impaired thiamine metabolism associated with chronic alcohol consumption, which correlate with structural brain atrophy and cognitive impairments </w:t>
      </w:r>
      <w:r w:rsidR="00E828A4" w:rsidRPr="00E754F7">
        <w:rPr>
          <w:rFonts w:ascii="Ariel" w:eastAsia="Times New Roman" w:hAnsi="Ariel" w:cs="Segoe UI"/>
          <w:kern w:val="0"/>
          <w:sz w:val="22"/>
          <w:szCs w:val="22"/>
          <w:lang w:eastAsia="en-GB"/>
          <w14:ligatures w14:val="none"/>
        </w:rPr>
        <w:t>(</w:t>
      </w:r>
      <w:r w:rsidR="00880A7B" w:rsidRPr="0017155C">
        <w:rPr>
          <w:rFonts w:ascii="Ariel" w:eastAsia="Times New Roman" w:hAnsi="Ariel" w:cs="Segoe UI"/>
          <w:kern w:val="0"/>
          <w:sz w:val="22"/>
          <w:szCs w:val="22"/>
          <w:lang w:eastAsia="en-GB"/>
          <w14:ligatures w14:val="none"/>
        </w:rPr>
        <w:t>Árokszállási,</w:t>
      </w:r>
      <w:r w:rsidR="00E828A4" w:rsidRPr="00E754F7">
        <w:rPr>
          <w:rFonts w:ascii="Ariel" w:eastAsia="Times New Roman" w:hAnsi="Ariel" w:cs="Segoe UI"/>
          <w:kern w:val="0"/>
          <w:sz w:val="22"/>
          <w:szCs w:val="22"/>
          <w:lang w:eastAsia="en-GB"/>
          <w14:ligatures w14:val="none"/>
        </w:rPr>
        <w:t xml:space="preserve"> </w:t>
      </w:r>
      <w:r w:rsidR="00880A7B" w:rsidRPr="0017155C">
        <w:rPr>
          <w:rFonts w:ascii="Ariel" w:eastAsia="Times New Roman" w:hAnsi="Ariel" w:cs="Segoe UI"/>
          <w:kern w:val="0"/>
          <w:sz w:val="22"/>
          <w:szCs w:val="22"/>
          <w:lang w:eastAsia="en-GB"/>
          <w14:ligatures w14:val="none"/>
        </w:rPr>
        <w:t>2025</w:t>
      </w:r>
      <w:r w:rsidR="00E828A4" w:rsidRPr="00E754F7">
        <w:rPr>
          <w:rFonts w:ascii="Ariel" w:eastAsia="Times New Roman" w:hAnsi="Ariel" w:cs="Segoe UI"/>
          <w:kern w:val="0"/>
          <w:sz w:val="22"/>
          <w:szCs w:val="22"/>
          <w:lang w:eastAsia="en-GB"/>
          <w14:ligatures w14:val="none"/>
        </w:rPr>
        <w:t>)</w:t>
      </w:r>
      <w:r w:rsidR="00880A7B" w:rsidRPr="0017155C">
        <w:rPr>
          <w:rFonts w:ascii="Ariel" w:eastAsia="Times New Roman" w:hAnsi="Ariel" w:cs="Segoe UI"/>
          <w:kern w:val="0"/>
          <w:sz w:val="22"/>
          <w:szCs w:val="22"/>
          <w:lang w:eastAsia="en-GB"/>
          <w14:ligatures w14:val="none"/>
        </w:rPr>
        <w:t xml:space="preserve">. </w:t>
      </w:r>
      <w:r w:rsidRPr="00E77188">
        <w:rPr>
          <w:rFonts w:ascii="Ariel" w:eastAsia="Times New Roman" w:hAnsi="Ariel" w:cs="Times New Roman"/>
          <w:kern w:val="0"/>
          <w:sz w:val="22"/>
          <w:szCs w:val="22"/>
          <w:lang w:eastAsia="en-GB"/>
          <w14:ligatures w14:val="none"/>
        </w:rPr>
        <w:t xml:space="preserve">Psychological vulnerabilities, like stress, trauma, or mental illness, may elevate the risk of detrimental drinking </w:t>
      </w:r>
      <w:r w:rsidR="004868E9" w:rsidRPr="00E754F7">
        <w:rPr>
          <w:rFonts w:ascii="Ariel" w:eastAsia="Times New Roman" w:hAnsi="Ariel" w:cs="Times New Roman"/>
          <w:kern w:val="0"/>
          <w:sz w:val="22"/>
          <w:szCs w:val="22"/>
          <w:lang w:eastAsia="en-GB"/>
          <w14:ligatures w14:val="none"/>
        </w:rPr>
        <w:t>behaviours</w:t>
      </w:r>
      <w:r w:rsidRPr="00E77188">
        <w:rPr>
          <w:rFonts w:ascii="Ariel" w:eastAsia="Times New Roman" w:hAnsi="Ariel" w:cs="Times New Roman"/>
          <w:kern w:val="0"/>
          <w:sz w:val="22"/>
          <w:szCs w:val="22"/>
          <w:lang w:eastAsia="en-GB"/>
          <w14:ligatures w14:val="none"/>
        </w:rPr>
        <w:t xml:space="preserve">, while </w:t>
      </w:r>
      <w:r w:rsidRPr="00E77188">
        <w:rPr>
          <w:rFonts w:ascii="Ariel" w:eastAsia="Times New Roman" w:hAnsi="Ariel" w:cs="Times New Roman"/>
          <w:kern w:val="0"/>
          <w:sz w:val="22"/>
          <w:szCs w:val="22"/>
          <w:lang w:eastAsia="en-GB"/>
          <w14:ligatures w14:val="none"/>
        </w:rPr>
        <w:lastRenderedPageBreak/>
        <w:t xml:space="preserve">social disadvantages such as limited education, unemployment, and inadequate access to healthcare exacerbate these risks </w:t>
      </w:r>
      <w:r w:rsidR="00C077BC" w:rsidRPr="00E754F7">
        <w:rPr>
          <w:rFonts w:ascii="Ariel" w:eastAsia="Times New Roman" w:hAnsi="Ariel" w:cs="Times New Roman"/>
          <w:kern w:val="0"/>
          <w:sz w:val="22"/>
          <w:szCs w:val="22"/>
          <w:lang w:eastAsia="en-GB"/>
          <w14:ligatures w14:val="none"/>
        </w:rPr>
        <w:t>(</w:t>
      </w:r>
      <w:r w:rsidR="00C077BC" w:rsidRPr="00D14C6E">
        <w:rPr>
          <w:rFonts w:ascii="Ariel" w:eastAsia="Times New Roman" w:hAnsi="Ariel" w:cs="Segoe UI"/>
          <w:kern w:val="0"/>
          <w:sz w:val="22"/>
          <w:szCs w:val="22"/>
          <w:lang w:eastAsia="en-GB"/>
          <w14:ligatures w14:val="none"/>
        </w:rPr>
        <w:t>Trani</w:t>
      </w:r>
      <w:r w:rsidR="00C077BC" w:rsidRPr="00E754F7">
        <w:rPr>
          <w:rFonts w:ascii="Ariel" w:eastAsia="Times New Roman" w:hAnsi="Ariel" w:cs="Segoe UI"/>
          <w:kern w:val="0"/>
          <w:sz w:val="22"/>
          <w:szCs w:val="22"/>
          <w:lang w:eastAsia="en-GB"/>
          <w14:ligatures w14:val="none"/>
        </w:rPr>
        <w:t xml:space="preserve"> et al., </w:t>
      </w:r>
      <w:r w:rsidR="00C077BC" w:rsidRPr="00D14C6E">
        <w:rPr>
          <w:rFonts w:ascii="Ariel" w:eastAsia="Times New Roman" w:hAnsi="Ariel" w:cs="Segoe UI"/>
          <w:kern w:val="0"/>
          <w:sz w:val="22"/>
          <w:szCs w:val="22"/>
          <w:lang w:eastAsia="en-GB"/>
          <w14:ligatures w14:val="none"/>
        </w:rPr>
        <w:t>2025</w:t>
      </w:r>
      <w:r w:rsidR="00C077BC" w:rsidRPr="00E754F7">
        <w:rPr>
          <w:rFonts w:ascii="Ariel" w:eastAsia="Times New Roman" w:hAnsi="Ariel" w:cs="Segoe UI"/>
          <w:kern w:val="0"/>
          <w:sz w:val="22"/>
          <w:szCs w:val="22"/>
          <w:lang w:eastAsia="en-GB"/>
          <w14:ligatures w14:val="none"/>
        </w:rPr>
        <w:t>).</w:t>
      </w:r>
    </w:p>
    <w:p w14:paraId="731C1D78" w14:textId="77777777" w:rsidR="00996A9A" w:rsidRPr="00E754F7" w:rsidRDefault="00996A9A" w:rsidP="00E754F7">
      <w:pPr>
        <w:spacing w:after="0" w:line="360" w:lineRule="auto"/>
        <w:rPr>
          <w:rFonts w:ascii="Ariel" w:eastAsia="Times New Roman" w:hAnsi="Ariel" w:cs="Times New Roman"/>
          <w:kern w:val="0"/>
          <w:sz w:val="22"/>
          <w:szCs w:val="22"/>
          <w:lang w:eastAsia="en-GB"/>
          <w14:ligatures w14:val="none"/>
        </w:rPr>
      </w:pPr>
    </w:p>
    <w:p w14:paraId="49C5F98A" w14:textId="74D2FC6C" w:rsidR="00D30B36" w:rsidRPr="00D30B36" w:rsidRDefault="00367640"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100D6F">
        <w:rPr>
          <w:rFonts w:ascii="Ariel" w:eastAsia="Times New Roman" w:hAnsi="Ariel" w:cs="Segoe UI"/>
          <w:kern w:val="0"/>
          <w:sz w:val="22"/>
          <w:szCs w:val="22"/>
          <w:lang w:eastAsia="en-GB"/>
          <w14:ligatures w14:val="none"/>
        </w:rPr>
        <w:t xml:space="preserve">Rodríguez-González and Repetto,  (2024) </w:t>
      </w:r>
      <w:r w:rsidR="001B3571" w:rsidRPr="00E754F7">
        <w:rPr>
          <w:rFonts w:ascii="Ariel" w:eastAsia="Times New Roman" w:hAnsi="Ariel" w:cs="Times New Roman"/>
          <w:kern w:val="0"/>
          <w:sz w:val="22"/>
          <w:szCs w:val="22"/>
          <w:lang w:eastAsia="en-GB"/>
          <w14:ligatures w14:val="none"/>
        </w:rPr>
        <w:t xml:space="preserve"> </w:t>
      </w:r>
      <w:r w:rsidR="00D30B36" w:rsidRPr="00D30B36">
        <w:rPr>
          <w:rFonts w:ascii="Ariel" w:eastAsia="Times New Roman" w:hAnsi="Ariel" w:cs="Times New Roman"/>
          <w:kern w:val="0"/>
          <w:sz w:val="22"/>
          <w:szCs w:val="22"/>
          <w:lang w:eastAsia="en-GB"/>
          <w14:ligatures w14:val="none"/>
        </w:rPr>
        <w:t>“status syndrome” theory</w:t>
      </w:r>
      <w:r w:rsidR="006B6699" w:rsidRPr="00E754F7">
        <w:rPr>
          <w:rFonts w:ascii="Ariel" w:eastAsia="Times New Roman" w:hAnsi="Ariel" w:cs="Segoe UI"/>
          <w:kern w:val="0"/>
          <w:sz w:val="22"/>
          <w:szCs w:val="22"/>
          <w:lang w:eastAsia="en-GB"/>
          <w14:ligatures w14:val="none"/>
        </w:rPr>
        <w:t xml:space="preserve"> </w:t>
      </w:r>
      <w:r w:rsidR="00D30B36" w:rsidRPr="00D30B36">
        <w:rPr>
          <w:rFonts w:ascii="Ariel" w:eastAsia="Times New Roman" w:hAnsi="Ariel" w:cs="Times New Roman"/>
          <w:kern w:val="0"/>
          <w:sz w:val="22"/>
          <w:szCs w:val="22"/>
          <w:lang w:eastAsia="en-GB"/>
          <w14:ligatures w14:val="none"/>
        </w:rPr>
        <w:t>also provides insight into how socioeconomic inequality produces health disparities. According to this framework, individuals experiencing limited control over their living conditions, chronic stress, and socioeconomic adversity are more likely to adopt harmful coping behaviours such as binge drinking (Prince et al., 2022). This theoretical lens highlights the socio-structural roots of harmful alcohol consumption and its cognitive consequences.</w:t>
      </w:r>
    </w:p>
    <w:p w14:paraId="57ACCAF9" w14:textId="5CA910FF" w:rsidR="00996A9A" w:rsidRPr="00996A9A"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 xml:space="preserve">Cognitive reserve theory (Stern, 2009) posits that persons with elevated educational levels, intellectually demanding careers, and active social involvement are more adept at compensating for neuropathological alterations. Individuals residing in disadvantaged communities frequently possess diminished cognitive reserve, rendering them more susceptible to the neurotoxic impacts of alcohol </w:t>
      </w:r>
      <w:r w:rsidR="00756F04" w:rsidRPr="00E754F7">
        <w:rPr>
          <w:rFonts w:ascii="Ariel" w:eastAsia="Times New Roman" w:hAnsi="Ariel" w:cs="Times New Roman"/>
          <w:kern w:val="0"/>
          <w:sz w:val="22"/>
          <w:szCs w:val="22"/>
          <w:lang w:eastAsia="en-GB"/>
          <w14:ligatures w14:val="none"/>
        </w:rPr>
        <w:t>(</w:t>
      </w:r>
      <w:r w:rsidR="003221BD" w:rsidRPr="00E754F7">
        <w:rPr>
          <w:rFonts w:ascii="Ariel" w:hAnsi="Ariel" w:cs="Segoe UI"/>
          <w:sz w:val="22"/>
          <w:szCs w:val="22"/>
        </w:rPr>
        <w:t>Bransby</w:t>
      </w:r>
      <w:r w:rsidR="00756F04" w:rsidRPr="00E754F7">
        <w:rPr>
          <w:rFonts w:ascii="Ariel" w:hAnsi="Ariel" w:cs="Segoe UI"/>
          <w:sz w:val="22"/>
          <w:szCs w:val="22"/>
        </w:rPr>
        <w:t xml:space="preserve"> et al., </w:t>
      </w:r>
      <w:r w:rsidR="003221BD" w:rsidRPr="00E754F7">
        <w:rPr>
          <w:rFonts w:ascii="Ariel" w:hAnsi="Ariel" w:cs="Segoe UI"/>
          <w:sz w:val="22"/>
          <w:szCs w:val="22"/>
        </w:rPr>
        <w:t>2024</w:t>
      </w:r>
      <w:r w:rsidR="004C6E00" w:rsidRPr="00E754F7">
        <w:rPr>
          <w:rFonts w:ascii="Ariel" w:hAnsi="Ariel" w:cs="Segoe UI"/>
          <w:sz w:val="22"/>
          <w:szCs w:val="22"/>
        </w:rPr>
        <w:t xml:space="preserve">; </w:t>
      </w:r>
      <w:r w:rsidRPr="00996A9A">
        <w:rPr>
          <w:rFonts w:ascii="Ariel" w:eastAsia="Times New Roman" w:hAnsi="Ariel" w:cs="Times New Roman"/>
          <w:kern w:val="0"/>
          <w:sz w:val="22"/>
          <w:szCs w:val="22"/>
          <w:lang w:eastAsia="en-GB"/>
          <w14:ligatures w14:val="none"/>
        </w:rPr>
        <w:t>Sabia et al., 2018).</w:t>
      </w:r>
    </w:p>
    <w:p w14:paraId="5D2B97BF" w14:textId="77777777" w:rsidR="00996A9A" w:rsidRPr="00E754F7" w:rsidRDefault="00996A9A" w:rsidP="00E754F7">
      <w:pPr>
        <w:spacing w:after="0" w:line="360" w:lineRule="auto"/>
        <w:rPr>
          <w:rFonts w:ascii="Ariel" w:eastAsia="Times New Roman" w:hAnsi="Ariel" w:cs="Times New Roman"/>
          <w:kern w:val="0"/>
          <w:sz w:val="22"/>
          <w:szCs w:val="22"/>
          <w:lang w:eastAsia="en-GB"/>
          <w14:ligatures w14:val="none"/>
        </w:rPr>
      </w:pPr>
    </w:p>
    <w:p w14:paraId="2B79187D" w14:textId="55B35E0A" w:rsidR="00996A9A" w:rsidRPr="00996A9A"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Life-course theory enhances comprehension by framing dementia as the aggregate result of encounters across an individual's lifetime (Livingston et al., 2020). Data from the UK Biobank (Hendriks et al., 2024) suggests that early-life hardship, inadequate nutrition, and chronic alcohol abuse may elevate the risk of YOD, highlighting the necessity for early intervention.</w:t>
      </w:r>
    </w:p>
    <w:p w14:paraId="23EE0AA3"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Application of Theories</w:t>
      </w:r>
    </w:p>
    <w:p w14:paraId="3FCEC8BA" w14:textId="77777777" w:rsidR="00996A9A" w:rsidRPr="00996A9A"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Previous studies have utilized these theories to investigate the complex nature of dementia risk. Biopsychosocial models have been employed in public health research to create interventions aimed at addressing alcohol misuse in socioeconomically disadvantaged groups. Cognitive reserve theory has been extensively utilized in longitudinal cohort studies to elucidate varying dementia outcomes within socioeconomic groups, whilst life-course approaches have shaped global dementia prevention programs, including those advocated by the WHO and the Lancet Commission.</w:t>
      </w:r>
    </w:p>
    <w:p w14:paraId="67DC01BB"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Critical Evaluation</w:t>
      </w:r>
    </w:p>
    <w:p w14:paraId="2A5639A8" w14:textId="584C874D" w:rsidR="00996A9A" w:rsidRPr="00996A9A"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 xml:space="preserve">Notwithstanding their utility, these theories encounter constraints. The biopsychosocial model, while comprehensive, is subject to criticism for its excessive breadth and difficulty in empirical operationalization. The cognitive reserve theory is occasionally criticized for inadequately considering structural inequities that restrict access to education and enrichment opportunities. </w:t>
      </w:r>
      <w:r w:rsidRPr="00996A9A">
        <w:rPr>
          <w:rFonts w:ascii="Ariel" w:eastAsia="Times New Roman" w:hAnsi="Ariel" w:cs="Times New Roman"/>
          <w:kern w:val="0"/>
          <w:sz w:val="22"/>
          <w:szCs w:val="22"/>
          <w:lang w:eastAsia="en-GB"/>
          <w14:ligatures w14:val="none"/>
        </w:rPr>
        <w:lastRenderedPageBreak/>
        <w:t>The relationship between alcohol and cognition is contentious, with some researchers proposing that low-to-moderate alcohol use may have beneficial effects (Han et al., 2021). Recent Mendelian randomization and prospective investigations</w:t>
      </w:r>
      <w:r w:rsidR="0092180F" w:rsidRPr="00E754F7">
        <w:rPr>
          <w:rFonts w:ascii="Ariel" w:eastAsia="Times New Roman" w:hAnsi="Ariel" w:cs="Segoe UI"/>
          <w:kern w:val="0"/>
          <w:sz w:val="22"/>
          <w:szCs w:val="22"/>
          <w:lang w:eastAsia="en-GB"/>
          <w14:ligatures w14:val="none"/>
        </w:rPr>
        <w:t xml:space="preserve"> </w:t>
      </w:r>
      <w:r w:rsidR="006D0160" w:rsidRPr="00E754F7">
        <w:rPr>
          <w:rFonts w:ascii="Ariel" w:eastAsia="Times New Roman" w:hAnsi="Ariel" w:cs="Segoe UI"/>
          <w:kern w:val="0"/>
          <w:sz w:val="22"/>
          <w:szCs w:val="22"/>
          <w:lang w:eastAsia="en-GB"/>
          <w14:ligatures w14:val="none"/>
        </w:rPr>
        <w:t>(</w:t>
      </w:r>
      <w:r w:rsidR="0092180F" w:rsidRPr="0008778C">
        <w:rPr>
          <w:rFonts w:ascii="Ariel" w:eastAsia="Times New Roman" w:hAnsi="Ariel" w:cs="Segoe UI"/>
          <w:kern w:val="0"/>
          <w:sz w:val="22"/>
          <w:szCs w:val="22"/>
          <w:lang w:eastAsia="en-GB"/>
          <w14:ligatures w14:val="none"/>
        </w:rPr>
        <w:t>Wang, 2024</w:t>
      </w:r>
      <w:r w:rsidRPr="00996A9A">
        <w:rPr>
          <w:rFonts w:ascii="Ariel" w:eastAsia="Times New Roman" w:hAnsi="Ariel" w:cs="Times New Roman"/>
          <w:kern w:val="0"/>
          <w:sz w:val="22"/>
          <w:szCs w:val="22"/>
          <w:lang w:eastAsia="en-GB"/>
          <w14:ligatures w14:val="none"/>
        </w:rPr>
        <w:t>; Topiwala et al., 2023</w:t>
      </w:r>
      <w:r w:rsidR="008B5FF2" w:rsidRPr="00E754F7">
        <w:rPr>
          <w:rFonts w:ascii="Ariel" w:eastAsia="Times New Roman" w:hAnsi="Ariel" w:cs="Times New Roman"/>
          <w:kern w:val="0"/>
          <w:sz w:val="22"/>
          <w:szCs w:val="22"/>
          <w:lang w:eastAsia="en-GB"/>
          <w14:ligatures w14:val="none"/>
        </w:rPr>
        <w:t>).</w:t>
      </w:r>
      <w:r w:rsidR="00EC2D9E" w:rsidRPr="00E754F7">
        <w:rPr>
          <w:rFonts w:ascii="Ariel" w:eastAsia="Times New Roman" w:hAnsi="Ariel" w:cs="Segoe UI"/>
          <w:kern w:val="0"/>
          <w:sz w:val="22"/>
          <w:szCs w:val="22"/>
          <w:lang w:eastAsia="en-GB"/>
          <w14:ligatures w14:val="none"/>
        </w:rPr>
        <w:t xml:space="preserve"> </w:t>
      </w:r>
      <w:r w:rsidR="00EC2D9E" w:rsidRPr="00167D85">
        <w:rPr>
          <w:rFonts w:ascii="Ariel" w:eastAsia="Times New Roman" w:hAnsi="Ariel" w:cs="Segoe UI"/>
          <w:kern w:val="0"/>
          <w:sz w:val="22"/>
          <w:szCs w:val="22"/>
          <w:lang w:eastAsia="en-GB"/>
          <w14:ligatures w14:val="none"/>
        </w:rPr>
        <w:t>Árokszállási, 2025</w:t>
      </w:r>
      <w:r w:rsidRPr="00996A9A">
        <w:rPr>
          <w:rFonts w:ascii="Ariel" w:eastAsia="Times New Roman" w:hAnsi="Ariel" w:cs="Times New Roman"/>
          <w:kern w:val="0"/>
          <w:sz w:val="22"/>
          <w:szCs w:val="22"/>
          <w:lang w:eastAsia="en-GB"/>
          <w14:ligatures w14:val="none"/>
        </w:rPr>
        <w:t xml:space="preserve"> progressively contest these assertions, demonstrating that even moderate alcohol consumption correlates with progressive anatomical alterations in the brain.</w:t>
      </w:r>
    </w:p>
    <w:p w14:paraId="46E40C8F" w14:textId="77777777" w:rsidR="00D30B36" w:rsidRPr="00D30B36" w:rsidRDefault="00D30B36" w:rsidP="00E754F7">
      <w:pPr>
        <w:spacing w:before="100" w:beforeAutospacing="1" w:after="100" w:afterAutospacing="1" w:line="360" w:lineRule="auto"/>
        <w:rPr>
          <w:rFonts w:ascii="Ariel" w:eastAsia="Times New Roman" w:hAnsi="Ariel" w:cs="Times New Roman"/>
          <w:kern w:val="0"/>
          <w:sz w:val="22"/>
          <w:szCs w:val="22"/>
          <w:lang w:eastAsia="en-GB"/>
          <w14:ligatures w14:val="none"/>
        </w:rPr>
      </w:pPr>
      <w:r w:rsidRPr="00D30B36">
        <w:rPr>
          <w:rFonts w:ascii="Ariel" w:eastAsia="Times New Roman" w:hAnsi="Ariel" w:cs="Times New Roman"/>
          <w:kern w:val="0"/>
          <w:sz w:val="22"/>
          <w:szCs w:val="22"/>
          <w:lang w:eastAsia="en-GB"/>
          <w14:ligatures w14:val="none"/>
        </w:rPr>
        <w:t>Overall, these theoretical frameworks collectively support a nuanced understanding of how alcohol misuse and socioeconomic inequality interact to influence YOD risk.</w:t>
      </w:r>
    </w:p>
    <w:p w14:paraId="08BBBAEB" w14:textId="4F6FD1E5" w:rsidR="00D30B36" w:rsidRPr="00D30B36"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2.4 International Context </w:t>
      </w:r>
    </w:p>
    <w:p w14:paraId="24FE804C"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Global Perspective</w:t>
      </w:r>
    </w:p>
    <w:p w14:paraId="3C366B6F" w14:textId="6347B8D0" w:rsidR="00996A9A" w:rsidRPr="00996A9A"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 xml:space="preserve">Globally, excessive alcohol intake and its cognitive repercussions are acknowledged as significant public health issues. The WHO indicates that detrimental alcohol consumption results in over 3 million fatalities per year and is associated with over 200 diseases, including dementia (WHO, 2021). Global epidemiology patterns indicate significant disparities in alcohol use </w:t>
      </w:r>
      <w:r w:rsidR="007C7B9C" w:rsidRPr="00E754F7">
        <w:rPr>
          <w:rFonts w:ascii="Ariel" w:eastAsia="Times New Roman" w:hAnsi="Ariel" w:cs="Times New Roman"/>
          <w:kern w:val="0"/>
          <w:sz w:val="22"/>
          <w:szCs w:val="22"/>
          <w:lang w:eastAsia="en-GB"/>
          <w14:ligatures w14:val="none"/>
        </w:rPr>
        <w:t>behaviours</w:t>
      </w:r>
      <w:r w:rsidRPr="00996A9A">
        <w:rPr>
          <w:rFonts w:ascii="Ariel" w:eastAsia="Times New Roman" w:hAnsi="Ariel" w:cs="Times New Roman"/>
          <w:kern w:val="0"/>
          <w:sz w:val="22"/>
          <w:szCs w:val="22"/>
          <w:lang w:eastAsia="en-GB"/>
          <w14:ligatures w14:val="none"/>
        </w:rPr>
        <w:t>, influenced by cultural, social, and regulatory circumstances. Northern and Eastern European countries demonstrate elevated binge drinking rates, which are associated with heightened occurrences of alcohol-related brain injury and early cognitive decline (Kilian et al., 2023; Vils-Andreu et al., 2023).</w:t>
      </w:r>
    </w:p>
    <w:p w14:paraId="775ECF38"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Comparative Analysis</w:t>
      </w:r>
    </w:p>
    <w:p w14:paraId="3962B26A" w14:textId="77777777" w:rsidR="00996A9A" w:rsidRPr="00E754F7" w:rsidRDefault="00996A9A" w:rsidP="00E754F7">
      <w:pPr>
        <w:spacing w:after="0" w:line="360" w:lineRule="auto"/>
        <w:rPr>
          <w:rFonts w:ascii="Ariel" w:eastAsia="Times New Roman" w:hAnsi="Ariel" w:cs="Times New Roman"/>
          <w:kern w:val="0"/>
          <w:sz w:val="22"/>
          <w:szCs w:val="22"/>
          <w:lang w:eastAsia="en-GB"/>
          <w14:ligatures w14:val="none"/>
        </w:rPr>
      </w:pPr>
      <w:r w:rsidRPr="00996A9A">
        <w:rPr>
          <w:rFonts w:ascii="Ariel" w:eastAsia="Times New Roman" w:hAnsi="Ariel" w:cs="Times New Roman"/>
          <w:kern w:val="0"/>
          <w:sz w:val="22"/>
          <w:szCs w:val="22"/>
          <w:lang w:eastAsia="en-GB"/>
          <w14:ligatures w14:val="none"/>
        </w:rPr>
        <w:t>Mediterranean nations like Italy and Spain frequently exhibit reduced rates of alcohol-related dementia, partly due to cultural norms that endorse moderate consumption and dietary practices, including the Mediterranean diet, which is linked to improved cognitive health (Shannon et al., 2023). In contrast, nations such as Russia and certain regions of Eastern Europe exhibit markedly elevated rates of alcohol-related premature mortality and neurocognitive deterioration attributable to historical trends of excessive spirit intake.</w:t>
      </w:r>
    </w:p>
    <w:p w14:paraId="6D4A1A6C" w14:textId="77777777" w:rsidR="00237FE6" w:rsidRPr="00996A9A" w:rsidRDefault="00237FE6" w:rsidP="00E754F7">
      <w:pPr>
        <w:spacing w:after="0" w:line="360" w:lineRule="auto"/>
        <w:rPr>
          <w:rFonts w:ascii="Ariel" w:eastAsia="Times New Roman" w:hAnsi="Ariel" w:cs="Times New Roman"/>
          <w:kern w:val="0"/>
          <w:sz w:val="22"/>
          <w:szCs w:val="22"/>
          <w:lang w:eastAsia="en-GB"/>
          <w14:ligatures w14:val="none"/>
        </w:rPr>
      </w:pPr>
    </w:p>
    <w:p w14:paraId="20366E2A" w14:textId="22448510"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Scandinavian countries exemplify stringent alcohol control measures, encompassing taxation, restricted access, and state monopolies. These interventions have demonstrated efficacy in mitigating alcohol-related damage</w:t>
      </w:r>
      <w:r w:rsidR="006F5F97" w:rsidRPr="00E754F7">
        <w:rPr>
          <w:rFonts w:ascii="Ariel" w:eastAsia="Times New Roman" w:hAnsi="Ariel" w:cs="Segoe UI"/>
          <w:kern w:val="0"/>
          <w:sz w:val="22"/>
          <w:szCs w:val="22"/>
          <w:lang w:eastAsia="en-GB"/>
          <w14:ligatures w14:val="none"/>
        </w:rPr>
        <w:t xml:space="preserve"> (Centres</w:t>
      </w:r>
      <w:r w:rsidR="006F5F97" w:rsidRPr="00586531">
        <w:rPr>
          <w:rFonts w:ascii="Ariel" w:eastAsia="Times New Roman" w:hAnsi="Ariel" w:cs="Segoe UI"/>
          <w:kern w:val="0"/>
          <w:sz w:val="22"/>
          <w:szCs w:val="22"/>
          <w:lang w:eastAsia="en-GB"/>
          <w14:ligatures w14:val="none"/>
        </w:rPr>
        <w:t xml:space="preserve"> for Disease Control and Prevention (2024)</w:t>
      </w:r>
      <w:r w:rsidR="0060780B" w:rsidRPr="00E754F7">
        <w:rPr>
          <w:rFonts w:ascii="Ariel" w:eastAsia="Times New Roman" w:hAnsi="Ariel" w:cs="Segoe UI"/>
          <w:kern w:val="0"/>
          <w:sz w:val="22"/>
          <w:szCs w:val="22"/>
          <w:lang w:eastAsia="en-GB"/>
          <w14:ligatures w14:val="none"/>
        </w:rPr>
        <w:t>.</w:t>
      </w:r>
      <w:r w:rsidR="006F5F97" w:rsidRPr="00586531">
        <w:rPr>
          <w:rFonts w:ascii="Ariel" w:eastAsia="Times New Roman" w:hAnsi="Ariel" w:cs="Segoe UI"/>
          <w:kern w:val="0"/>
          <w:sz w:val="22"/>
          <w:szCs w:val="22"/>
          <w:lang w:eastAsia="en-GB"/>
          <w14:ligatures w14:val="none"/>
        </w:rPr>
        <w:t xml:space="preserve"> </w:t>
      </w:r>
      <w:r w:rsidRPr="00237FE6">
        <w:rPr>
          <w:rFonts w:ascii="Ariel" w:eastAsia="Times New Roman" w:hAnsi="Ariel" w:cs="Times New Roman"/>
          <w:kern w:val="0"/>
          <w:sz w:val="22"/>
          <w:szCs w:val="22"/>
          <w:lang w:eastAsia="en-GB"/>
          <w14:ligatures w14:val="none"/>
        </w:rPr>
        <w:t xml:space="preserve"> Australia and Canada have initiated early-intervention programs that incorporate cognitive screening into alcohol services, leading to decreased incidence of alcohol-related YOD (Ridley et al., 2013</w:t>
      </w:r>
      <w:r w:rsidR="004C0DA6" w:rsidRPr="00E754F7">
        <w:rPr>
          <w:rFonts w:ascii="Ariel" w:eastAsia="Times New Roman" w:hAnsi="Ariel" w:cs="Times New Roman"/>
          <w:kern w:val="0"/>
          <w:sz w:val="22"/>
          <w:szCs w:val="22"/>
          <w:lang w:eastAsia="en-GB"/>
          <w14:ligatures w14:val="none"/>
        </w:rPr>
        <w:t>;</w:t>
      </w:r>
      <w:r w:rsidR="006C3EFE" w:rsidRPr="00E754F7">
        <w:rPr>
          <w:rFonts w:ascii="Ariel" w:eastAsia="Times New Roman" w:hAnsi="Ariel" w:cs="Times New Roman"/>
          <w:kern w:val="0"/>
          <w:sz w:val="22"/>
          <w:szCs w:val="22"/>
          <w:lang w:eastAsia="en-GB"/>
          <w14:ligatures w14:val="none"/>
        </w:rPr>
        <w:t xml:space="preserve"> </w:t>
      </w:r>
      <w:r w:rsidR="006C3EFE" w:rsidRPr="000C6738">
        <w:rPr>
          <w:rFonts w:ascii="Ariel" w:eastAsia="Times New Roman" w:hAnsi="Ariel" w:cs="Segoe UI"/>
          <w:kern w:val="0"/>
          <w:sz w:val="22"/>
          <w:szCs w:val="22"/>
          <w:lang w:eastAsia="en-GB"/>
          <w14:ligatures w14:val="none"/>
        </w:rPr>
        <w:t>Kovačić Petrović,</w:t>
      </w:r>
      <w:r w:rsidR="006C3EFE" w:rsidRPr="00E754F7">
        <w:rPr>
          <w:rFonts w:ascii="Ariel" w:eastAsia="Times New Roman" w:hAnsi="Ariel" w:cs="Segoe UI"/>
          <w:kern w:val="0"/>
          <w:sz w:val="22"/>
          <w:szCs w:val="22"/>
          <w:lang w:eastAsia="en-GB"/>
          <w14:ligatures w14:val="none"/>
        </w:rPr>
        <w:t xml:space="preserve"> </w:t>
      </w:r>
      <w:r w:rsidR="006C3EFE" w:rsidRPr="000C6738">
        <w:rPr>
          <w:rFonts w:ascii="Ariel" w:eastAsia="Times New Roman" w:hAnsi="Ariel" w:cs="Segoe UI"/>
          <w:kern w:val="0"/>
          <w:sz w:val="22"/>
          <w:szCs w:val="22"/>
          <w:lang w:eastAsia="en-GB"/>
          <w14:ligatures w14:val="none"/>
        </w:rPr>
        <w:t xml:space="preserve">Peraica, </w:t>
      </w:r>
      <w:r w:rsidR="00871FC3" w:rsidRPr="00E754F7">
        <w:rPr>
          <w:rFonts w:ascii="Ariel" w:eastAsia="Times New Roman" w:hAnsi="Ariel" w:cs="Segoe UI"/>
          <w:kern w:val="0"/>
          <w:sz w:val="22"/>
          <w:szCs w:val="22"/>
          <w:lang w:eastAsia="en-GB"/>
          <w14:ligatures w14:val="none"/>
        </w:rPr>
        <w:t xml:space="preserve">and </w:t>
      </w:r>
      <w:proofErr w:type="spellStart"/>
      <w:r w:rsidR="006C3EFE" w:rsidRPr="000C6738">
        <w:rPr>
          <w:rFonts w:ascii="Ariel" w:eastAsia="Times New Roman" w:hAnsi="Ariel" w:cs="Segoe UI"/>
          <w:kern w:val="0"/>
          <w:sz w:val="22"/>
          <w:szCs w:val="22"/>
          <w:lang w:eastAsia="en-GB"/>
          <w14:ligatures w14:val="none"/>
        </w:rPr>
        <w:t>Kozarić</w:t>
      </w:r>
      <w:proofErr w:type="spellEnd"/>
      <w:r w:rsidR="006C3EFE" w:rsidRPr="000C6738">
        <w:rPr>
          <w:rFonts w:ascii="Ariel" w:eastAsia="Times New Roman" w:hAnsi="Ariel" w:cs="Segoe UI"/>
          <w:kern w:val="0"/>
          <w:sz w:val="22"/>
          <w:szCs w:val="22"/>
          <w:lang w:eastAsia="en-GB"/>
          <w14:ligatures w14:val="none"/>
        </w:rPr>
        <w:t>-Kovačić</w:t>
      </w:r>
      <w:r w:rsidR="004332E5" w:rsidRPr="00E754F7">
        <w:rPr>
          <w:rFonts w:ascii="Ariel" w:eastAsia="Times New Roman" w:hAnsi="Ariel" w:cs="Segoe UI"/>
          <w:kern w:val="0"/>
          <w:sz w:val="22"/>
          <w:szCs w:val="22"/>
          <w:lang w:eastAsia="en-GB"/>
          <w14:ligatures w14:val="none"/>
        </w:rPr>
        <w:t xml:space="preserve">, </w:t>
      </w:r>
      <w:r w:rsidR="006C3EFE" w:rsidRPr="000C6738">
        <w:rPr>
          <w:rFonts w:ascii="Ariel" w:eastAsia="Times New Roman" w:hAnsi="Ariel" w:cs="Segoe UI"/>
          <w:kern w:val="0"/>
          <w:sz w:val="22"/>
          <w:szCs w:val="22"/>
          <w:lang w:eastAsia="en-GB"/>
          <w14:ligatures w14:val="none"/>
        </w:rPr>
        <w:t>2025</w:t>
      </w:r>
      <w:r w:rsidRPr="00237FE6">
        <w:rPr>
          <w:rFonts w:ascii="Ariel" w:eastAsia="Times New Roman" w:hAnsi="Ariel" w:cs="Times New Roman"/>
          <w:kern w:val="0"/>
          <w:sz w:val="22"/>
          <w:szCs w:val="22"/>
          <w:lang w:eastAsia="en-GB"/>
          <w14:ligatures w14:val="none"/>
        </w:rPr>
        <w:t>).</w:t>
      </w:r>
    </w:p>
    <w:p w14:paraId="7788AB55" w14:textId="6C088168"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lastRenderedPageBreak/>
        <w:t>Case Studies</w:t>
      </w:r>
    </w:p>
    <w:p w14:paraId="2C3453AE" w14:textId="77777777" w:rsidR="00237FE6" w:rsidRPr="00E754F7"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The "</w:t>
      </w:r>
      <w:proofErr w:type="spellStart"/>
      <w:r w:rsidRPr="00237FE6">
        <w:rPr>
          <w:rFonts w:ascii="Ariel" w:eastAsia="Times New Roman" w:hAnsi="Ariel" w:cs="Times New Roman"/>
          <w:kern w:val="0"/>
          <w:sz w:val="22"/>
          <w:szCs w:val="22"/>
          <w:lang w:eastAsia="en-GB"/>
          <w14:ligatures w14:val="none"/>
        </w:rPr>
        <w:t>DrinkWise</w:t>
      </w:r>
      <w:proofErr w:type="spellEnd"/>
      <w:r w:rsidRPr="00237FE6">
        <w:rPr>
          <w:rFonts w:ascii="Ariel" w:eastAsia="Times New Roman" w:hAnsi="Ariel" w:cs="Times New Roman"/>
          <w:kern w:val="0"/>
          <w:sz w:val="22"/>
          <w:szCs w:val="22"/>
          <w:lang w:eastAsia="en-GB"/>
          <w14:ligatures w14:val="none"/>
        </w:rPr>
        <w:t>" campaign and early-intervention health programs in Australia have effectively addressed young adults susceptible to alcohol misuse. In New Zealand, alcohol harm reduction projects encompass culturally specific support for Māori populations, addressing persistent disparities (Prince et al., 2022). Notwithstanding these achievements, numerous low- and middle-income nations have obstacles including inadequate healthcare infrastructure, diminished understanding of dementia symptoms, and economic strains that intensify excessive alcohol consumption.</w:t>
      </w:r>
    </w:p>
    <w:p w14:paraId="161DF9E5" w14:textId="77777777"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p>
    <w:p w14:paraId="5A057FED" w14:textId="77777777"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Global data collectively indicates that cultural norms, regulatory frameworks, and socioeconomic situations affect outcomes related to alcohol-induced dementia. Significantly, international studies indicate that although regulatory interventions might mitigate alcohol-related harm, structural inequities persist as primary predictors of risk.</w:t>
      </w:r>
    </w:p>
    <w:p w14:paraId="1A26D035" w14:textId="08E05840" w:rsidR="00D30B36" w:rsidRPr="00D30B36"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2.5 National/Local UK Context </w:t>
      </w:r>
    </w:p>
    <w:p w14:paraId="5E0E49A2"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UK Perspective</w:t>
      </w:r>
    </w:p>
    <w:p w14:paraId="061AEB0A" w14:textId="068CA111"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 xml:space="preserve">In the UK, alcohol abuse is a significant health and social challenge. The Office for Health Improvement and Disparities (OHID) </w:t>
      </w:r>
      <w:r w:rsidRPr="00E754F7">
        <w:rPr>
          <w:rFonts w:ascii="Ariel" w:eastAsia="Times New Roman" w:hAnsi="Ariel" w:cs="Times New Roman"/>
          <w:kern w:val="0"/>
          <w:sz w:val="22"/>
          <w:szCs w:val="22"/>
          <w:lang w:eastAsia="en-GB"/>
          <w14:ligatures w14:val="none"/>
        </w:rPr>
        <w:t>report</w:t>
      </w:r>
      <w:r w:rsidRPr="00237FE6">
        <w:rPr>
          <w:rFonts w:ascii="Ariel" w:eastAsia="Times New Roman" w:hAnsi="Ariel" w:cs="Times New Roman"/>
          <w:kern w:val="0"/>
          <w:sz w:val="22"/>
          <w:szCs w:val="22"/>
          <w:lang w:eastAsia="en-GB"/>
          <w14:ligatures w14:val="none"/>
        </w:rPr>
        <w:t xml:space="preserve"> considerable disparities in alcohol-related harm: men in the lowest socioeconomic quintile are four times more likely to die from alcohol-related causes compared to those in the most affluent groups (OHID, 2022). These differences highlight the correlation among deprivation, drinking </w:t>
      </w:r>
      <w:r w:rsidRPr="00E754F7">
        <w:rPr>
          <w:rFonts w:ascii="Ariel" w:eastAsia="Times New Roman" w:hAnsi="Ariel" w:cs="Times New Roman"/>
          <w:kern w:val="0"/>
          <w:sz w:val="22"/>
          <w:szCs w:val="22"/>
          <w:lang w:eastAsia="en-GB"/>
          <w14:ligatures w14:val="none"/>
        </w:rPr>
        <w:t>behaviours</w:t>
      </w:r>
      <w:r w:rsidRPr="00237FE6">
        <w:rPr>
          <w:rFonts w:ascii="Ariel" w:eastAsia="Times New Roman" w:hAnsi="Ariel" w:cs="Times New Roman"/>
          <w:kern w:val="0"/>
          <w:sz w:val="22"/>
          <w:szCs w:val="22"/>
          <w:lang w:eastAsia="en-GB"/>
          <w14:ligatures w14:val="none"/>
        </w:rPr>
        <w:t>, and health outcomes, since marginalized people experience elevated stress levels, substandard living circumstances, and restricted access to healthcare.</w:t>
      </w:r>
    </w:p>
    <w:p w14:paraId="17E6CAEE" w14:textId="77777777" w:rsidR="00237FE6" w:rsidRPr="00E754F7"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Policy and Regulation</w:t>
      </w:r>
    </w:p>
    <w:p w14:paraId="08298989" w14:textId="551E503C" w:rsidR="00237FE6" w:rsidRPr="00237FE6" w:rsidRDefault="00237FE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237FE6">
        <w:rPr>
          <w:rFonts w:ascii="Ariel" w:eastAsia="Times New Roman" w:hAnsi="Ariel" w:cs="Times New Roman"/>
          <w:kern w:val="0"/>
          <w:sz w:val="22"/>
          <w:szCs w:val="22"/>
          <w:lang w:eastAsia="en-GB"/>
          <w14:ligatures w14:val="none"/>
        </w:rPr>
        <w:t>The United Kingdom has enacted many regulations to alleviate alcohol-related harm. Minimum Unit Pricing (MUP), implemented in Scotland in 2018, is among the most impactful measures. Data suggests that Minimum Unit Pricing (MUP) has diminished alcohol-related hospitalizations and mortality, especially among heavy drinkers residing in disadvantaged regions (O’Donnell et al., 2019</w:t>
      </w:r>
      <w:r w:rsidR="00C077BC" w:rsidRPr="00E754F7">
        <w:rPr>
          <w:rFonts w:ascii="Ariel" w:eastAsia="Times New Roman" w:hAnsi="Ariel" w:cs="Times New Roman"/>
          <w:kern w:val="0"/>
          <w:sz w:val="22"/>
          <w:szCs w:val="22"/>
          <w:lang w:eastAsia="en-GB"/>
          <w14:ligatures w14:val="none"/>
        </w:rPr>
        <w:t>;</w:t>
      </w:r>
      <w:r w:rsidR="00C077BC" w:rsidRPr="00E754F7">
        <w:rPr>
          <w:rFonts w:ascii="Ariel" w:eastAsia="Times New Roman" w:hAnsi="Ariel" w:cs="Segoe UI"/>
          <w:kern w:val="0"/>
          <w:sz w:val="22"/>
          <w:szCs w:val="22"/>
          <w:lang w:eastAsia="en-GB"/>
          <w14:ligatures w14:val="none"/>
        </w:rPr>
        <w:t xml:space="preserve"> </w:t>
      </w:r>
      <w:r w:rsidR="00C077BC" w:rsidRPr="00CC109C">
        <w:rPr>
          <w:rFonts w:ascii="Ariel" w:eastAsia="Times New Roman" w:hAnsi="Ariel" w:cs="Segoe UI"/>
          <w:kern w:val="0"/>
          <w:sz w:val="22"/>
          <w:szCs w:val="22"/>
          <w:lang w:eastAsia="en-GB"/>
          <w14:ligatures w14:val="none"/>
        </w:rPr>
        <w:t>Guindon, 2025</w:t>
      </w:r>
      <w:r w:rsidRPr="00237FE6">
        <w:rPr>
          <w:rFonts w:ascii="Ariel" w:eastAsia="Times New Roman" w:hAnsi="Ariel" w:cs="Times New Roman"/>
          <w:kern w:val="0"/>
          <w:sz w:val="22"/>
          <w:szCs w:val="22"/>
          <w:lang w:eastAsia="en-GB"/>
          <w14:ligatures w14:val="none"/>
        </w:rPr>
        <w:t>). Despite the absence of MUP implementation in England or Wales, reviews continually underscore its potential to mitigate health disparities.</w:t>
      </w:r>
    </w:p>
    <w:p w14:paraId="6AB6966E" w14:textId="68C68B75"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 xml:space="preserve">The NHS Long Term Plan and other national dementia policies underscore the importance of early diagnosis, coordinated care, and the mitigation of health disparities. Studies indicate that </w:t>
      </w:r>
      <w:r w:rsidRPr="00237FE6">
        <w:rPr>
          <w:rFonts w:ascii="Ariel" w:eastAsia="Times New Roman" w:hAnsi="Ariel" w:cs="Times New Roman"/>
          <w:kern w:val="0"/>
          <w:sz w:val="22"/>
          <w:szCs w:val="22"/>
          <w:lang w:eastAsia="en-GB"/>
          <w14:ligatures w14:val="none"/>
        </w:rPr>
        <w:lastRenderedPageBreak/>
        <w:t xml:space="preserve">individuals from underprivileged origins are at a heightened risk of developing dementia at an earlier age, while concurrently being less likely to obtain prompt diagnoses or access specialized assistance </w:t>
      </w:r>
      <w:r w:rsidR="00C30373" w:rsidRPr="00E754F7">
        <w:rPr>
          <w:rFonts w:ascii="Ariel" w:eastAsia="Times New Roman" w:hAnsi="Ariel" w:cs="Times New Roman"/>
          <w:kern w:val="0"/>
          <w:sz w:val="22"/>
          <w:szCs w:val="22"/>
          <w:lang w:eastAsia="en-GB"/>
          <w14:ligatures w14:val="none"/>
        </w:rPr>
        <w:t>(</w:t>
      </w:r>
      <w:r w:rsidR="00067D83" w:rsidRPr="00AE77C0">
        <w:rPr>
          <w:rFonts w:ascii="Ariel" w:eastAsia="Times New Roman" w:hAnsi="Ariel" w:cs="Segoe UI"/>
          <w:kern w:val="0"/>
          <w:sz w:val="22"/>
          <w:szCs w:val="22"/>
          <w:lang w:eastAsia="en-GB"/>
          <w14:ligatures w14:val="none"/>
        </w:rPr>
        <w:t xml:space="preserve">Trani, </w:t>
      </w:r>
      <w:r w:rsidR="00C30373" w:rsidRPr="00E754F7">
        <w:rPr>
          <w:rFonts w:ascii="Ariel" w:eastAsia="Times New Roman" w:hAnsi="Ariel" w:cs="Segoe UI"/>
          <w:kern w:val="0"/>
          <w:sz w:val="22"/>
          <w:szCs w:val="22"/>
          <w:lang w:eastAsia="en-GB"/>
          <w14:ligatures w14:val="none"/>
        </w:rPr>
        <w:t xml:space="preserve">et al., </w:t>
      </w:r>
      <w:r w:rsidR="00067D83" w:rsidRPr="00AE77C0">
        <w:rPr>
          <w:rFonts w:ascii="Ariel" w:eastAsia="Times New Roman" w:hAnsi="Ariel" w:cs="Segoe UI"/>
          <w:kern w:val="0"/>
          <w:sz w:val="22"/>
          <w:szCs w:val="22"/>
          <w:lang w:eastAsia="en-GB"/>
          <w14:ligatures w14:val="none"/>
        </w:rPr>
        <w:t>2025</w:t>
      </w:r>
      <w:r w:rsidR="00C30373" w:rsidRPr="00E754F7">
        <w:rPr>
          <w:rFonts w:ascii="Ariel" w:eastAsia="Times New Roman" w:hAnsi="Ariel" w:cs="Segoe UI"/>
          <w:kern w:val="0"/>
          <w:sz w:val="22"/>
          <w:szCs w:val="22"/>
          <w:lang w:eastAsia="en-GB"/>
          <w14:ligatures w14:val="none"/>
        </w:rPr>
        <w:t xml:space="preserve">; </w:t>
      </w:r>
      <w:r w:rsidRPr="00237FE6">
        <w:rPr>
          <w:rFonts w:ascii="Ariel" w:eastAsia="Times New Roman" w:hAnsi="Ariel" w:cs="Times New Roman"/>
          <w:kern w:val="0"/>
          <w:sz w:val="22"/>
          <w:szCs w:val="22"/>
          <w:lang w:eastAsia="en-GB"/>
          <w14:ligatures w14:val="none"/>
        </w:rPr>
        <w:t>Lai et al., 2023). This establishes a cycle wherein socioeconomic disadvantage amplifies risk while diminishing access to care opportunities.</w:t>
      </w:r>
    </w:p>
    <w:p w14:paraId="18C90507" w14:textId="77777777" w:rsidR="00D30B36" w:rsidRPr="00D30B36" w:rsidRDefault="00D30B36" w:rsidP="00E754F7">
      <w:pPr>
        <w:spacing w:before="100" w:beforeAutospacing="1" w:after="100" w:afterAutospacing="1" w:line="360" w:lineRule="auto"/>
        <w:outlineLvl w:val="2"/>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Local Context</w:t>
      </w:r>
    </w:p>
    <w:p w14:paraId="37984AC2" w14:textId="790F5FE5"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 xml:space="preserve">Numerous local authorities have implemented alcohol harm reduction initiatives, frequently incorporating quick treatments, community programs, and public health campaigns. The </w:t>
      </w:r>
      <w:r w:rsidR="00CB072E" w:rsidRPr="00E754F7">
        <w:rPr>
          <w:rFonts w:ascii="Ariel" w:eastAsia="Times New Roman" w:hAnsi="Ariel" w:cs="Times New Roman"/>
          <w:kern w:val="0"/>
          <w:sz w:val="22"/>
          <w:szCs w:val="22"/>
          <w:lang w:eastAsia="en-GB"/>
          <w14:ligatures w14:val="none"/>
        </w:rPr>
        <w:t xml:space="preserve">NHS South, Central and West Commissioning Support Unit, </w:t>
      </w:r>
      <w:r w:rsidR="008A6C6E" w:rsidRPr="00E754F7">
        <w:rPr>
          <w:rFonts w:ascii="Ariel" w:eastAsia="Times New Roman" w:hAnsi="Ariel" w:cs="Times New Roman"/>
          <w:kern w:val="0"/>
          <w:sz w:val="22"/>
          <w:szCs w:val="22"/>
          <w:lang w:eastAsia="en-GB"/>
          <w14:ligatures w14:val="none"/>
        </w:rPr>
        <w:t>(</w:t>
      </w:r>
      <w:r w:rsidR="00CB072E" w:rsidRPr="00E754F7">
        <w:rPr>
          <w:rFonts w:ascii="Ariel" w:eastAsia="Times New Roman" w:hAnsi="Ariel" w:cs="Times New Roman"/>
          <w:kern w:val="0"/>
          <w:sz w:val="22"/>
          <w:szCs w:val="22"/>
          <w:lang w:eastAsia="en-GB"/>
          <w14:ligatures w14:val="none"/>
        </w:rPr>
        <w:t>2024</w:t>
      </w:r>
      <w:r w:rsidR="008A6C6E" w:rsidRPr="00E754F7">
        <w:rPr>
          <w:rFonts w:ascii="Ariel" w:eastAsia="Times New Roman" w:hAnsi="Ariel" w:cs="Times New Roman"/>
          <w:kern w:val="0"/>
          <w:sz w:val="22"/>
          <w:szCs w:val="22"/>
          <w:lang w:eastAsia="en-GB"/>
          <w14:ligatures w14:val="none"/>
        </w:rPr>
        <w:t xml:space="preserve">) </w:t>
      </w:r>
      <w:r w:rsidRPr="00237FE6">
        <w:rPr>
          <w:rFonts w:ascii="Ariel" w:eastAsia="Times New Roman" w:hAnsi="Ariel" w:cs="Times New Roman"/>
          <w:kern w:val="0"/>
          <w:sz w:val="22"/>
          <w:szCs w:val="22"/>
          <w:lang w:eastAsia="en-GB"/>
          <w14:ligatures w14:val="none"/>
        </w:rPr>
        <w:t>campaign promotes frontline personnel to recognize persons susceptible to detrimental alcohol consumption. Local services sometimes encounter funding limitations, staffing deficiencies, and disjointed treatment pathways, which hinder the efficacy of these programs (Livingston et al., 2020).</w:t>
      </w:r>
    </w:p>
    <w:p w14:paraId="37E4F066" w14:textId="77777777" w:rsidR="00237FE6" w:rsidRPr="00E754F7" w:rsidRDefault="00237FE6" w:rsidP="00E754F7">
      <w:pPr>
        <w:spacing w:after="0" w:line="360" w:lineRule="auto"/>
        <w:rPr>
          <w:rFonts w:ascii="Ariel" w:eastAsia="Times New Roman" w:hAnsi="Ariel" w:cs="Times New Roman"/>
          <w:kern w:val="0"/>
          <w:sz w:val="22"/>
          <w:szCs w:val="22"/>
          <w:lang w:eastAsia="en-GB"/>
          <w14:ligatures w14:val="none"/>
        </w:rPr>
      </w:pPr>
    </w:p>
    <w:p w14:paraId="777943E6" w14:textId="058419F8" w:rsidR="00237FE6" w:rsidRPr="00E754F7"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In certain areas, especially in Northern England and parts of Scotland, local efforts have tackled alcohol consumption in conjunction with poverty alleviation strategies, including community wellbeing hubs, focused youth interventions, and integrated mental health and substance misuse services. Notwithstanding these initiatives, regional disparities endure, with impoverished urban and rural locales consistently exhibiting elevated rates of alcohol-related damage and earlier development of dementia.</w:t>
      </w:r>
    </w:p>
    <w:p w14:paraId="5DD56310" w14:textId="77777777"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p>
    <w:p w14:paraId="0D843B01" w14:textId="77777777"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Despite advancements in alcohol legislation and dementia awareness, socioeconomic disparities continue to significantly influence risk in the UK. Mitigating these discrepancies necessitates synchronized public health, social care, and community-oriented strategies.</w:t>
      </w:r>
    </w:p>
    <w:p w14:paraId="0FC8D725" w14:textId="030C8438" w:rsidR="00D30B36" w:rsidRPr="00D30B36" w:rsidRDefault="00D30B36" w:rsidP="00E754F7">
      <w:pPr>
        <w:spacing w:before="100" w:beforeAutospacing="1" w:after="100" w:afterAutospacing="1" w:line="360" w:lineRule="auto"/>
        <w:outlineLvl w:val="1"/>
        <w:rPr>
          <w:rFonts w:ascii="Ariel" w:eastAsia="Times New Roman" w:hAnsi="Ariel" w:cs="Times New Roman"/>
          <w:b/>
          <w:bCs/>
          <w:kern w:val="0"/>
          <w:sz w:val="22"/>
          <w:szCs w:val="22"/>
          <w:lang w:eastAsia="en-GB"/>
          <w14:ligatures w14:val="none"/>
        </w:rPr>
      </w:pPr>
      <w:r w:rsidRPr="00D30B36">
        <w:rPr>
          <w:rFonts w:ascii="Ariel" w:eastAsia="Times New Roman" w:hAnsi="Ariel" w:cs="Times New Roman"/>
          <w:b/>
          <w:bCs/>
          <w:kern w:val="0"/>
          <w:sz w:val="22"/>
          <w:szCs w:val="22"/>
          <w:lang w:eastAsia="en-GB"/>
          <w14:ligatures w14:val="none"/>
        </w:rPr>
        <w:t xml:space="preserve">2.6 Conclusion </w:t>
      </w:r>
    </w:p>
    <w:p w14:paraId="55511070" w14:textId="78001E59" w:rsidR="00237FE6" w:rsidRPr="00237FE6" w:rsidRDefault="00237FE6" w:rsidP="00E754F7">
      <w:pPr>
        <w:spacing w:after="0" w:line="360" w:lineRule="auto"/>
        <w:rPr>
          <w:rFonts w:ascii="Ariel" w:eastAsia="Times New Roman" w:hAnsi="Ariel" w:cs="Times New Roman"/>
          <w:kern w:val="0"/>
          <w:sz w:val="22"/>
          <w:szCs w:val="22"/>
          <w:lang w:eastAsia="en-GB"/>
          <w14:ligatures w14:val="none"/>
        </w:rPr>
      </w:pPr>
      <w:r w:rsidRPr="00237FE6">
        <w:rPr>
          <w:rFonts w:ascii="Ariel" w:eastAsia="Times New Roman" w:hAnsi="Ariel" w:cs="Times New Roman"/>
          <w:kern w:val="0"/>
          <w:sz w:val="22"/>
          <w:szCs w:val="22"/>
          <w:lang w:eastAsia="en-GB"/>
          <w14:ligatures w14:val="none"/>
        </w:rPr>
        <w:t xml:space="preserve">This chapter has </w:t>
      </w:r>
      <w:r w:rsidR="004868E9" w:rsidRPr="00E754F7">
        <w:rPr>
          <w:rFonts w:ascii="Ariel" w:eastAsia="Times New Roman" w:hAnsi="Ariel" w:cs="Times New Roman"/>
          <w:kern w:val="0"/>
          <w:sz w:val="22"/>
          <w:szCs w:val="22"/>
          <w:lang w:eastAsia="en-GB"/>
          <w14:ligatures w14:val="none"/>
        </w:rPr>
        <w:t>analysed</w:t>
      </w:r>
      <w:r w:rsidRPr="00237FE6">
        <w:rPr>
          <w:rFonts w:ascii="Ariel" w:eastAsia="Times New Roman" w:hAnsi="Ariel" w:cs="Times New Roman"/>
          <w:kern w:val="0"/>
          <w:sz w:val="22"/>
          <w:szCs w:val="22"/>
          <w:lang w:eastAsia="en-GB"/>
          <w14:ligatures w14:val="none"/>
        </w:rPr>
        <w:t xml:space="preserve"> the historical evolution, theoretical underpinnings, and both worldwide and UK contexts of alcohol usage, socioeconomic deprivation, and young-onset dementia. Historically, research has evolved from initial clinical observations of alcohol-induced brain injury to modern population-based studies that recognize alcohol as a significant modifiable risk factor. Theoretical frameworks, including as the biopsychosocial model, cognitive reserve, and life-course theory, provide significant insights into the interplay of biological, social, and environmental factors that influence dementia risk. Global comparisons demonstrate varied legislative strategies, however the UK scenario underscores enduring socioeconomic disparities that contribute to excessive alcohol-related damage and premature onset of dementia.</w:t>
      </w:r>
    </w:p>
    <w:p w14:paraId="5A12D4F2" w14:textId="77777777" w:rsidR="004F23DA" w:rsidRPr="00E754F7" w:rsidRDefault="004F23DA" w:rsidP="00E754F7">
      <w:pPr>
        <w:spacing w:after="0" w:line="360" w:lineRule="auto"/>
        <w:rPr>
          <w:rFonts w:ascii="Ariel" w:eastAsia="Times New Roman" w:hAnsi="Ariel" w:cs="Times New Roman"/>
          <w:kern w:val="0"/>
          <w:sz w:val="22"/>
          <w:szCs w:val="22"/>
          <w:lang w:eastAsia="en-GB"/>
          <w14:ligatures w14:val="none"/>
        </w:rPr>
      </w:pPr>
    </w:p>
    <w:p w14:paraId="19A4CC79" w14:textId="1DF4F976" w:rsidR="00011717" w:rsidRPr="00E754F7" w:rsidRDefault="00011717" w:rsidP="00E754F7">
      <w:pPr>
        <w:spacing w:after="0" w:line="360" w:lineRule="auto"/>
        <w:rPr>
          <w:rFonts w:ascii="Ariel" w:eastAsia="Times New Roman" w:hAnsi="Ariel" w:cs="Times New Roman"/>
          <w:kern w:val="0"/>
          <w:sz w:val="22"/>
          <w:szCs w:val="22"/>
          <w:lang w:eastAsia="en-GB"/>
          <w14:ligatures w14:val="none"/>
        </w:rPr>
      </w:pPr>
      <w:r w:rsidRPr="00011717">
        <w:rPr>
          <w:rFonts w:ascii="Ariel" w:eastAsia="Times New Roman" w:hAnsi="Ariel" w:cs="Times New Roman"/>
          <w:kern w:val="0"/>
          <w:sz w:val="22"/>
          <w:szCs w:val="22"/>
          <w:lang w:eastAsia="en-GB"/>
          <w14:ligatures w14:val="none"/>
        </w:rPr>
        <w:t>Collectively, these viewpoints establish a thorough basis for the methodological approach presented in Chapter 3. Comprehending the intricate interaction of historical patterns, theory, and policy is crucial for formulating effective qualitative and quantitative methodologies to examine the correlation between alcohol intake, deprivation, and YOD.</w:t>
      </w:r>
    </w:p>
    <w:p w14:paraId="336D131C" w14:textId="77777777" w:rsidR="00224BAD" w:rsidRPr="00E754F7" w:rsidRDefault="00224BAD" w:rsidP="00E754F7">
      <w:pPr>
        <w:spacing w:after="0" w:line="360" w:lineRule="auto"/>
        <w:rPr>
          <w:rFonts w:ascii="Ariel" w:eastAsia="Times New Roman" w:hAnsi="Ariel" w:cs="Times New Roman"/>
          <w:kern w:val="0"/>
          <w:sz w:val="22"/>
          <w:szCs w:val="22"/>
          <w:lang w:eastAsia="en-GB"/>
          <w14:ligatures w14:val="none"/>
        </w:rPr>
      </w:pPr>
    </w:p>
    <w:p w14:paraId="010AE4CB" w14:textId="77777777" w:rsidR="007C0F62" w:rsidRPr="00E754F7" w:rsidRDefault="007C0F62" w:rsidP="00E754F7">
      <w:pPr>
        <w:spacing w:before="100" w:beforeAutospacing="1" w:after="100" w:afterAutospacing="1" w:line="360" w:lineRule="auto"/>
        <w:outlineLvl w:val="0"/>
        <w:rPr>
          <w:rFonts w:ascii="Ariel" w:eastAsia="Times New Roman" w:hAnsi="Ariel" w:cs="Times New Roman"/>
          <w:b/>
          <w:bCs/>
          <w:kern w:val="36"/>
          <w:sz w:val="22"/>
          <w:szCs w:val="22"/>
          <w:lang w:eastAsia="en-GB"/>
          <w14:ligatures w14:val="none"/>
        </w:rPr>
      </w:pPr>
    </w:p>
    <w:p w14:paraId="56381A87"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6561AB87"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2BE216B4"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26E6410B"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1C116670"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51C937B0"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184F49C7"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625458A5"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321B4C8C"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2B9475CF"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17181331"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00B2D6AD" w14:textId="77777777" w:rsidR="007C0F62" w:rsidRDefault="007C0F62"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41DA370D"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77B82821"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68E66D10"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023D4708"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794F3D34"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4698B9B7"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27BC948D" w14:textId="77777777" w:rsidR="009B41CB" w:rsidRDefault="009B41CB"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1C85224E" w14:textId="5FFE5BDC" w:rsidR="004F23DA" w:rsidRDefault="004F23DA" w:rsidP="004F23DA">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62313E">
        <w:rPr>
          <w:rFonts w:ascii="Times New Roman" w:eastAsia="Times New Roman" w:hAnsi="Times New Roman" w:cs="Times New Roman"/>
          <w:b/>
          <w:bCs/>
          <w:kern w:val="36"/>
          <w:lang w:eastAsia="en-GB"/>
          <w14:ligatures w14:val="none"/>
        </w:rPr>
        <w:lastRenderedPageBreak/>
        <w:t xml:space="preserve">Reference List </w:t>
      </w:r>
    </w:p>
    <w:p w14:paraId="51C5EB34" w14:textId="77777777" w:rsidR="006166E9" w:rsidRDefault="006166E9" w:rsidP="004F23DA">
      <w:pPr>
        <w:spacing w:before="100" w:beforeAutospacing="1" w:after="100" w:afterAutospacing="1" w:line="240" w:lineRule="auto"/>
        <w:rPr>
          <w:rFonts w:ascii="Segoe UI" w:eastAsia="Times New Roman" w:hAnsi="Segoe UI" w:cs="Segoe UI"/>
          <w:kern w:val="0"/>
          <w:sz w:val="21"/>
          <w:szCs w:val="21"/>
          <w:lang w:eastAsia="en-GB"/>
          <w14:ligatures w14:val="none"/>
        </w:rPr>
      </w:pPr>
      <w:r w:rsidRPr="0062313E">
        <w:rPr>
          <w:rFonts w:ascii="Times New Roman" w:eastAsia="Times New Roman" w:hAnsi="Times New Roman" w:cs="Times New Roman"/>
          <w:kern w:val="0"/>
          <w:lang w:eastAsia="en-GB"/>
          <w14:ligatures w14:val="none"/>
        </w:rPr>
        <w:t xml:space="preserve">Alzheimer’s Disease International (ADI) (2023) </w:t>
      </w:r>
      <w:r>
        <w:rPr>
          <w:rFonts w:ascii="Times New Roman" w:eastAsia="Times New Roman" w:hAnsi="Times New Roman" w:cs="Times New Roman"/>
          <w:kern w:val="0"/>
          <w:lang w:eastAsia="en-GB"/>
          <w14:ligatures w14:val="none"/>
        </w:rPr>
        <w:t>‘</w:t>
      </w:r>
      <w:r w:rsidRPr="0062313E">
        <w:rPr>
          <w:rFonts w:ascii="Times New Roman" w:eastAsia="Times New Roman" w:hAnsi="Times New Roman" w:cs="Times New Roman"/>
          <w:i/>
          <w:iCs/>
          <w:kern w:val="0"/>
          <w:lang w:eastAsia="en-GB"/>
          <w14:ligatures w14:val="none"/>
        </w:rPr>
        <w:t>World Alzheimer Report 2023</w:t>
      </w:r>
      <w:r>
        <w:rPr>
          <w:rFonts w:ascii="Times New Roman" w:eastAsia="Times New Roman" w:hAnsi="Times New Roman" w:cs="Times New Roman"/>
          <w:i/>
          <w:iCs/>
          <w:kern w:val="0"/>
          <w:lang w:eastAsia="en-GB"/>
          <w14:ligatures w14:val="none"/>
        </w:rPr>
        <w:t>’</w:t>
      </w:r>
      <w:r w:rsidRPr="0062313E">
        <w:rPr>
          <w:rFonts w:ascii="Times New Roman" w:eastAsia="Times New Roman" w:hAnsi="Times New Roman" w:cs="Times New Roman"/>
          <w:kern w:val="0"/>
          <w:lang w:eastAsia="en-GB"/>
          <w14:ligatures w14:val="none"/>
        </w:rPr>
        <w:t>.</w:t>
      </w:r>
      <w:r w:rsidRPr="0062313E">
        <w:rPr>
          <w:rFonts w:ascii="Times New Roman" w:eastAsia="Times New Roman" w:hAnsi="Times New Roman" w:cs="Times New Roman"/>
          <w:kern w:val="0"/>
          <w:lang w:eastAsia="en-GB"/>
          <w14:ligatures w14:val="none"/>
        </w:rPr>
        <w:br/>
        <w:t xml:space="preserve">Available at: </w:t>
      </w:r>
      <w:hyperlink r:id="rId6" w:tgtFrame="_new" w:history="1">
        <w:r w:rsidRPr="0062313E">
          <w:rPr>
            <w:rFonts w:ascii="Times New Roman" w:eastAsia="Times New Roman" w:hAnsi="Times New Roman" w:cs="Times New Roman"/>
            <w:color w:val="0000FF"/>
            <w:kern w:val="0"/>
            <w:u w:val="single"/>
            <w:lang w:eastAsia="en-GB"/>
            <w14:ligatures w14:val="none"/>
          </w:rPr>
          <w:t>https://www.alzint.org/resource/world-alzheimer-report-2023/</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4 December 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30DD0CA6" w14:textId="77777777" w:rsidR="006166E9" w:rsidRPr="005806F5" w:rsidRDefault="006166E9" w:rsidP="005806F5">
      <w:pPr>
        <w:spacing w:after="0" w:line="300" w:lineRule="atLeast"/>
        <w:rPr>
          <w:rFonts w:ascii="Segoe UI" w:eastAsia="Times New Roman" w:hAnsi="Segoe UI" w:cs="Segoe UI"/>
          <w:kern w:val="0"/>
          <w:sz w:val="21"/>
          <w:szCs w:val="21"/>
          <w:lang w:eastAsia="en-GB"/>
          <w14:ligatures w14:val="none"/>
        </w:rPr>
      </w:pPr>
      <w:r w:rsidRPr="005806F5">
        <w:rPr>
          <w:rFonts w:ascii="Segoe UI" w:eastAsia="Times New Roman" w:hAnsi="Segoe UI" w:cs="Segoe UI"/>
          <w:kern w:val="0"/>
          <w:sz w:val="21"/>
          <w:szCs w:val="21"/>
          <w:lang w:eastAsia="en-GB"/>
          <w14:ligatures w14:val="none"/>
        </w:rPr>
        <w:t xml:space="preserve">Alzheimer’s Society (2025) </w:t>
      </w:r>
      <w:r w:rsidRPr="005806F5">
        <w:rPr>
          <w:rFonts w:ascii="Segoe UI" w:eastAsia="Times New Roman" w:hAnsi="Segoe UI" w:cs="Segoe UI"/>
          <w:i/>
          <w:iCs/>
          <w:kern w:val="0"/>
          <w:sz w:val="21"/>
          <w:szCs w:val="21"/>
          <w:lang w:eastAsia="en-GB"/>
          <w14:ligatures w14:val="none"/>
        </w:rPr>
        <w:t>Alcohol and the risk of dementia</w:t>
      </w:r>
      <w:r w:rsidRPr="005806F5">
        <w:rPr>
          <w:rFonts w:ascii="Segoe UI" w:eastAsia="Times New Roman" w:hAnsi="Segoe UI" w:cs="Segoe UI"/>
          <w:kern w:val="0"/>
          <w:sz w:val="21"/>
          <w:szCs w:val="21"/>
          <w:lang w:eastAsia="en-GB"/>
          <w14:ligatures w14:val="none"/>
        </w:rPr>
        <w:t xml:space="preserve">. Available at: </w:t>
      </w:r>
      <w:hyperlink r:id="rId7" w:tgtFrame="_blank" w:history="1">
        <w:r w:rsidRPr="005806F5">
          <w:rPr>
            <w:rFonts w:ascii="Segoe UI" w:eastAsia="Times New Roman" w:hAnsi="Segoe UI" w:cs="Segoe UI"/>
            <w:color w:val="464FEB"/>
            <w:kern w:val="0"/>
            <w:sz w:val="21"/>
            <w:szCs w:val="21"/>
            <w:lang w:eastAsia="en-GB"/>
            <w14:ligatures w14:val="none"/>
          </w:rPr>
          <w:t>https://www.alzheimers.org.uk/about-dementia/managing-the-risk-of-dementia/reduce-your-risk-of-dementia/alcohol</w:t>
        </w:r>
      </w:hyperlink>
      <w:r w:rsidRPr="005806F5">
        <w:rPr>
          <w:rFonts w:ascii="Segoe UI" w:eastAsia="Times New Roman" w:hAnsi="Segoe UI" w:cs="Segoe UI"/>
          <w:kern w:val="0"/>
          <w:sz w:val="21"/>
          <w:szCs w:val="21"/>
          <w:lang w:eastAsia="en-GB"/>
          <w14:ligatures w14:val="none"/>
        </w:rPr>
        <w:t xml:space="preserve"> (Accessed: </w:t>
      </w:r>
      <w:r>
        <w:rPr>
          <w:rFonts w:ascii="Segoe UI" w:eastAsia="Times New Roman" w:hAnsi="Segoe UI" w:cs="Segoe UI"/>
          <w:kern w:val="0"/>
          <w:sz w:val="21"/>
          <w:szCs w:val="21"/>
          <w:lang w:eastAsia="en-GB"/>
          <w14:ligatures w14:val="none"/>
        </w:rPr>
        <w:t>2</w:t>
      </w:r>
      <w:r w:rsidRPr="005806F5">
        <w:rPr>
          <w:rFonts w:ascii="Segoe UI" w:eastAsia="Times New Roman" w:hAnsi="Segoe UI" w:cs="Segoe UI"/>
          <w:kern w:val="0"/>
          <w:sz w:val="21"/>
          <w:szCs w:val="21"/>
          <w:lang w:eastAsia="en-GB"/>
          <w14:ligatures w14:val="none"/>
        </w:rPr>
        <w:t xml:space="preserve"> December 2025).</w:t>
      </w:r>
    </w:p>
    <w:p w14:paraId="2B3AFF38" w14:textId="77777777" w:rsidR="006166E9" w:rsidRDefault="006166E9" w:rsidP="004A2F7F">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46AA">
        <w:rPr>
          <w:rFonts w:ascii="Arial" w:eastAsia="Times New Roman" w:hAnsi="Arial" w:cs="Arial"/>
          <w:kern w:val="0"/>
          <w:sz w:val="22"/>
          <w:szCs w:val="22"/>
          <w:lang w:eastAsia="en-GB"/>
          <w14:ligatures w14:val="none"/>
        </w:rPr>
        <w:t xml:space="preserve">Anstey, K. J., Mack, H. A., &amp; </w:t>
      </w:r>
      <w:proofErr w:type="spellStart"/>
      <w:r w:rsidRPr="004A46AA">
        <w:rPr>
          <w:rFonts w:ascii="Arial" w:eastAsia="Times New Roman" w:hAnsi="Arial" w:cs="Arial"/>
          <w:kern w:val="0"/>
          <w:sz w:val="22"/>
          <w:szCs w:val="22"/>
          <w:lang w:eastAsia="en-GB"/>
          <w14:ligatures w14:val="none"/>
        </w:rPr>
        <w:t>Cherbuin</w:t>
      </w:r>
      <w:proofErr w:type="spellEnd"/>
      <w:r w:rsidRPr="004A46AA">
        <w:rPr>
          <w:rFonts w:ascii="Arial" w:eastAsia="Times New Roman" w:hAnsi="Arial" w:cs="Arial"/>
          <w:kern w:val="0"/>
          <w:sz w:val="22"/>
          <w:szCs w:val="22"/>
          <w:lang w:eastAsia="en-GB"/>
          <w14:ligatures w14:val="none"/>
        </w:rPr>
        <w:t xml:space="preserve">, N. (2009)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Alcohol consumption as a risk factor for dementia and cognitive decline: Meta-analysis of prospective studies</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 </w:t>
      </w:r>
      <w:r w:rsidRPr="004A2F7F">
        <w:rPr>
          <w:rFonts w:ascii="Arial" w:eastAsia="Times New Roman" w:hAnsi="Arial" w:cs="Arial"/>
          <w:i/>
          <w:iCs/>
          <w:kern w:val="0"/>
          <w:sz w:val="22"/>
          <w:szCs w:val="22"/>
          <w:lang w:eastAsia="en-GB"/>
          <w14:ligatures w14:val="none"/>
        </w:rPr>
        <w:t>American Journal of Geriatric Psychiatry</w:t>
      </w:r>
      <w:r w:rsidRPr="004A46AA">
        <w:rPr>
          <w:rFonts w:ascii="Arial" w:eastAsia="Times New Roman" w:hAnsi="Arial" w:cs="Arial"/>
          <w:kern w:val="0"/>
          <w:sz w:val="22"/>
          <w:szCs w:val="22"/>
          <w:lang w:eastAsia="en-GB"/>
          <w14:ligatures w14:val="none"/>
        </w:rPr>
        <w:t xml:space="preserve">, 17(7), 542–555. Available at: </w:t>
      </w:r>
      <w:hyperlink r:id="rId8" w:history="1">
        <w:r w:rsidRPr="004A46AA">
          <w:rPr>
            <w:rStyle w:val="Hyperlink"/>
            <w:rFonts w:ascii="Arial" w:eastAsia="Times New Roman" w:hAnsi="Arial" w:cs="Arial"/>
            <w:kern w:val="0"/>
            <w:sz w:val="22"/>
            <w:szCs w:val="22"/>
            <w:lang w:eastAsia="en-GB"/>
            <w14:ligatures w14:val="none"/>
          </w:rPr>
          <w:t>https://doi.org/10.1097/JGP.0b013e3181a2fd07</w:t>
        </w:r>
      </w:hyperlink>
      <w: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15DC2B1" w14:textId="77777777" w:rsidR="006166E9" w:rsidRPr="00167D85" w:rsidRDefault="006166E9" w:rsidP="00167D85">
      <w:pPr>
        <w:spacing w:after="0" w:line="300" w:lineRule="atLeast"/>
        <w:rPr>
          <w:rFonts w:ascii="Segoe UI" w:eastAsia="Times New Roman" w:hAnsi="Segoe UI" w:cs="Segoe UI"/>
          <w:kern w:val="0"/>
          <w:sz w:val="21"/>
          <w:szCs w:val="21"/>
          <w:lang w:eastAsia="en-GB"/>
          <w14:ligatures w14:val="none"/>
        </w:rPr>
      </w:pPr>
      <w:r w:rsidRPr="00167D85">
        <w:rPr>
          <w:rFonts w:ascii="Segoe UI" w:eastAsia="Times New Roman" w:hAnsi="Segoe UI" w:cs="Segoe UI"/>
          <w:kern w:val="0"/>
          <w:sz w:val="21"/>
          <w:szCs w:val="21"/>
          <w:lang w:eastAsia="en-GB"/>
          <w14:ligatures w14:val="none"/>
        </w:rPr>
        <w:t xml:space="preserve">Árokszállási, T., Nagy, A., Balogh, E., Nagy, E.B., Sik, M., </w:t>
      </w:r>
      <w:proofErr w:type="spellStart"/>
      <w:r w:rsidRPr="00167D85">
        <w:rPr>
          <w:rFonts w:ascii="Segoe UI" w:eastAsia="Times New Roman" w:hAnsi="Segoe UI" w:cs="Segoe UI"/>
          <w:kern w:val="0"/>
          <w:sz w:val="21"/>
          <w:szCs w:val="21"/>
          <w:lang w:eastAsia="en-GB"/>
          <w14:ligatures w14:val="none"/>
        </w:rPr>
        <w:t>Fülesdi</w:t>
      </w:r>
      <w:proofErr w:type="spellEnd"/>
      <w:r w:rsidRPr="00167D85">
        <w:rPr>
          <w:rFonts w:ascii="Segoe UI" w:eastAsia="Times New Roman" w:hAnsi="Segoe UI" w:cs="Segoe UI"/>
          <w:kern w:val="0"/>
          <w:sz w:val="21"/>
          <w:szCs w:val="21"/>
          <w:lang w:eastAsia="en-GB"/>
          <w14:ligatures w14:val="none"/>
        </w:rPr>
        <w:t>, Z., Orbán-</w:t>
      </w:r>
      <w:proofErr w:type="spellStart"/>
      <w:r w:rsidRPr="00167D85">
        <w:rPr>
          <w:rFonts w:ascii="Segoe UI" w:eastAsia="Times New Roman" w:hAnsi="Segoe UI" w:cs="Segoe UI"/>
          <w:kern w:val="0"/>
          <w:sz w:val="21"/>
          <w:szCs w:val="21"/>
          <w:lang w:eastAsia="en-GB"/>
          <w14:ligatures w14:val="none"/>
        </w:rPr>
        <w:t>Kálmándi</w:t>
      </w:r>
      <w:proofErr w:type="spellEnd"/>
      <w:r w:rsidRPr="00167D85">
        <w:rPr>
          <w:rFonts w:ascii="Segoe UI" w:eastAsia="Times New Roman" w:hAnsi="Segoe UI" w:cs="Segoe UI"/>
          <w:kern w:val="0"/>
          <w:sz w:val="21"/>
          <w:szCs w:val="21"/>
          <w:lang w:eastAsia="en-GB"/>
          <w14:ligatures w14:val="none"/>
        </w:rPr>
        <w:t xml:space="preserve">, R., Árokszállási, A., Juhász, P., Fekete, G., Rácz, L., Csépány, T., Csiba, L., Bagoly, Z. &amp; Oláh, L., </w:t>
      </w:r>
      <w:r>
        <w:rPr>
          <w:rFonts w:ascii="Segoe UI" w:eastAsia="Times New Roman" w:hAnsi="Segoe UI" w:cs="Segoe UI"/>
          <w:kern w:val="0"/>
          <w:sz w:val="21"/>
          <w:szCs w:val="21"/>
          <w:lang w:eastAsia="en-GB"/>
          <w14:ligatures w14:val="none"/>
        </w:rPr>
        <w:t>(</w:t>
      </w:r>
      <w:r w:rsidRPr="00167D85">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167D85">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167D85">
        <w:rPr>
          <w:rFonts w:ascii="Segoe UI" w:eastAsia="Times New Roman" w:hAnsi="Segoe UI" w:cs="Segoe UI"/>
          <w:kern w:val="0"/>
          <w:sz w:val="21"/>
          <w:szCs w:val="21"/>
          <w:lang w:eastAsia="en-GB"/>
          <w14:ligatures w14:val="none"/>
        </w:rPr>
        <w:t xml:space="preserve">Elevated Blood Alcohol Concentration at Stroke Onset Predicts Poor Clinical Outcomes and Mortality After Intracerebral </w:t>
      </w:r>
      <w:proofErr w:type="spellStart"/>
      <w:r w:rsidRPr="00167D85">
        <w:rPr>
          <w:rFonts w:ascii="Segoe UI" w:eastAsia="Times New Roman" w:hAnsi="Segoe UI" w:cs="Segoe UI"/>
          <w:kern w:val="0"/>
          <w:sz w:val="21"/>
          <w:szCs w:val="21"/>
          <w:lang w:eastAsia="en-GB"/>
          <w14:ligatures w14:val="none"/>
        </w:rPr>
        <w:t>Hemorrhage</w:t>
      </w:r>
      <w:proofErr w:type="spellEnd"/>
      <w:r w:rsidRPr="00167D85">
        <w:rPr>
          <w:rFonts w:ascii="Segoe UI" w:eastAsia="Times New Roman" w:hAnsi="Segoe UI" w:cs="Segoe UI"/>
          <w:kern w:val="0"/>
          <w:sz w:val="21"/>
          <w:szCs w:val="21"/>
          <w:lang w:eastAsia="en-GB"/>
          <w14:ligatures w14:val="none"/>
        </w:rPr>
        <w:t>: A Retrospective Cohort Study</w:t>
      </w:r>
      <w:r w:rsidRPr="001D5333">
        <w:rPr>
          <w:rFonts w:ascii="Segoe UI" w:eastAsia="Times New Roman" w:hAnsi="Segoe UI" w:cs="Segoe UI"/>
          <w:kern w:val="0"/>
          <w:sz w:val="21"/>
          <w:szCs w:val="21"/>
          <w:lang w:eastAsia="en-GB"/>
          <w14:ligatures w14:val="none"/>
        </w:rPr>
        <w:t>’</w:t>
      </w:r>
      <w:r w:rsidRPr="00167D85">
        <w:rPr>
          <w:rFonts w:ascii="Segoe UI" w:eastAsia="Times New Roman" w:hAnsi="Segoe UI" w:cs="Segoe UI"/>
          <w:kern w:val="0"/>
          <w:sz w:val="21"/>
          <w:szCs w:val="21"/>
          <w:lang w:eastAsia="en-GB"/>
          <w14:ligatures w14:val="none"/>
        </w:rPr>
        <w:t xml:space="preserve">. </w:t>
      </w:r>
      <w:r w:rsidRPr="00167D85">
        <w:rPr>
          <w:rFonts w:ascii="Segoe UI" w:eastAsia="Times New Roman" w:hAnsi="Segoe UI" w:cs="Segoe UI"/>
          <w:i/>
          <w:iCs/>
          <w:kern w:val="0"/>
          <w:sz w:val="21"/>
          <w:szCs w:val="21"/>
          <w:lang w:eastAsia="en-GB"/>
          <w14:ligatures w14:val="none"/>
        </w:rPr>
        <w:t>Neurology and Therapy</w:t>
      </w:r>
      <w:r w:rsidRPr="00167D85">
        <w:rPr>
          <w:rFonts w:ascii="Segoe UI" w:eastAsia="Times New Roman" w:hAnsi="Segoe UI" w:cs="Segoe UI"/>
          <w:kern w:val="0"/>
          <w:sz w:val="21"/>
          <w:szCs w:val="21"/>
          <w:lang w:eastAsia="en-GB"/>
          <w14:ligatures w14:val="none"/>
        </w:rPr>
        <w:t xml:space="preserve">. Available at: </w:t>
      </w:r>
      <w:hyperlink r:id="rId9" w:history="1">
        <w:r w:rsidRPr="00167D85">
          <w:rPr>
            <w:rStyle w:val="Hyperlink"/>
            <w:rFonts w:ascii="Segoe UI" w:eastAsia="Times New Roman" w:hAnsi="Segoe UI" w:cs="Segoe UI"/>
            <w:kern w:val="0"/>
            <w:sz w:val="21"/>
            <w:szCs w:val="21"/>
            <w:lang w:eastAsia="en-GB"/>
            <w14:ligatures w14:val="none"/>
          </w:rPr>
          <w:t>https://doi.org/10.1007/s40120-025-00866-z</w:t>
        </w:r>
      </w:hyperlink>
      <w:r>
        <w:rPr>
          <w:rFonts w:ascii="Segoe UI" w:eastAsia="Times New Roman" w:hAnsi="Segoe UI" w:cs="Segoe UI"/>
          <w:kern w:val="0"/>
          <w:sz w:val="21"/>
          <w:szCs w:val="21"/>
          <w:lang w:eastAsia="en-GB"/>
          <w14:ligatures w14:val="none"/>
        </w:rPr>
        <w:t xml:space="preserve"> </w:t>
      </w:r>
      <w:bookmarkStart w:id="0" w:name="_Hlk215763295"/>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20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bookmarkEnd w:id="0"/>
    </w:p>
    <w:p w14:paraId="5502AE61" w14:textId="77777777" w:rsidR="006166E9" w:rsidRDefault="006166E9" w:rsidP="00F514FB">
      <w:pPr>
        <w:pStyle w:val="NormalWeb"/>
        <w:spacing w:line="300" w:lineRule="atLeast"/>
        <w:rPr>
          <w:rFonts w:ascii="Segoe UI" w:hAnsi="Segoe UI" w:cs="Segoe UI"/>
          <w:sz w:val="21"/>
          <w:szCs w:val="21"/>
        </w:rPr>
      </w:pPr>
      <w:r>
        <w:rPr>
          <w:rFonts w:ascii="Segoe UI" w:hAnsi="Segoe UI" w:cs="Segoe UI"/>
          <w:sz w:val="21"/>
          <w:szCs w:val="21"/>
        </w:rPr>
        <w:t xml:space="preserve">Bransby, L., </w:t>
      </w:r>
      <w:proofErr w:type="spellStart"/>
      <w:r>
        <w:rPr>
          <w:rFonts w:ascii="Segoe UI" w:hAnsi="Segoe UI" w:cs="Segoe UI"/>
          <w:sz w:val="21"/>
          <w:szCs w:val="21"/>
        </w:rPr>
        <w:t>Rosenich</w:t>
      </w:r>
      <w:proofErr w:type="spellEnd"/>
      <w:r>
        <w:rPr>
          <w:rFonts w:ascii="Segoe UI" w:hAnsi="Segoe UI" w:cs="Segoe UI"/>
          <w:sz w:val="21"/>
          <w:szCs w:val="21"/>
        </w:rPr>
        <w:t xml:space="preserve">, E., </w:t>
      </w:r>
      <w:proofErr w:type="spellStart"/>
      <w:r>
        <w:rPr>
          <w:rFonts w:ascii="Segoe UI" w:hAnsi="Segoe UI" w:cs="Segoe UI"/>
          <w:sz w:val="21"/>
          <w:szCs w:val="21"/>
        </w:rPr>
        <w:t>Maruff</w:t>
      </w:r>
      <w:proofErr w:type="spellEnd"/>
      <w:r>
        <w:rPr>
          <w:rFonts w:ascii="Segoe UI" w:hAnsi="Segoe UI" w:cs="Segoe UI"/>
          <w:sz w:val="21"/>
          <w:szCs w:val="21"/>
        </w:rPr>
        <w:t>, P. &amp; Lim, Y.Y., (2024) ‘</w:t>
      </w:r>
      <w:r w:rsidRPr="001D5333">
        <w:rPr>
          <w:rStyle w:val="Emphasis"/>
          <w:rFonts w:ascii="Segoe UI" w:eastAsiaTheme="majorEastAsia" w:hAnsi="Segoe UI" w:cs="Segoe UI"/>
          <w:i w:val="0"/>
          <w:iCs w:val="0"/>
          <w:sz w:val="21"/>
          <w:szCs w:val="21"/>
        </w:rPr>
        <w:t>How Modifiable Are Modifiable Dementia Risk Factors? A Framework for Considering the Modifiability of Dementia Risk Factors’</w:t>
      </w:r>
      <w:r>
        <w:rPr>
          <w:rFonts w:ascii="Segoe UI" w:hAnsi="Segoe UI" w:cs="Segoe UI"/>
          <w:sz w:val="21"/>
          <w:szCs w:val="21"/>
        </w:rPr>
        <w:t xml:space="preserve">. </w:t>
      </w:r>
      <w:r w:rsidRPr="001D5333">
        <w:rPr>
          <w:rFonts w:ascii="Segoe UI" w:hAnsi="Segoe UI" w:cs="Segoe UI"/>
          <w:i/>
          <w:iCs/>
          <w:sz w:val="21"/>
          <w:szCs w:val="21"/>
        </w:rPr>
        <w:t>The Journal of Prevention of Alzheimer’s Disease</w:t>
      </w:r>
      <w:r>
        <w:rPr>
          <w:rFonts w:ascii="Segoe UI" w:hAnsi="Segoe UI" w:cs="Segoe UI"/>
          <w:sz w:val="21"/>
          <w:szCs w:val="21"/>
        </w:rPr>
        <w:t xml:space="preserve">, 11, pp. 22–37. Available at: </w:t>
      </w:r>
      <w:hyperlink r:id="rId10" w:history="1">
        <w:r w:rsidRPr="001D7351">
          <w:rPr>
            <w:rStyle w:val="Hyperlink"/>
            <w:rFonts w:ascii="Segoe UI" w:hAnsi="Segoe UI" w:cs="Segoe UI"/>
            <w:sz w:val="21"/>
            <w:szCs w:val="21"/>
          </w:rPr>
          <w:t>https://doi.org/10.14283/jpad.2023.119</w:t>
        </w:r>
      </w:hyperlink>
      <w:r>
        <w:rPr>
          <w:rFonts w:ascii="Segoe UI" w:hAnsi="Segoe UI" w:cs="Segoe UI"/>
          <w:sz w:val="21"/>
          <w:szCs w:val="21"/>
        </w:rPr>
        <w:t xml:space="preserve"> (</w:t>
      </w:r>
      <w:r w:rsidRPr="00741E0E">
        <w:rPr>
          <w:rFonts w:ascii="Segoe UI" w:hAnsi="Segoe UI" w:cs="Segoe UI"/>
          <w:sz w:val="21"/>
          <w:szCs w:val="21"/>
        </w:rPr>
        <w:t>Accessed</w:t>
      </w:r>
      <w:r>
        <w:rPr>
          <w:rFonts w:ascii="Segoe UI" w:hAnsi="Segoe UI" w:cs="Segoe UI"/>
          <w:sz w:val="21"/>
          <w:szCs w:val="21"/>
        </w:rPr>
        <w:t>:</w:t>
      </w:r>
      <w:r w:rsidRPr="00741E0E">
        <w:rPr>
          <w:rFonts w:ascii="Segoe UI" w:hAnsi="Segoe UI" w:cs="Segoe UI"/>
          <w:sz w:val="21"/>
          <w:szCs w:val="21"/>
        </w:rPr>
        <w:t xml:space="preserve"> </w:t>
      </w:r>
      <w:r>
        <w:rPr>
          <w:rFonts w:ascii="Segoe UI" w:hAnsi="Segoe UI" w:cs="Segoe UI"/>
          <w:sz w:val="21"/>
          <w:szCs w:val="21"/>
        </w:rPr>
        <w:t xml:space="preserve">25 November </w:t>
      </w:r>
      <w:r w:rsidRPr="00741E0E">
        <w:rPr>
          <w:rFonts w:ascii="Segoe UI" w:hAnsi="Segoe UI" w:cs="Segoe UI"/>
          <w:sz w:val="21"/>
          <w:szCs w:val="21"/>
        </w:rPr>
        <w:t>2025</w:t>
      </w:r>
      <w:r>
        <w:rPr>
          <w:rFonts w:ascii="Segoe UI" w:hAnsi="Segoe UI" w:cs="Segoe UI"/>
          <w:sz w:val="21"/>
          <w:szCs w:val="21"/>
        </w:rPr>
        <w:t>)</w:t>
      </w:r>
      <w:r w:rsidRPr="00741E0E">
        <w:rPr>
          <w:rFonts w:ascii="Segoe UI" w:hAnsi="Segoe UI" w:cs="Segoe UI"/>
          <w:sz w:val="21"/>
          <w:szCs w:val="21"/>
        </w:rPr>
        <w:t>.</w:t>
      </w:r>
    </w:p>
    <w:p w14:paraId="62E8B446" w14:textId="77777777" w:rsidR="006166E9" w:rsidRDefault="006166E9" w:rsidP="004A2F7F">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46AA">
        <w:rPr>
          <w:rFonts w:ascii="Arial" w:eastAsia="Times New Roman" w:hAnsi="Arial" w:cs="Arial"/>
          <w:kern w:val="0"/>
          <w:sz w:val="22"/>
          <w:szCs w:val="22"/>
          <w:lang w:eastAsia="en-GB"/>
          <w14:ligatures w14:val="none"/>
        </w:rPr>
        <w:t xml:space="preserve">Care Quality Commission (2024) ‘People with dementia: State of health care and adult social care in England 2023/24’, </w:t>
      </w:r>
      <w:r w:rsidRPr="004A2F7F">
        <w:rPr>
          <w:rFonts w:ascii="Arial" w:eastAsia="Times New Roman" w:hAnsi="Arial" w:cs="Arial"/>
          <w:i/>
          <w:iCs/>
          <w:kern w:val="0"/>
          <w:sz w:val="22"/>
          <w:szCs w:val="22"/>
          <w:lang w:eastAsia="en-GB"/>
          <w14:ligatures w14:val="none"/>
        </w:rPr>
        <w:t>Care Quality Commission Report</w:t>
      </w:r>
      <w:r w:rsidRPr="004A46AA">
        <w:rPr>
          <w:rFonts w:ascii="Arial" w:eastAsia="Times New Roman" w:hAnsi="Arial" w:cs="Arial"/>
          <w:kern w:val="0"/>
          <w:sz w:val="22"/>
          <w:szCs w:val="22"/>
          <w:lang w:eastAsia="en-GB"/>
          <w14:ligatures w14:val="none"/>
        </w:rPr>
        <w:t xml:space="preserve">. Available at: </w:t>
      </w:r>
      <w:hyperlink r:id="rId11" w:history="1">
        <w:r w:rsidRPr="004A46AA">
          <w:rPr>
            <w:rStyle w:val="Hyperlink"/>
            <w:rFonts w:ascii="Arial" w:eastAsia="Times New Roman" w:hAnsi="Arial" w:cs="Arial"/>
            <w:kern w:val="0"/>
            <w:sz w:val="22"/>
            <w:szCs w:val="22"/>
            <w:lang w:eastAsia="en-GB"/>
            <w14:ligatures w14:val="none"/>
          </w:rPr>
          <w:t>https://www.cqc.org.uk/publications/major-report/state-care/2023-2024/areas-of-concern/dementia</w:t>
        </w:r>
      </w:hyperlink>
      <w:r>
        <w:rPr>
          <w:rFonts w:ascii="Arial" w:eastAsia="Times New Roman" w:hAnsi="Arial" w:cs="Arial"/>
          <w:kern w:val="0"/>
          <w:sz w:val="22"/>
          <w:szCs w:val="22"/>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21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458D6FF" w14:textId="77777777" w:rsidR="006166E9" w:rsidRPr="00586531" w:rsidRDefault="006166E9" w:rsidP="00586531">
      <w:pPr>
        <w:spacing w:after="0" w:line="300" w:lineRule="atLeast"/>
        <w:rPr>
          <w:rFonts w:ascii="Segoe UI" w:eastAsia="Times New Roman" w:hAnsi="Segoe UI" w:cs="Segoe UI"/>
          <w:kern w:val="0"/>
          <w:sz w:val="21"/>
          <w:szCs w:val="21"/>
          <w:lang w:eastAsia="en-GB"/>
          <w14:ligatures w14:val="none"/>
        </w:rPr>
      </w:pPr>
      <w:proofErr w:type="spellStart"/>
      <w:r w:rsidRPr="00586531">
        <w:rPr>
          <w:rFonts w:ascii="Segoe UI" w:eastAsia="Times New Roman" w:hAnsi="Segoe UI" w:cs="Segoe UI"/>
          <w:kern w:val="0"/>
          <w:sz w:val="21"/>
          <w:szCs w:val="21"/>
          <w:lang w:eastAsia="en-GB"/>
          <w14:ligatures w14:val="none"/>
        </w:rPr>
        <w:t>Centers</w:t>
      </w:r>
      <w:proofErr w:type="spellEnd"/>
      <w:r w:rsidRPr="00586531">
        <w:rPr>
          <w:rFonts w:ascii="Segoe UI" w:eastAsia="Times New Roman" w:hAnsi="Segoe UI" w:cs="Segoe UI"/>
          <w:kern w:val="0"/>
          <w:sz w:val="21"/>
          <w:szCs w:val="21"/>
          <w:lang w:eastAsia="en-GB"/>
          <w14:ligatures w14:val="none"/>
        </w:rPr>
        <w:t xml:space="preserve"> for Disease Control and Prevention (CDC) (2024) </w:t>
      </w:r>
      <w:r>
        <w:rPr>
          <w:rFonts w:ascii="Segoe UI" w:eastAsia="Times New Roman" w:hAnsi="Segoe UI" w:cs="Segoe UI"/>
          <w:kern w:val="0"/>
          <w:sz w:val="21"/>
          <w:szCs w:val="21"/>
          <w:lang w:eastAsia="en-GB"/>
          <w14:ligatures w14:val="none"/>
        </w:rPr>
        <w:t>‘</w:t>
      </w:r>
      <w:r w:rsidRPr="00586531">
        <w:rPr>
          <w:rFonts w:ascii="Segoe UI" w:eastAsia="Times New Roman" w:hAnsi="Segoe UI" w:cs="Segoe UI"/>
          <w:i/>
          <w:iCs/>
          <w:kern w:val="0"/>
          <w:sz w:val="21"/>
          <w:szCs w:val="21"/>
          <w:lang w:eastAsia="en-GB"/>
          <w14:ligatures w14:val="none"/>
        </w:rPr>
        <w:t>Preventing excessive alcohol use with proven strategies</w:t>
      </w:r>
      <w:r>
        <w:rPr>
          <w:rFonts w:ascii="Segoe UI" w:eastAsia="Times New Roman" w:hAnsi="Segoe UI" w:cs="Segoe UI"/>
          <w:i/>
          <w:iCs/>
          <w:kern w:val="0"/>
          <w:sz w:val="21"/>
          <w:szCs w:val="21"/>
          <w:lang w:eastAsia="en-GB"/>
          <w14:ligatures w14:val="none"/>
        </w:rPr>
        <w:t>’</w:t>
      </w:r>
      <w:r w:rsidRPr="00586531">
        <w:rPr>
          <w:rFonts w:ascii="Segoe UI" w:eastAsia="Times New Roman" w:hAnsi="Segoe UI" w:cs="Segoe UI"/>
          <w:kern w:val="0"/>
          <w:sz w:val="21"/>
          <w:szCs w:val="21"/>
          <w:lang w:eastAsia="en-GB"/>
          <w14:ligatures w14:val="none"/>
        </w:rPr>
        <w:t xml:space="preserve">. Available at: </w:t>
      </w:r>
      <w:hyperlink r:id="rId12" w:tgtFrame="_blank" w:history="1">
        <w:r w:rsidRPr="00586531">
          <w:rPr>
            <w:rFonts w:ascii="Segoe UI" w:eastAsia="Times New Roman" w:hAnsi="Segoe UI" w:cs="Segoe UI"/>
            <w:color w:val="464FEB"/>
            <w:kern w:val="0"/>
            <w:sz w:val="21"/>
            <w:szCs w:val="21"/>
            <w:lang w:eastAsia="en-GB"/>
            <w14:ligatures w14:val="none"/>
          </w:rPr>
          <w:t>https://www.cdc.gov/alcohol/prevention/proven-strategies.html</w:t>
        </w:r>
      </w:hyperlink>
      <w:r w:rsidRPr="00586531">
        <w:rPr>
          <w:rFonts w:ascii="Segoe UI" w:eastAsia="Times New Roman" w:hAnsi="Segoe UI" w:cs="Segoe UI"/>
          <w:kern w:val="0"/>
          <w:sz w:val="21"/>
          <w:szCs w:val="21"/>
          <w:lang w:eastAsia="en-GB"/>
          <w14:ligatures w14:val="none"/>
        </w:rPr>
        <w:t xml:space="preserve"> (Accessed: </w:t>
      </w:r>
      <w:r>
        <w:rPr>
          <w:rFonts w:ascii="Segoe UI" w:eastAsia="Times New Roman" w:hAnsi="Segoe UI" w:cs="Segoe UI"/>
          <w:kern w:val="0"/>
          <w:sz w:val="21"/>
          <w:szCs w:val="21"/>
          <w:lang w:eastAsia="en-GB"/>
          <w14:ligatures w14:val="none"/>
        </w:rPr>
        <w:t>1</w:t>
      </w:r>
      <w:r w:rsidRPr="00586531">
        <w:rPr>
          <w:rFonts w:ascii="Segoe UI" w:eastAsia="Times New Roman" w:hAnsi="Segoe UI" w:cs="Segoe UI"/>
          <w:kern w:val="0"/>
          <w:sz w:val="21"/>
          <w:szCs w:val="21"/>
          <w:lang w:eastAsia="en-GB"/>
          <w14:ligatures w14:val="none"/>
        </w:rPr>
        <w:t xml:space="preserve"> December 2025).</w:t>
      </w:r>
    </w:p>
    <w:p w14:paraId="2F3CA7E4"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Chowdhary, N. et al. (2022) ‘Reducing the risk of cognitive decline and dementia: WHO recommendations’, </w:t>
      </w:r>
      <w:r w:rsidRPr="004A2F7F">
        <w:rPr>
          <w:rFonts w:ascii="Arial" w:eastAsia="Times New Roman" w:hAnsi="Arial" w:cs="Arial"/>
          <w:i/>
          <w:iCs/>
          <w:kern w:val="0"/>
          <w:sz w:val="22"/>
          <w:szCs w:val="22"/>
          <w:lang w:eastAsia="en-GB"/>
          <w14:ligatures w14:val="none"/>
        </w:rPr>
        <w:t>Frontiers in Neurology</w:t>
      </w:r>
      <w:r w:rsidRPr="004A46AA">
        <w:rPr>
          <w:rFonts w:ascii="Arial" w:eastAsia="Times New Roman" w:hAnsi="Arial" w:cs="Arial"/>
          <w:kern w:val="0"/>
          <w:sz w:val="22"/>
          <w:szCs w:val="22"/>
          <w:lang w:eastAsia="en-GB"/>
          <w14:ligatures w14:val="none"/>
        </w:rPr>
        <w:t xml:space="preserve">, 12, 765584. Available at: </w:t>
      </w:r>
      <w:hyperlink r:id="rId13" w:history="1">
        <w:r w:rsidRPr="004A46AA">
          <w:rPr>
            <w:rStyle w:val="Hyperlink"/>
            <w:rFonts w:ascii="Arial" w:eastAsia="Times New Roman" w:hAnsi="Arial" w:cs="Arial"/>
            <w:kern w:val="0"/>
            <w:sz w:val="22"/>
            <w:szCs w:val="22"/>
            <w:lang w:eastAsia="en-GB"/>
            <w14:ligatures w14:val="none"/>
          </w:rPr>
          <w:t>https://www.frontiersin.org/articles/10.3389/fneur.2021.765584/full</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18</w:t>
      </w:r>
      <w:r w:rsidRPr="008D40C4">
        <w:rPr>
          <w:rFonts w:ascii="Arial" w:eastAsia="Times New Roman" w:hAnsi="Arial" w:cs="Arial"/>
          <w:kern w:val="0"/>
          <w:sz w:val="22"/>
          <w:szCs w:val="22"/>
          <w:lang w:eastAsia="en-GB"/>
          <w14:ligatures w14:val="none"/>
        </w:rPr>
        <w:t xml:space="preserve"> November 2025).</w:t>
      </w:r>
    </w:p>
    <w:p w14:paraId="45019298" w14:textId="77777777" w:rsidR="006166E9" w:rsidRPr="0062313E"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Engel, G.L. (1977) ‘The need for a new medical model: a challenge for biomedicine’, </w:t>
      </w:r>
      <w:r w:rsidRPr="0062313E">
        <w:rPr>
          <w:rFonts w:ascii="Times New Roman" w:eastAsia="Times New Roman" w:hAnsi="Times New Roman" w:cs="Times New Roman"/>
          <w:i/>
          <w:iCs/>
          <w:kern w:val="0"/>
          <w:lang w:eastAsia="en-GB"/>
          <w14:ligatures w14:val="none"/>
        </w:rPr>
        <w:t>Science</w:t>
      </w:r>
      <w:r w:rsidRPr="0062313E">
        <w:rPr>
          <w:rFonts w:ascii="Times New Roman" w:eastAsia="Times New Roman" w:hAnsi="Times New Roman" w:cs="Times New Roman"/>
          <w:kern w:val="0"/>
          <w:lang w:eastAsia="en-GB"/>
          <w14:ligatures w14:val="none"/>
        </w:rPr>
        <w:t>, 196(4286), pp. 129–136.</w:t>
      </w:r>
      <w:r w:rsidRPr="0062313E">
        <w:rPr>
          <w:rFonts w:ascii="Times New Roman" w:eastAsia="Times New Roman" w:hAnsi="Times New Roman" w:cs="Times New Roman"/>
          <w:kern w:val="0"/>
          <w:lang w:eastAsia="en-GB"/>
          <w14:ligatures w14:val="none"/>
        </w:rPr>
        <w:br/>
        <w:t xml:space="preserve">Available at: </w:t>
      </w:r>
      <w:hyperlink r:id="rId14" w:tgtFrame="_new" w:history="1">
        <w:r w:rsidRPr="0062313E">
          <w:rPr>
            <w:rFonts w:ascii="Times New Roman" w:eastAsia="Times New Roman" w:hAnsi="Times New Roman" w:cs="Times New Roman"/>
            <w:color w:val="0000FF"/>
            <w:kern w:val="0"/>
            <w:u w:val="single"/>
            <w:lang w:eastAsia="en-GB"/>
            <w14:ligatures w14:val="none"/>
          </w:rPr>
          <w:t>https://doi.org/10.1126/science.847460</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05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6861B6F8"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Evans, H. (2025) ‘Exploring socioeconomic mechanisms that drive harmful alcohol consumption in the UK: A scoping review’, </w:t>
      </w:r>
      <w:r w:rsidRPr="004A2F7F">
        <w:rPr>
          <w:rFonts w:ascii="Arial" w:eastAsia="Times New Roman" w:hAnsi="Arial" w:cs="Arial"/>
          <w:i/>
          <w:iCs/>
          <w:kern w:val="0"/>
          <w:sz w:val="22"/>
          <w:szCs w:val="22"/>
          <w:lang w:eastAsia="en-GB"/>
          <w14:ligatures w14:val="none"/>
        </w:rPr>
        <w:t>Public Health Institute Journal</w:t>
      </w:r>
      <w:r w:rsidRPr="004A46AA">
        <w:rPr>
          <w:rFonts w:ascii="Arial" w:eastAsia="Times New Roman" w:hAnsi="Arial" w:cs="Arial"/>
          <w:kern w:val="0"/>
          <w:sz w:val="22"/>
          <w:szCs w:val="22"/>
          <w:lang w:eastAsia="en-GB"/>
          <w14:ligatures w14:val="none"/>
        </w:rPr>
        <w:t xml:space="preserve">. Available at: </w:t>
      </w:r>
      <w:hyperlink r:id="rId15" w:history="1">
        <w:r w:rsidRPr="004A46AA">
          <w:rPr>
            <w:rStyle w:val="Hyperlink"/>
            <w:rFonts w:ascii="Arial" w:eastAsia="Times New Roman" w:hAnsi="Arial" w:cs="Arial"/>
            <w:kern w:val="0"/>
            <w:sz w:val="22"/>
            <w:szCs w:val="22"/>
            <w:lang w:eastAsia="en-GB"/>
            <w14:ligatures w14:val="none"/>
          </w:rPr>
          <w:t>https://openjournals.ljmu.ac.uk/PHIJ/article/view/2848</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13</w:t>
      </w:r>
      <w:r w:rsidRPr="008D40C4">
        <w:rPr>
          <w:rFonts w:ascii="Arial" w:eastAsia="Times New Roman" w:hAnsi="Arial" w:cs="Arial"/>
          <w:kern w:val="0"/>
          <w:sz w:val="22"/>
          <w:szCs w:val="22"/>
          <w:lang w:eastAsia="en-GB"/>
          <w14:ligatures w14:val="none"/>
        </w:rPr>
        <w:t xml:space="preserve"> November 2025).</w:t>
      </w:r>
    </w:p>
    <w:p w14:paraId="07B53B90"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lastRenderedPageBreak/>
        <w:t>Giebel, C. et al. (2024) ‘Do people with dementia and carers get what they need? Barriers in social care and carers needs assessments’</w:t>
      </w:r>
      <w:r w:rsidRPr="004A2F7F">
        <w:rPr>
          <w:rFonts w:ascii="Arial" w:eastAsia="Times New Roman" w:hAnsi="Arial" w:cs="Arial"/>
          <w:i/>
          <w:iCs/>
          <w:kern w:val="0"/>
          <w:sz w:val="22"/>
          <w:szCs w:val="22"/>
          <w:lang w:eastAsia="en-GB"/>
          <w14:ligatures w14:val="none"/>
        </w:rPr>
        <w:t>, Dementia</w:t>
      </w:r>
      <w:r w:rsidRPr="004A46AA">
        <w:rPr>
          <w:rFonts w:ascii="Arial" w:eastAsia="Times New Roman" w:hAnsi="Arial" w:cs="Arial"/>
          <w:kern w:val="0"/>
          <w:sz w:val="22"/>
          <w:szCs w:val="22"/>
          <w:lang w:eastAsia="en-GB"/>
          <w14:ligatures w14:val="none"/>
        </w:rPr>
        <w:t xml:space="preserve">, pp. 1–17. Available at: </w:t>
      </w:r>
      <w:hyperlink r:id="rId16" w:history="1">
        <w:r w:rsidRPr="004A46AA">
          <w:rPr>
            <w:rStyle w:val="Hyperlink"/>
            <w:rFonts w:ascii="Arial" w:eastAsia="Times New Roman" w:hAnsi="Arial" w:cs="Arial"/>
            <w:kern w:val="0"/>
            <w:sz w:val="22"/>
            <w:szCs w:val="22"/>
            <w:lang w:eastAsia="en-GB"/>
            <w14:ligatures w14:val="none"/>
          </w:rPr>
          <w:t>https://eprints.lancs.ac.uk/id/eprint/215801/3/giebel-et-al-2024-do-people-with-dementia-and-carers-get-what-they-need-barriers-in-social-care-and-carers-needs.pdf</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11</w:t>
      </w:r>
      <w:r w:rsidRPr="008D40C4">
        <w:rPr>
          <w:rFonts w:ascii="Arial" w:eastAsia="Times New Roman" w:hAnsi="Arial" w:cs="Arial"/>
          <w:kern w:val="0"/>
          <w:sz w:val="22"/>
          <w:szCs w:val="22"/>
          <w:lang w:eastAsia="en-GB"/>
          <w14:ligatures w14:val="none"/>
        </w:rPr>
        <w:t xml:space="preserve"> November 2025).</w:t>
      </w:r>
    </w:p>
    <w:p w14:paraId="4EBAB344" w14:textId="77777777" w:rsidR="006166E9" w:rsidRPr="00CC109C" w:rsidRDefault="006166E9" w:rsidP="00CC109C">
      <w:pPr>
        <w:spacing w:after="0" w:line="300" w:lineRule="atLeast"/>
        <w:rPr>
          <w:rFonts w:ascii="Segoe UI" w:eastAsia="Times New Roman" w:hAnsi="Segoe UI" w:cs="Segoe UI"/>
          <w:kern w:val="0"/>
          <w:sz w:val="21"/>
          <w:szCs w:val="21"/>
          <w:lang w:eastAsia="en-GB"/>
          <w14:ligatures w14:val="none"/>
        </w:rPr>
      </w:pPr>
      <w:r w:rsidRPr="00CC109C">
        <w:rPr>
          <w:rFonts w:ascii="Segoe UI" w:eastAsia="Times New Roman" w:hAnsi="Segoe UI" w:cs="Segoe UI"/>
          <w:kern w:val="0"/>
          <w:sz w:val="21"/>
          <w:szCs w:val="21"/>
          <w:lang w:eastAsia="en-GB"/>
          <w14:ligatures w14:val="none"/>
        </w:rPr>
        <w:t xml:space="preserve">Guindon, G.E., Li, C., Trivedi, R., Abbas, U., Xiong, G. &amp; Atri, A., </w:t>
      </w:r>
      <w:r>
        <w:rPr>
          <w:rFonts w:ascii="Segoe UI" w:eastAsia="Times New Roman" w:hAnsi="Segoe UI" w:cs="Segoe UI"/>
          <w:kern w:val="0"/>
          <w:sz w:val="21"/>
          <w:szCs w:val="21"/>
          <w:lang w:eastAsia="en-GB"/>
          <w14:ligatures w14:val="none"/>
        </w:rPr>
        <w:t>(</w:t>
      </w:r>
      <w:r w:rsidRPr="00CC109C">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CC109C">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CC109C">
        <w:rPr>
          <w:rFonts w:ascii="Segoe UI" w:eastAsia="Times New Roman" w:hAnsi="Segoe UI" w:cs="Segoe UI"/>
          <w:kern w:val="0"/>
          <w:sz w:val="21"/>
          <w:szCs w:val="21"/>
          <w:lang w:eastAsia="en-GB"/>
          <w14:ligatures w14:val="none"/>
        </w:rPr>
        <w:t>The effectiveness and cost-effectiveness of population-level policies to reduce alcohol use: A systematic umbrella review</w:t>
      </w:r>
      <w:r w:rsidRPr="001D5333">
        <w:rPr>
          <w:rFonts w:ascii="Segoe UI" w:eastAsia="Times New Roman" w:hAnsi="Segoe UI" w:cs="Segoe UI"/>
          <w:kern w:val="0"/>
          <w:sz w:val="21"/>
          <w:szCs w:val="21"/>
          <w:lang w:eastAsia="en-GB"/>
          <w14:ligatures w14:val="none"/>
        </w:rPr>
        <w:t>’</w:t>
      </w:r>
      <w:r w:rsidRPr="00CC109C">
        <w:rPr>
          <w:rFonts w:ascii="Segoe UI" w:eastAsia="Times New Roman" w:hAnsi="Segoe UI" w:cs="Segoe UI"/>
          <w:kern w:val="0"/>
          <w:sz w:val="21"/>
          <w:szCs w:val="21"/>
          <w:lang w:eastAsia="en-GB"/>
          <w14:ligatures w14:val="none"/>
        </w:rPr>
        <w:t xml:space="preserve">. </w:t>
      </w:r>
      <w:r w:rsidRPr="00CC109C">
        <w:rPr>
          <w:rFonts w:ascii="Segoe UI" w:eastAsia="Times New Roman" w:hAnsi="Segoe UI" w:cs="Segoe UI"/>
          <w:i/>
          <w:iCs/>
          <w:kern w:val="0"/>
          <w:sz w:val="21"/>
          <w:szCs w:val="21"/>
          <w:lang w:eastAsia="en-GB"/>
          <w14:ligatures w14:val="none"/>
        </w:rPr>
        <w:t>Canadian Journal of Public Health</w:t>
      </w:r>
      <w:r w:rsidRPr="00CC109C">
        <w:rPr>
          <w:rFonts w:ascii="Segoe UI" w:eastAsia="Times New Roman" w:hAnsi="Segoe UI" w:cs="Segoe UI"/>
          <w:kern w:val="0"/>
          <w:sz w:val="21"/>
          <w:szCs w:val="21"/>
          <w:lang w:eastAsia="en-GB"/>
          <w14:ligatures w14:val="none"/>
        </w:rPr>
        <w:t xml:space="preserve">. Available at: </w:t>
      </w:r>
      <w:hyperlink r:id="rId17" w:history="1">
        <w:r w:rsidRPr="00CC109C">
          <w:rPr>
            <w:rStyle w:val="Hyperlink"/>
            <w:rFonts w:ascii="Segoe UI" w:eastAsia="Times New Roman" w:hAnsi="Segoe UI" w:cs="Segoe UI"/>
            <w:kern w:val="0"/>
            <w:sz w:val="21"/>
            <w:szCs w:val="21"/>
            <w:lang w:eastAsia="en-GB"/>
            <w14:ligatures w14:val="none"/>
          </w:rPr>
          <w:t>https://link.springer.com/article/10.17269/s41997-025-01013-9</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6B7C1B21" w14:textId="77777777" w:rsidR="006166E9" w:rsidRPr="0062313E"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Han, B.H., Moore, A.A., and Sherman, S.E. (2021) ‘Alcohol use and cognitive health in ageing’, </w:t>
      </w:r>
      <w:r w:rsidRPr="0062313E">
        <w:rPr>
          <w:rFonts w:ascii="Times New Roman" w:eastAsia="Times New Roman" w:hAnsi="Times New Roman" w:cs="Times New Roman"/>
          <w:i/>
          <w:iCs/>
          <w:kern w:val="0"/>
          <w:lang w:eastAsia="en-GB"/>
          <w14:ligatures w14:val="none"/>
        </w:rPr>
        <w:t>BMJ</w:t>
      </w:r>
      <w:r w:rsidRPr="0062313E">
        <w:rPr>
          <w:rFonts w:ascii="Times New Roman" w:eastAsia="Times New Roman" w:hAnsi="Times New Roman" w:cs="Times New Roman"/>
          <w:kern w:val="0"/>
          <w:lang w:eastAsia="en-GB"/>
          <w14:ligatures w14:val="none"/>
        </w:rPr>
        <w:t>, 372, n700.</w:t>
      </w:r>
      <w:r w:rsidRPr="0062313E">
        <w:rPr>
          <w:rFonts w:ascii="Times New Roman" w:eastAsia="Times New Roman" w:hAnsi="Times New Roman" w:cs="Times New Roman"/>
          <w:kern w:val="0"/>
          <w:lang w:eastAsia="en-GB"/>
          <w14:ligatures w14:val="none"/>
        </w:rPr>
        <w:br/>
        <w:t xml:space="preserve">Available at: </w:t>
      </w:r>
      <w:hyperlink r:id="rId18" w:history="1">
        <w:r w:rsidRPr="0062313E">
          <w:rPr>
            <w:rStyle w:val="Hyperlink"/>
            <w:rFonts w:ascii="Times New Roman" w:eastAsia="Times New Roman" w:hAnsi="Times New Roman" w:cs="Times New Roman"/>
            <w:kern w:val="0"/>
            <w:lang w:eastAsia="en-GB"/>
            <w14:ligatures w14:val="none"/>
          </w:rPr>
          <w:t>https://doi.org/10.1136/bmj.n700</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23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329C29E"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Hendriks, S., Ranson, J.M., Peetoom, K. et al. (2023) ‘Risk Factors for Young-Onset Dementia in the UK Biobank’, </w:t>
      </w:r>
      <w:r w:rsidRPr="004A2F7F">
        <w:rPr>
          <w:rFonts w:ascii="Arial" w:eastAsia="Times New Roman" w:hAnsi="Arial" w:cs="Arial"/>
          <w:i/>
          <w:iCs/>
          <w:kern w:val="0"/>
          <w:sz w:val="22"/>
          <w:szCs w:val="22"/>
          <w:lang w:eastAsia="en-GB"/>
          <w14:ligatures w14:val="none"/>
        </w:rPr>
        <w:t>JAMA Neurology</w:t>
      </w:r>
      <w:r w:rsidRPr="004A46AA">
        <w:rPr>
          <w:rFonts w:ascii="Arial" w:eastAsia="Times New Roman" w:hAnsi="Arial" w:cs="Arial"/>
          <w:kern w:val="0"/>
          <w:sz w:val="22"/>
          <w:szCs w:val="22"/>
          <w:lang w:eastAsia="en-GB"/>
          <w14:ligatures w14:val="none"/>
        </w:rPr>
        <w:t xml:space="preserve">, 81(2), pp. 134–142. DOI: 10.1001/jamaneurol.2023.4929. Available at: </w:t>
      </w:r>
      <w:hyperlink r:id="rId19" w:history="1">
        <w:r w:rsidRPr="004A46AA">
          <w:rPr>
            <w:rStyle w:val="Hyperlink"/>
            <w:rFonts w:ascii="Arial" w:eastAsia="Times New Roman" w:hAnsi="Arial" w:cs="Arial"/>
            <w:kern w:val="0"/>
            <w:sz w:val="22"/>
            <w:szCs w:val="22"/>
            <w:lang w:eastAsia="en-GB"/>
            <w14:ligatures w14:val="none"/>
          </w:rPr>
          <w:t>https://jamanetwork.com/journals/jamaneurology/fullarticle/2813439</w:t>
        </w:r>
      </w:hyperlink>
      <w:r>
        <w:t xml:space="preserve"> </w:t>
      </w:r>
      <w:r w:rsidRPr="008D40C4">
        <w:t xml:space="preserve">(Accessed: </w:t>
      </w:r>
      <w:r>
        <w:t>16</w:t>
      </w:r>
      <w:r w:rsidRPr="008D40C4">
        <w:t xml:space="preserve"> November 2025).</w:t>
      </w:r>
    </w:p>
    <w:p w14:paraId="441BE42A"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Jefferis, B.J. et al. (2014) ‘Socioeconomic inequalities in alcohol consumption and harm’, </w:t>
      </w:r>
      <w:r w:rsidRPr="0062313E">
        <w:rPr>
          <w:rFonts w:ascii="Times New Roman" w:eastAsia="Times New Roman" w:hAnsi="Times New Roman" w:cs="Times New Roman"/>
          <w:i/>
          <w:iCs/>
          <w:kern w:val="0"/>
          <w:lang w:eastAsia="en-GB"/>
          <w14:ligatures w14:val="none"/>
        </w:rPr>
        <w:t>Addiction</w:t>
      </w:r>
      <w:r w:rsidRPr="0062313E">
        <w:rPr>
          <w:rFonts w:ascii="Times New Roman" w:eastAsia="Times New Roman" w:hAnsi="Times New Roman" w:cs="Times New Roman"/>
          <w:kern w:val="0"/>
          <w:lang w:eastAsia="en-GB"/>
          <w14:ligatures w14:val="none"/>
        </w:rPr>
        <w:t>, 109(7), pp. 1086–1094.</w:t>
      </w:r>
      <w:r w:rsidRPr="0062313E">
        <w:rPr>
          <w:rFonts w:ascii="Times New Roman" w:eastAsia="Times New Roman" w:hAnsi="Times New Roman" w:cs="Times New Roman"/>
          <w:kern w:val="0"/>
          <w:lang w:eastAsia="en-GB"/>
          <w14:ligatures w14:val="none"/>
        </w:rPr>
        <w:br/>
        <w:t xml:space="preserve">Available at: </w:t>
      </w:r>
      <w:hyperlink r:id="rId20" w:history="1">
        <w:r w:rsidRPr="0062313E">
          <w:rPr>
            <w:rStyle w:val="Hyperlink"/>
            <w:rFonts w:ascii="Times New Roman" w:eastAsia="Times New Roman" w:hAnsi="Times New Roman" w:cs="Times New Roman"/>
            <w:kern w:val="0"/>
            <w:lang w:eastAsia="en-GB"/>
            <w14:ligatures w14:val="none"/>
          </w:rPr>
          <w:t>https://doi.org/10.1111/add.12529</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10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7D0D0502"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Kilian, C. et al. (2023) ‘Global patterns of alcohol consumption and harm’, </w:t>
      </w:r>
      <w:r w:rsidRPr="0062313E">
        <w:rPr>
          <w:rFonts w:ascii="Times New Roman" w:eastAsia="Times New Roman" w:hAnsi="Times New Roman" w:cs="Times New Roman"/>
          <w:i/>
          <w:iCs/>
          <w:kern w:val="0"/>
          <w:lang w:eastAsia="en-GB"/>
          <w14:ligatures w14:val="none"/>
        </w:rPr>
        <w:t>The Lancet Public Health</w:t>
      </w:r>
      <w:r w:rsidRPr="0062313E">
        <w:rPr>
          <w:rFonts w:ascii="Times New Roman" w:eastAsia="Times New Roman" w:hAnsi="Times New Roman" w:cs="Times New Roman"/>
          <w:kern w:val="0"/>
          <w:lang w:eastAsia="en-GB"/>
          <w14:ligatures w14:val="none"/>
        </w:rPr>
        <w:t>, 8(1), pp. e15–e27.</w:t>
      </w:r>
      <w:r w:rsidRPr="0062313E">
        <w:rPr>
          <w:rFonts w:ascii="Times New Roman" w:eastAsia="Times New Roman" w:hAnsi="Times New Roman" w:cs="Times New Roman"/>
          <w:kern w:val="0"/>
          <w:lang w:eastAsia="en-GB"/>
          <w14:ligatures w14:val="none"/>
        </w:rPr>
        <w:br/>
        <w:t xml:space="preserve">Available at: </w:t>
      </w:r>
      <w:hyperlink r:id="rId21" w:history="1">
        <w:r w:rsidRPr="0062313E">
          <w:rPr>
            <w:rStyle w:val="Hyperlink"/>
            <w:rFonts w:ascii="Times New Roman" w:eastAsia="Times New Roman" w:hAnsi="Times New Roman" w:cs="Times New Roman"/>
            <w:kern w:val="0"/>
            <w:lang w:eastAsia="en-GB"/>
            <w14:ligatures w14:val="none"/>
          </w:rPr>
          <w:t>https://doi.org/10.1016/S2468-2667(22)00257-2</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27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77861130"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Kim, M., Fitzpatrick, A. L., Rapp, S. R., et al. (2019)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Alcohol Consumption and Risk of Dementia and Cognitive Decline Among Older Adults With or Without Mild Cognitive Impairment</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 </w:t>
      </w:r>
      <w:r w:rsidRPr="004A2F7F">
        <w:rPr>
          <w:rFonts w:ascii="Arial" w:eastAsia="Times New Roman" w:hAnsi="Arial" w:cs="Arial"/>
          <w:i/>
          <w:iCs/>
          <w:kern w:val="0"/>
          <w:sz w:val="22"/>
          <w:szCs w:val="22"/>
          <w:lang w:eastAsia="en-GB"/>
          <w14:ligatures w14:val="none"/>
        </w:rPr>
        <w:t>JAMA Network Open</w:t>
      </w:r>
      <w:r w:rsidRPr="004A46AA">
        <w:rPr>
          <w:rFonts w:ascii="Arial" w:eastAsia="Times New Roman" w:hAnsi="Arial" w:cs="Arial"/>
          <w:kern w:val="0"/>
          <w:sz w:val="22"/>
          <w:szCs w:val="22"/>
          <w:lang w:eastAsia="en-GB"/>
          <w14:ligatures w14:val="none"/>
        </w:rPr>
        <w:t xml:space="preserve">, 2(9), e1910319. Available at: </w:t>
      </w:r>
      <w:hyperlink r:id="rId22" w:history="1">
        <w:r w:rsidRPr="004A46AA">
          <w:rPr>
            <w:rStyle w:val="Hyperlink"/>
            <w:rFonts w:ascii="Arial" w:eastAsia="Times New Roman" w:hAnsi="Arial" w:cs="Arial"/>
            <w:kern w:val="0"/>
            <w:sz w:val="22"/>
            <w:szCs w:val="22"/>
            <w:lang w:eastAsia="en-GB"/>
            <w14:ligatures w14:val="none"/>
          </w:rPr>
          <w:t>https://doi.org/10.1001/jamanetworkopen.2019.10319</w:t>
        </w:r>
      </w:hyperlink>
      <w:r>
        <w:t xml:space="preserve"> </w:t>
      </w:r>
      <w:r w:rsidRPr="008D40C4">
        <w:t xml:space="preserve">(Accessed: </w:t>
      </w:r>
      <w:r>
        <w:t>19</w:t>
      </w:r>
      <w:r w:rsidRPr="008D40C4">
        <w:t xml:space="preserve"> November 2025).</w:t>
      </w:r>
    </w:p>
    <w:p w14:paraId="6D4E5B31"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3B1C1B">
        <w:rPr>
          <w:rFonts w:ascii="Arial" w:eastAsia="Times New Roman" w:hAnsi="Arial" w:cs="Arial"/>
          <w:kern w:val="0"/>
          <w:sz w:val="22"/>
          <w:szCs w:val="22"/>
          <w:lang w:eastAsia="en-GB"/>
          <w14:ligatures w14:val="none"/>
        </w:rPr>
        <w:t xml:space="preserve">Kivimäki, M. et al. (2020) ‘Association of Alcohol-Induced Loss of Consciousness and Overall Alcohol Consumption With Risk for Dementia’, </w:t>
      </w:r>
      <w:r w:rsidRPr="003B1C1B">
        <w:rPr>
          <w:rFonts w:ascii="Arial" w:eastAsia="Times New Roman" w:hAnsi="Arial" w:cs="Arial"/>
          <w:i/>
          <w:iCs/>
          <w:kern w:val="0"/>
          <w:sz w:val="22"/>
          <w:szCs w:val="22"/>
          <w:lang w:eastAsia="en-GB"/>
          <w14:ligatures w14:val="none"/>
        </w:rPr>
        <w:t>JAMA Network Open</w:t>
      </w:r>
      <w:r w:rsidRPr="003B1C1B">
        <w:rPr>
          <w:rFonts w:ascii="Arial" w:eastAsia="Times New Roman" w:hAnsi="Arial" w:cs="Arial"/>
          <w:kern w:val="0"/>
          <w:sz w:val="22"/>
          <w:szCs w:val="22"/>
          <w:lang w:eastAsia="en-GB"/>
          <w14:ligatures w14:val="none"/>
        </w:rPr>
        <w:t xml:space="preserve">, 3(9), e2016084. DOI: 10.1001/jamanetworkopen.2020.16084. Available at: </w:t>
      </w:r>
      <w:hyperlink r:id="rId23" w:tgtFrame="_blank" w:history="1">
        <w:r w:rsidRPr="003B1C1B">
          <w:rPr>
            <w:rFonts w:ascii="Arial" w:eastAsia="Times New Roman" w:hAnsi="Arial" w:cs="Arial"/>
            <w:color w:val="0000FF"/>
            <w:kern w:val="0"/>
            <w:sz w:val="22"/>
            <w:szCs w:val="22"/>
            <w:u w:val="single"/>
            <w:lang w:eastAsia="en-GB"/>
            <w14:ligatures w14:val="none"/>
          </w:rPr>
          <w:t>https://jamanetwork.com/journals/jamanetworkopen/fullarticle/2770285</w:t>
        </w:r>
      </w:hyperlink>
      <w:r w:rsidRPr="003B1C1B">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(Accessed: 2</w:t>
      </w:r>
      <w:r>
        <w:rPr>
          <w:rFonts w:ascii="Arial" w:eastAsia="Times New Roman" w:hAnsi="Arial" w:cs="Arial"/>
          <w:kern w:val="0"/>
          <w:sz w:val="22"/>
          <w:szCs w:val="22"/>
          <w:lang w:eastAsia="en-GB"/>
          <w14:ligatures w14:val="none"/>
        </w:rPr>
        <w:t>1</w:t>
      </w:r>
      <w:r w:rsidRPr="008D40C4">
        <w:rPr>
          <w:rFonts w:ascii="Arial" w:eastAsia="Times New Roman" w:hAnsi="Arial" w:cs="Arial"/>
          <w:kern w:val="0"/>
          <w:sz w:val="22"/>
          <w:szCs w:val="22"/>
          <w:lang w:eastAsia="en-GB"/>
          <w14:ligatures w14:val="none"/>
        </w:rPr>
        <w:t xml:space="preserve"> November 2025).</w:t>
      </w:r>
    </w:p>
    <w:p w14:paraId="720D5145" w14:textId="77777777" w:rsidR="006166E9" w:rsidRPr="003B1C1B"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3B1C1B">
        <w:rPr>
          <w:rFonts w:ascii="Arial" w:eastAsia="Times New Roman" w:hAnsi="Arial" w:cs="Arial"/>
          <w:kern w:val="0"/>
          <w:sz w:val="22"/>
          <w:szCs w:val="22"/>
          <w:lang w:eastAsia="en-GB"/>
          <w14:ligatures w14:val="none"/>
        </w:rPr>
        <w:t xml:space="preserve">Kovačić Petrović, Z., Peraica, T. &amp; </w:t>
      </w:r>
      <w:proofErr w:type="spellStart"/>
      <w:r w:rsidRPr="003B1C1B">
        <w:rPr>
          <w:rFonts w:ascii="Arial" w:eastAsia="Times New Roman" w:hAnsi="Arial" w:cs="Arial"/>
          <w:kern w:val="0"/>
          <w:sz w:val="22"/>
          <w:szCs w:val="22"/>
          <w:lang w:eastAsia="en-GB"/>
          <w14:ligatures w14:val="none"/>
        </w:rPr>
        <w:t>Kozarić</w:t>
      </w:r>
      <w:proofErr w:type="spellEnd"/>
      <w:r w:rsidRPr="003B1C1B">
        <w:rPr>
          <w:rFonts w:ascii="Arial" w:eastAsia="Times New Roman" w:hAnsi="Arial" w:cs="Arial"/>
          <w:kern w:val="0"/>
          <w:sz w:val="22"/>
          <w:szCs w:val="22"/>
          <w:lang w:eastAsia="en-GB"/>
          <w14:ligatures w14:val="none"/>
        </w:rPr>
        <w:t xml:space="preserve">-Kovačić, D. (2025) ‘Alcohol Use Disorder and Dementia: A Scoping Review’, </w:t>
      </w:r>
      <w:r w:rsidRPr="003B1C1B">
        <w:rPr>
          <w:rFonts w:ascii="Arial" w:eastAsia="Times New Roman" w:hAnsi="Arial" w:cs="Arial"/>
          <w:i/>
          <w:iCs/>
          <w:kern w:val="0"/>
          <w:sz w:val="22"/>
          <w:szCs w:val="22"/>
          <w:lang w:eastAsia="en-GB"/>
          <w14:ligatures w14:val="none"/>
        </w:rPr>
        <w:t>Current Addiction Reports</w:t>
      </w:r>
      <w:r w:rsidRPr="003B1C1B">
        <w:rPr>
          <w:rFonts w:ascii="Arial" w:eastAsia="Times New Roman" w:hAnsi="Arial" w:cs="Arial"/>
          <w:kern w:val="0"/>
          <w:sz w:val="22"/>
          <w:szCs w:val="22"/>
          <w:lang w:eastAsia="en-GB"/>
          <w14:ligatures w14:val="none"/>
        </w:rPr>
        <w:t>, 12(56). DOI: 10.1007/s40429-</w:t>
      </w:r>
      <w:r w:rsidRPr="003B1C1B">
        <w:rPr>
          <w:rFonts w:ascii="Arial" w:eastAsia="Times New Roman" w:hAnsi="Arial" w:cs="Arial"/>
          <w:kern w:val="0"/>
          <w:sz w:val="22"/>
          <w:szCs w:val="22"/>
          <w:lang w:eastAsia="en-GB"/>
          <w14:ligatures w14:val="none"/>
        </w:rPr>
        <w:lastRenderedPageBreak/>
        <w:t xml:space="preserve">025-00668-1. Available at: </w:t>
      </w:r>
      <w:hyperlink r:id="rId24" w:tgtFrame="_blank" w:history="1">
        <w:r w:rsidRPr="003B1C1B">
          <w:rPr>
            <w:rFonts w:ascii="Arial" w:eastAsia="Times New Roman" w:hAnsi="Arial" w:cs="Arial"/>
            <w:color w:val="0000FF"/>
            <w:kern w:val="0"/>
            <w:sz w:val="22"/>
            <w:szCs w:val="22"/>
            <w:u w:val="single"/>
            <w:lang w:eastAsia="en-GB"/>
            <w14:ligatures w14:val="none"/>
          </w:rPr>
          <w:t>https://link.springer.com/article/10.1007/s40429-025-00668-1</w:t>
        </w:r>
      </w:hyperlink>
      <w:r w:rsidRPr="003B1C1B">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12</w:t>
      </w:r>
      <w:r w:rsidRPr="008D40C4">
        <w:rPr>
          <w:rFonts w:ascii="Arial" w:eastAsia="Times New Roman" w:hAnsi="Arial" w:cs="Arial"/>
          <w:kern w:val="0"/>
          <w:sz w:val="22"/>
          <w:szCs w:val="22"/>
          <w:lang w:eastAsia="en-GB"/>
          <w14:ligatures w14:val="none"/>
        </w:rPr>
        <w:t xml:space="preserve"> November 2025).</w:t>
      </w:r>
    </w:p>
    <w:p w14:paraId="03F3C89E" w14:textId="77777777" w:rsidR="006166E9" w:rsidRDefault="006166E9" w:rsidP="000C6738">
      <w:pPr>
        <w:spacing w:after="0" w:line="300" w:lineRule="atLeast"/>
        <w:rPr>
          <w:rFonts w:ascii="Segoe UI" w:eastAsia="Times New Roman" w:hAnsi="Segoe UI" w:cs="Segoe UI"/>
          <w:kern w:val="0"/>
          <w:sz w:val="21"/>
          <w:szCs w:val="21"/>
          <w:lang w:eastAsia="en-GB"/>
          <w14:ligatures w14:val="none"/>
        </w:rPr>
      </w:pPr>
      <w:bookmarkStart w:id="1" w:name="_Hlk215752102"/>
      <w:r w:rsidRPr="000C6738">
        <w:rPr>
          <w:rFonts w:ascii="Segoe UI" w:eastAsia="Times New Roman" w:hAnsi="Segoe UI" w:cs="Segoe UI"/>
          <w:kern w:val="0"/>
          <w:sz w:val="21"/>
          <w:szCs w:val="21"/>
          <w:lang w:eastAsia="en-GB"/>
          <w14:ligatures w14:val="none"/>
        </w:rPr>
        <w:t xml:space="preserve">Kovačić Petrović, Z., Peraica, T. &amp; </w:t>
      </w:r>
      <w:proofErr w:type="spellStart"/>
      <w:r w:rsidRPr="000C6738">
        <w:rPr>
          <w:rFonts w:ascii="Segoe UI" w:eastAsia="Times New Roman" w:hAnsi="Segoe UI" w:cs="Segoe UI"/>
          <w:kern w:val="0"/>
          <w:sz w:val="21"/>
          <w:szCs w:val="21"/>
          <w:lang w:eastAsia="en-GB"/>
          <w14:ligatures w14:val="none"/>
        </w:rPr>
        <w:t>Kozarić</w:t>
      </w:r>
      <w:proofErr w:type="spellEnd"/>
      <w:r w:rsidRPr="000C6738">
        <w:rPr>
          <w:rFonts w:ascii="Segoe UI" w:eastAsia="Times New Roman" w:hAnsi="Segoe UI" w:cs="Segoe UI"/>
          <w:kern w:val="0"/>
          <w:sz w:val="21"/>
          <w:szCs w:val="21"/>
          <w:lang w:eastAsia="en-GB"/>
          <w14:ligatures w14:val="none"/>
        </w:rPr>
        <w:t xml:space="preserve">-Kovačić, D., </w:t>
      </w:r>
      <w:r w:rsidRPr="001D5333">
        <w:rPr>
          <w:rFonts w:ascii="Segoe UI" w:eastAsia="Times New Roman" w:hAnsi="Segoe UI" w:cs="Segoe UI"/>
          <w:kern w:val="0"/>
          <w:sz w:val="21"/>
          <w:szCs w:val="21"/>
          <w:lang w:eastAsia="en-GB"/>
          <w14:ligatures w14:val="none"/>
        </w:rPr>
        <w:t>(</w:t>
      </w:r>
      <w:r w:rsidRPr="000C6738">
        <w:rPr>
          <w:rFonts w:ascii="Segoe UI" w:eastAsia="Times New Roman" w:hAnsi="Segoe UI" w:cs="Segoe UI"/>
          <w:kern w:val="0"/>
          <w:sz w:val="21"/>
          <w:szCs w:val="21"/>
          <w:lang w:eastAsia="en-GB"/>
          <w14:ligatures w14:val="none"/>
        </w:rPr>
        <w:t>2025</w:t>
      </w:r>
      <w:bookmarkEnd w:id="1"/>
      <w:r w:rsidRPr="001D5333">
        <w:rPr>
          <w:rFonts w:ascii="Segoe UI" w:eastAsia="Times New Roman" w:hAnsi="Segoe UI" w:cs="Segoe UI"/>
          <w:kern w:val="0"/>
          <w:sz w:val="21"/>
          <w:szCs w:val="21"/>
          <w:lang w:eastAsia="en-GB"/>
          <w14:ligatures w14:val="none"/>
        </w:rPr>
        <w:t>)</w:t>
      </w:r>
      <w:r w:rsidRPr="000C6738">
        <w:rPr>
          <w:rFonts w:ascii="Segoe UI" w:eastAsia="Times New Roman" w:hAnsi="Segoe UI" w:cs="Segoe UI"/>
          <w:kern w:val="0"/>
          <w:sz w:val="21"/>
          <w:szCs w:val="21"/>
          <w:lang w:eastAsia="en-GB"/>
          <w14:ligatures w14:val="none"/>
        </w:rPr>
        <w:t xml:space="preserve"> </w:t>
      </w:r>
      <w:r w:rsidRPr="001D5333">
        <w:rPr>
          <w:rFonts w:ascii="Segoe UI" w:eastAsia="Times New Roman" w:hAnsi="Segoe UI" w:cs="Segoe UI"/>
          <w:kern w:val="0"/>
          <w:sz w:val="21"/>
          <w:szCs w:val="21"/>
          <w:lang w:eastAsia="en-GB"/>
          <w14:ligatures w14:val="none"/>
        </w:rPr>
        <w:t>‘</w:t>
      </w:r>
      <w:r w:rsidRPr="000C6738">
        <w:rPr>
          <w:rFonts w:ascii="Segoe UI" w:eastAsia="Times New Roman" w:hAnsi="Segoe UI" w:cs="Segoe UI"/>
          <w:kern w:val="0"/>
          <w:sz w:val="21"/>
          <w:szCs w:val="21"/>
          <w:lang w:eastAsia="en-GB"/>
          <w14:ligatures w14:val="none"/>
        </w:rPr>
        <w:t>Alcohol Use Disorder and Dementia: A Scoping Review</w:t>
      </w:r>
      <w:r w:rsidRPr="001D5333">
        <w:rPr>
          <w:rFonts w:ascii="Segoe UI" w:eastAsia="Times New Roman" w:hAnsi="Segoe UI" w:cs="Segoe UI"/>
          <w:kern w:val="0"/>
          <w:sz w:val="21"/>
          <w:szCs w:val="21"/>
          <w:lang w:eastAsia="en-GB"/>
          <w14:ligatures w14:val="none"/>
        </w:rPr>
        <w:t>’</w:t>
      </w:r>
      <w:r w:rsidRPr="000C6738">
        <w:rPr>
          <w:rFonts w:ascii="Segoe UI" w:eastAsia="Times New Roman" w:hAnsi="Segoe UI" w:cs="Segoe UI"/>
          <w:kern w:val="0"/>
          <w:sz w:val="21"/>
          <w:szCs w:val="21"/>
          <w:lang w:eastAsia="en-GB"/>
          <w14:ligatures w14:val="none"/>
        </w:rPr>
        <w:t xml:space="preserve">. </w:t>
      </w:r>
      <w:r w:rsidRPr="000C6738">
        <w:rPr>
          <w:rFonts w:ascii="Segoe UI" w:eastAsia="Times New Roman" w:hAnsi="Segoe UI" w:cs="Segoe UI"/>
          <w:i/>
          <w:iCs/>
          <w:kern w:val="0"/>
          <w:sz w:val="21"/>
          <w:szCs w:val="21"/>
          <w:lang w:eastAsia="en-GB"/>
          <w14:ligatures w14:val="none"/>
        </w:rPr>
        <w:t>Current Addiction Reports</w:t>
      </w:r>
      <w:r w:rsidRPr="000C6738">
        <w:rPr>
          <w:rFonts w:ascii="Segoe UI" w:eastAsia="Times New Roman" w:hAnsi="Segoe UI" w:cs="Segoe UI"/>
          <w:kern w:val="0"/>
          <w:sz w:val="21"/>
          <w:szCs w:val="21"/>
          <w:lang w:eastAsia="en-GB"/>
          <w14:ligatures w14:val="none"/>
        </w:rPr>
        <w:t xml:space="preserve">, 12(56). Available at: </w:t>
      </w:r>
      <w:hyperlink r:id="rId25" w:history="1">
        <w:r w:rsidRPr="000C6738">
          <w:rPr>
            <w:rStyle w:val="Hyperlink"/>
            <w:rFonts w:ascii="Segoe UI" w:eastAsia="Times New Roman" w:hAnsi="Segoe UI" w:cs="Segoe UI"/>
            <w:kern w:val="0"/>
            <w:sz w:val="21"/>
            <w:szCs w:val="21"/>
            <w:lang w:eastAsia="en-GB"/>
            <w14:ligatures w14:val="none"/>
          </w:rPr>
          <w:t>https://doi.org/10.1007/s40429-025-00668-1</w:t>
        </w:r>
      </w:hyperlink>
      <w:r w:rsidRPr="000C6738">
        <w:rPr>
          <w:rFonts w:ascii="Segoe UI" w:eastAsia="Times New Roman" w:hAnsi="Segoe UI" w:cs="Segoe UI"/>
          <w:kern w:val="0"/>
          <w:sz w:val="21"/>
          <w:szCs w:val="21"/>
          <w:lang w:eastAsia="en-GB"/>
          <w14:ligatures w14:val="none"/>
        </w:rPr>
        <w:t>.</w:t>
      </w:r>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18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3A641550"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Lai, J. et al. (2023) ‘Socioeconomic inequalities in dementia diagnosis and care’, </w:t>
      </w:r>
      <w:r w:rsidRPr="0062313E">
        <w:rPr>
          <w:rFonts w:ascii="Times New Roman" w:eastAsia="Times New Roman" w:hAnsi="Times New Roman" w:cs="Times New Roman"/>
          <w:i/>
          <w:iCs/>
          <w:kern w:val="0"/>
          <w:lang w:eastAsia="en-GB"/>
          <w14:ligatures w14:val="none"/>
        </w:rPr>
        <w:t>Age and Ageing</w:t>
      </w:r>
      <w:r w:rsidRPr="0062313E">
        <w:rPr>
          <w:rFonts w:ascii="Times New Roman" w:eastAsia="Times New Roman" w:hAnsi="Times New Roman" w:cs="Times New Roman"/>
          <w:kern w:val="0"/>
          <w:lang w:eastAsia="en-GB"/>
          <w14:ligatures w14:val="none"/>
        </w:rPr>
        <w:t>, 52(7), afad123.</w:t>
      </w:r>
      <w:r w:rsidRPr="0062313E">
        <w:rPr>
          <w:rFonts w:ascii="Times New Roman" w:eastAsia="Times New Roman" w:hAnsi="Times New Roman" w:cs="Times New Roman"/>
          <w:kern w:val="0"/>
          <w:lang w:eastAsia="en-GB"/>
          <w14:ligatures w14:val="none"/>
        </w:rPr>
        <w:br/>
        <w:t xml:space="preserve">Available at: </w:t>
      </w:r>
      <w:hyperlink r:id="rId26" w:history="1">
        <w:r w:rsidRPr="0062313E">
          <w:rPr>
            <w:rStyle w:val="Hyperlink"/>
            <w:rFonts w:ascii="Times New Roman" w:eastAsia="Times New Roman" w:hAnsi="Times New Roman" w:cs="Times New Roman"/>
            <w:kern w:val="0"/>
            <w:lang w:eastAsia="en-GB"/>
            <w14:ligatures w14:val="none"/>
          </w:rPr>
          <w:t>https://doi.org/10.1093/ageing/afad123</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17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2C927595"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Liu, Y. et al. (2019) ‘Financial strain, employment, and role captivity and overload over time among dementia family caregivers’, </w:t>
      </w:r>
      <w:r w:rsidRPr="004A2F7F">
        <w:rPr>
          <w:rFonts w:ascii="Arial" w:eastAsia="Times New Roman" w:hAnsi="Arial" w:cs="Arial"/>
          <w:i/>
          <w:iCs/>
          <w:kern w:val="0"/>
          <w:sz w:val="22"/>
          <w:szCs w:val="22"/>
          <w:lang w:eastAsia="en-GB"/>
          <w14:ligatures w14:val="none"/>
        </w:rPr>
        <w:t>The Gerontologist</w:t>
      </w:r>
      <w:r w:rsidRPr="004A46AA">
        <w:rPr>
          <w:rFonts w:ascii="Arial" w:eastAsia="Times New Roman" w:hAnsi="Arial" w:cs="Arial"/>
          <w:kern w:val="0"/>
          <w:sz w:val="22"/>
          <w:szCs w:val="22"/>
          <w:lang w:eastAsia="en-GB"/>
          <w14:ligatures w14:val="none"/>
        </w:rPr>
        <w:t xml:space="preserve">, 59(5), e512–e520. Available at: </w:t>
      </w:r>
      <w:hyperlink r:id="rId27" w:history="1">
        <w:r w:rsidRPr="004A46AA">
          <w:rPr>
            <w:rStyle w:val="Hyperlink"/>
            <w:rFonts w:ascii="Arial" w:eastAsia="Times New Roman" w:hAnsi="Arial" w:cs="Arial"/>
            <w:kern w:val="0"/>
            <w:sz w:val="22"/>
            <w:szCs w:val="22"/>
            <w:lang w:eastAsia="en-GB"/>
            <w14:ligatures w14:val="none"/>
          </w:rPr>
          <w:t>https://academic.oup.com/gerontologist/article/59/5/e512/5536121</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15</w:t>
      </w:r>
      <w:r w:rsidRPr="008D40C4">
        <w:rPr>
          <w:rFonts w:ascii="Arial" w:eastAsia="Times New Roman" w:hAnsi="Arial" w:cs="Arial"/>
          <w:kern w:val="0"/>
          <w:sz w:val="22"/>
          <w:szCs w:val="22"/>
          <w:lang w:eastAsia="en-GB"/>
          <w14:ligatures w14:val="none"/>
        </w:rPr>
        <w:t xml:space="preserve"> November 2025).</w:t>
      </w:r>
    </w:p>
    <w:p w14:paraId="09B58E9A"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Livingston, G. et al. (2017) ‘Dementia prevention, intervention, and care’, </w:t>
      </w:r>
      <w:r w:rsidRPr="0062313E">
        <w:rPr>
          <w:rFonts w:ascii="Times New Roman" w:eastAsia="Times New Roman" w:hAnsi="Times New Roman" w:cs="Times New Roman"/>
          <w:i/>
          <w:iCs/>
          <w:kern w:val="0"/>
          <w:lang w:eastAsia="en-GB"/>
          <w14:ligatures w14:val="none"/>
        </w:rPr>
        <w:t>The Lancet</w:t>
      </w:r>
      <w:r w:rsidRPr="0062313E">
        <w:rPr>
          <w:rFonts w:ascii="Times New Roman" w:eastAsia="Times New Roman" w:hAnsi="Times New Roman" w:cs="Times New Roman"/>
          <w:kern w:val="0"/>
          <w:lang w:eastAsia="en-GB"/>
          <w14:ligatures w14:val="none"/>
        </w:rPr>
        <w:t>, 390(10113), pp. 2673–2734.</w:t>
      </w:r>
      <w:r w:rsidRPr="0062313E">
        <w:rPr>
          <w:rFonts w:ascii="Times New Roman" w:eastAsia="Times New Roman" w:hAnsi="Times New Roman" w:cs="Times New Roman"/>
          <w:kern w:val="0"/>
          <w:lang w:eastAsia="en-GB"/>
          <w14:ligatures w14:val="none"/>
        </w:rPr>
        <w:br/>
        <w:t xml:space="preserve">Available at: </w:t>
      </w:r>
      <w:hyperlink r:id="rId28" w:history="1">
        <w:r w:rsidRPr="0062313E">
          <w:rPr>
            <w:rStyle w:val="Hyperlink"/>
            <w:rFonts w:ascii="Times New Roman" w:eastAsia="Times New Roman" w:hAnsi="Times New Roman" w:cs="Times New Roman"/>
            <w:kern w:val="0"/>
            <w:lang w:eastAsia="en-GB"/>
            <w14:ligatures w14:val="none"/>
          </w:rPr>
          <w:t>https://doi.org/10.1016/S0140-6736(17)31363-6</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15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52C69A3"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Livingston, G. et al. (2020) ‘Dementia prevention, intervention, and care: 2020 report of the Lancet Commission’, </w:t>
      </w:r>
      <w:r w:rsidRPr="0062313E">
        <w:rPr>
          <w:rFonts w:ascii="Times New Roman" w:eastAsia="Times New Roman" w:hAnsi="Times New Roman" w:cs="Times New Roman"/>
          <w:i/>
          <w:iCs/>
          <w:kern w:val="0"/>
          <w:lang w:eastAsia="en-GB"/>
          <w14:ligatures w14:val="none"/>
        </w:rPr>
        <w:t>The Lancet</w:t>
      </w:r>
      <w:r w:rsidRPr="0062313E">
        <w:rPr>
          <w:rFonts w:ascii="Times New Roman" w:eastAsia="Times New Roman" w:hAnsi="Times New Roman" w:cs="Times New Roman"/>
          <w:kern w:val="0"/>
          <w:lang w:eastAsia="en-GB"/>
          <w14:ligatures w14:val="none"/>
        </w:rPr>
        <w:t>, 396(10248), pp. 413–446.</w:t>
      </w:r>
      <w:r w:rsidRPr="0062313E">
        <w:rPr>
          <w:rFonts w:ascii="Times New Roman" w:eastAsia="Times New Roman" w:hAnsi="Times New Roman" w:cs="Times New Roman"/>
          <w:kern w:val="0"/>
          <w:lang w:eastAsia="en-GB"/>
          <w14:ligatures w14:val="none"/>
        </w:rPr>
        <w:br/>
        <w:t xml:space="preserve">Available at: </w:t>
      </w:r>
      <w:hyperlink r:id="rId29" w:history="1">
        <w:r w:rsidRPr="0062313E">
          <w:rPr>
            <w:rStyle w:val="Hyperlink"/>
            <w:rFonts w:ascii="Times New Roman" w:eastAsia="Times New Roman" w:hAnsi="Times New Roman" w:cs="Times New Roman"/>
            <w:kern w:val="0"/>
            <w:lang w:eastAsia="en-GB"/>
            <w14:ligatures w14:val="none"/>
          </w:rPr>
          <w:t>https://doi.org/10.1016/S0140-6736(20)30367-6</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25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63DD54D3"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Livingston, G., Huntley, J., Liu, K.Y., et al. (2024) ‘Dementia prevention, intervention, and care: 2024 report of the Lancet Commission’, </w:t>
      </w:r>
      <w:r w:rsidRPr="004A2F7F">
        <w:rPr>
          <w:rFonts w:ascii="Arial" w:eastAsia="Times New Roman" w:hAnsi="Arial" w:cs="Arial"/>
          <w:i/>
          <w:iCs/>
          <w:kern w:val="0"/>
          <w:sz w:val="22"/>
          <w:szCs w:val="22"/>
          <w:lang w:eastAsia="en-GB"/>
          <w14:ligatures w14:val="none"/>
        </w:rPr>
        <w:t>The Lancet</w:t>
      </w:r>
      <w:r w:rsidRPr="004A46AA">
        <w:rPr>
          <w:rFonts w:ascii="Arial" w:eastAsia="Times New Roman" w:hAnsi="Arial" w:cs="Arial"/>
          <w:kern w:val="0"/>
          <w:sz w:val="22"/>
          <w:szCs w:val="22"/>
          <w:lang w:eastAsia="en-GB"/>
          <w14:ligatures w14:val="none"/>
        </w:rPr>
        <w:t xml:space="preserve">, 404(10452), pp. 572–628. doi:10.1016/S0140-6736(24)01296-0. Available at: </w:t>
      </w:r>
      <w:hyperlink r:id="rId30" w:history="1">
        <w:r w:rsidRPr="004A46AA">
          <w:rPr>
            <w:rStyle w:val="Hyperlink"/>
            <w:rFonts w:ascii="Arial" w:eastAsia="Times New Roman" w:hAnsi="Arial" w:cs="Arial"/>
            <w:kern w:val="0"/>
            <w:sz w:val="22"/>
            <w:szCs w:val="22"/>
            <w:lang w:eastAsia="en-GB"/>
            <w14:ligatures w14:val="none"/>
          </w:rPr>
          <w:t>https://repository.gheli.harvard.edu/repository/14303/</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19</w:t>
      </w:r>
      <w:r w:rsidRPr="008D40C4">
        <w:rPr>
          <w:rFonts w:ascii="Arial" w:eastAsia="Times New Roman" w:hAnsi="Arial" w:cs="Arial"/>
          <w:kern w:val="0"/>
          <w:sz w:val="22"/>
          <w:szCs w:val="22"/>
          <w:lang w:eastAsia="en-GB"/>
          <w14:ligatures w14:val="none"/>
        </w:rPr>
        <w:t xml:space="preserve"> November 2025).</w:t>
      </w:r>
    </w:p>
    <w:p w14:paraId="3D0C0ED9"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Livingston, G., Huntley, J., </w:t>
      </w:r>
      <w:proofErr w:type="spellStart"/>
      <w:r w:rsidRPr="004A46AA">
        <w:rPr>
          <w:rFonts w:ascii="Arial" w:eastAsia="Times New Roman" w:hAnsi="Arial" w:cs="Arial"/>
          <w:kern w:val="0"/>
          <w:sz w:val="22"/>
          <w:szCs w:val="22"/>
          <w:lang w:eastAsia="en-GB"/>
          <w14:ligatures w14:val="none"/>
        </w:rPr>
        <w:t>Sommerlad</w:t>
      </w:r>
      <w:proofErr w:type="spellEnd"/>
      <w:r w:rsidRPr="004A46AA">
        <w:rPr>
          <w:rFonts w:ascii="Arial" w:eastAsia="Times New Roman" w:hAnsi="Arial" w:cs="Arial"/>
          <w:kern w:val="0"/>
          <w:sz w:val="22"/>
          <w:szCs w:val="22"/>
          <w:lang w:eastAsia="en-GB"/>
          <w14:ligatures w14:val="none"/>
        </w:rPr>
        <w:t xml:space="preserve">, A., Ames, D., Ballard, C., Banerjee, S., et al. (2020) ‘Dementia prevention, intervention, and care: 2020 report of the Lancet Commission’, </w:t>
      </w:r>
      <w:r w:rsidRPr="004A2F7F">
        <w:rPr>
          <w:rFonts w:ascii="Arial" w:eastAsia="Times New Roman" w:hAnsi="Arial" w:cs="Arial"/>
          <w:i/>
          <w:iCs/>
          <w:kern w:val="0"/>
          <w:sz w:val="22"/>
          <w:szCs w:val="22"/>
          <w:lang w:eastAsia="en-GB"/>
          <w14:ligatures w14:val="none"/>
        </w:rPr>
        <w:t>The Lancet</w:t>
      </w:r>
      <w:r w:rsidRPr="004A46AA">
        <w:rPr>
          <w:rFonts w:ascii="Arial" w:eastAsia="Times New Roman" w:hAnsi="Arial" w:cs="Arial"/>
          <w:kern w:val="0"/>
          <w:sz w:val="22"/>
          <w:szCs w:val="22"/>
          <w:lang w:eastAsia="en-GB"/>
          <w14:ligatures w14:val="none"/>
        </w:rPr>
        <w:t xml:space="preserve">, 396(10248), pp. 413–446. Available at: </w:t>
      </w:r>
      <w:hyperlink r:id="rId31" w:history="1">
        <w:r w:rsidRPr="004A46AA">
          <w:rPr>
            <w:rStyle w:val="Hyperlink"/>
            <w:rFonts w:ascii="Arial" w:eastAsia="Times New Roman" w:hAnsi="Arial" w:cs="Arial"/>
            <w:kern w:val="0"/>
            <w:sz w:val="22"/>
            <w:szCs w:val="22"/>
            <w:lang w:eastAsia="en-GB"/>
            <w14:ligatures w14:val="none"/>
          </w:rPr>
          <w:t>https://doi:10.1016/S0140-6736(20)30367-6</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11</w:t>
      </w:r>
      <w:r w:rsidRPr="008D40C4">
        <w:rPr>
          <w:rFonts w:ascii="Arial" w:eastAsia="Times New Roman" w:hAnsi="Arial" w:cs="Arial"/>
          <w:kern w:val="0"/>
          <w:sz w:val="22"/>
          <w:szCs w:val="22"/>
          <w:lang w:eastAsia="en-GB"/>
          <w14:ligatures w14:val="none"/>
        </w:rPr>
        <w:t xml:space="preserve"> November 2025).</w:t>
      </w:r>
    </w:p>
    <w:p w14:paraId="12A27FC3"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4A46AA">
        <w:rPr>
          <w:rFonts w:ascii="Arial" w:eastAsia="Times New Roman" w:hAnsi="Arial" w:cs="Arial"/>
          <w:kern w:val="0"/>
          <w:sz w:val="22"/>
          <w:szCs w:val="22"/>
          <w:lang w:eastAsia="en-GB"/>
          <w14:ligatures w14:val="none"/>
        </w:rPr>
        <w:t>Mukamal</w:t>
      </w:r>
      <w:proofErr w:type="spellEnd"/>
      <w:r w:rsidRPr="004A46AA">
        <w:rPr>
          <w:rFonts w:ascii="Arial" w:eastAsia="Times New Roman" w:hAnsi="Arial" w:cs="Arial"/>
          <w:kern w:val="0"/>
          <w:sz w:val="22"/>
          <w:szCs w:val="22"/>
          <w:lang w:eastAsia="en-GB"/>
          <w14:ligatures w14:val="none"/>
        </w:rPr>
        <w:t xml:space="preserve">, K. J., Kuller, L. H., Fitzpatrick, A. L., Longstreth, W. T., Mittleman, M. A., &amp; </w:t>
      </w:r>
      <w:proofErr w:type="spellStart"/>
      <w:r w:rsidRPr="004A46AA">
        <w:rPr>
          <w:rFonts w:ascii="Arial" w:eastAsia="Times New Roman" w:hAnsi="Arial" w:cs="Arial"/>
          <w:kern w:val="0"/>
          <w:sz w:val="22"/>
          <w:szCs w:val="22"/>
          <w:lang w:eastAsia="en-GB"/>
          <w14:ligatures w14:val="none"/>
        </w:rPr>
        <w:t>Siscovick</w:t>
      </w:r>
      <w:proofErr w:type="spellEnd"/>
      <w:r w:rsidRPr="004A46AA">
        <w:rPr>
          <w:rFonts w:ascii="Arial" w:eastAsia="Times New Roman" w:hAnsi="Arial" w:cs="Arial"/>
          <w:kern w:val="0"/>
          <w:sz w:val="22"/>
          <w:szCs w:val="22"/>
          <w:lang w:eastAsia="en-GB"/>
          <w14:ligatures w14:val="none"/>
        </w:rPr>
        <w:t xml:space="preserve">, D. S. (2003)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Prospective study of alcohol consumption and risk of dementia in older adults</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 </w:t>
      </w:r>
      <w:r w:rsidRPr="004A2F7F">
        <w:rPr>
          <w:rFonts w:ascii="Arial" w:eastAsia="Times New Roman" w:hAnsi="Arial" w:cs="Arial"/>
          <w:i/>
          <w:iCs/>
          <w:kern w:val="0"/>
          <w:sz w:val="22"/>
          <w:szCs w:val="22"/>
          <w:lang w:eastAsia="en-GB"/>
          <w14:ligatures w14:val="none"/>
        </w:rPr>
        <w:t>JAMA: Journal of the American Medical Association</w:t>
      </w:r>
      <w:r w:rsidRPr="004A46AA">
        <w:rPr>
          <w:rFonts w:ascii="Arial" w:eastAsia="Times New Roman" w:hAnsi="Arial" w:cs="Arial"/>
          <w:kern w:val="0"/>
          <w:sz w:val="22"/>
          <w:szCs w:val="22"/>
          <w:lang w:eastAsia="en-GB"/>
          <w14:ligatures w14:val="none"/>
        </w:rPr>
        <w:t xml:space="preserve">, 289(11), 1405–1413. Available at: </w:t>
      </w:r>
      <w:hyperlink r:id="rId32" w:history="1">
        <w:r w:rsidRPr="004A46AA">
          <w:rPr>
            <w:rStyle w:val="Hyperlink"/>
            <w:rFonts w:ascii="Arial" w:eastAsia="Times New Roman" w:hAnsi="Arial" w:cs="Arial"/>
            <w:kern w:val="0"/>
            <w:sz w:val="22"/>
            <w:szCs w:val="22"/>
            <w:lang w:eastAsia="en-GB"/>
            <w14:ligatures w14:val="none"/>
          </w:rPr>
          <w:t>https://doi.org/10.1001/jama.289.11.1405</w:t>
        </w:r>
      </w:hyperlink>
      <w:r>
        <w:t xml:space="preserve"> </w:t>
      </w:r>
      <w:r w:rsidRPr="008D40C4">
        <w:t xml:space="preserve">(Accessed: </w:t>
      </w:r>
      <w:r>
        <w:t>22</w:t>
      </w:r>
      <w:r w:rsidRPr="008D40C4">
        <w:t xml:space="preserve"> November 2025).</w:t>
      </w:r>
    </w:p>
    <w:p w14:paraId="7F0C2903" w14:textId="77777777" w:rsidR="006166E9" w:rsidRDefault="006166E9" w:rsidP="00C45079">
      <w:pPr>
        <w:spacing w:after="0" w:line="300" w:lineRule="atLeast"/>
        <w:rPr>
          <w:rFonts w:ascii="Segoe UI" w:eastAsia="Times New Roman" w:hAnsi="Segoe UI" w:cs="Segoe UI"/>
          <w:kern w:val="0"/>
          <w:sz w:val="21"/>
          <w:szCs w:val="21"/>
          <w:lang w:eastAsia="en-GB"/>
          <w14:ligatures w14:val="none"/>
        </w:rPr>
      </w:pPr>
      <w:r w:rsidRPr="00C45079">
        <w:rPr>
          <w:rFonts w:ascii="Segoe UI" w:eastAsia="Times New Roman" w:hAnsi="Segoe UI" w:cs="Segoe UI"/>
          <w:kern w:val="0"/>
          <w:sz w:val="21"/>
          <w:szCs w:val="21"/>
          <w:lang w:eastAsia="en-GB"/>
          <w14:ligatures w14:val="none"/>
        </w:rPr>
        <w:t xml:space="preserve">Nature Editorial, </w:t>
      </w:r>
      <w:r>
        <w:rPr>
          <w:rFonts w:ascii="Segoe UI" w:eastAsia="Times New Roman" w:hAnsi="Segoe UI" w:cs="Segoe UI"/>
          <w:kern w:val="0"/>
          <w:sz w:val="21"/>
          <w:szCs w:val="21"/>
          <w:lang w:eastAsia="en-GB"/>
          <w14:ligatures w14:val="none"/>
        </w:rPr>
        <w:t>(</w:t>
      </w:r>
      <w:r w:rsidRPr="00C45079">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C45079">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C45079">
        <w:rPr>
          <w:rFonts w:ascii="Segoe UI" w:eastAsia="Times New Roman" w:hAnsi="Segoe UI" w:cs="Segoe UI"/>
          <w:kern w:val="0"/>
          <w:sz w:val="21"/>
          <w:szCs w:val="21"/>
          <w:lang w:eastAsia="en-GB"/>
          <w14:ligatures w14:val="none"/>
        </w:rPr>
        <w:t>Alzheimer’s Drugs Are Finally Tackling the Disease Itself: Here’s How</w:t>
      </w:r>
      <w:r w:rsidRPr="001D5333">
        <w:rPr>
          <w:rFonts w:ascii="Segoe UI" w:eastAsia="Times New Roman" w:hAnsi="Segoe UI" w:cs="Segoe UI"/>
          <w:kern w:val="0"/>
          <w:sz w:val="21"/>
          <w:szCs w:val="21"/>
          <w:lang w:eastAsia="en-GB"/>
          <w14:ligatures w14:val="none"/>
        </w:rPr>
        <w:t>’</w:t>
      </w:r>
      <w:r w:rsidRPr="00C45079">
        <w:rPr>
          <w:rFonts w:ascii="Segoe UI" w:eastAsia="Times New Roman" w:hAnsi="Segoe UI" w:cs="Segoe UI"/>
          <w:kern w:val="0"/>
          <w:sz w:val="21"/>
          <w:szCs w:val="21"/>
          <w:lang w:eastAsia="en-GB"/>
          <w14:ligatures w14:val="none"/>
        </w:rPr>
        <w:t xml:space="preserve">. </w:t>
      </w:r>
      <w:r w:rsidRPr="00C45079">
        <w:rPr>
          <w:rFonts w:ascii="Segoe UI" w:eastAsia="Times New Roman" w:hAnsi="Segoe UI" w:cs="Segoe UI"/>
          <w:i/>
          <w:iCs/>
          <w:kern w:val="0"/>
          <w:sz w:val="21"/>
          <w:szCs w:val="21"/>
          <w:lang w:eastAsia="en-GB"/>
          <w14:ligatures w14:val="none"/>
        </w:rPr>
        <w:t>Nature.</w:t>
      </w:r>
      <w:r w:rsidRPr="00C45079">
        <w:rPr>
          <w:rFonts w:ascii="Segoe UI" w:eastAsia="Times New Roman" w:hAnsi="Segoe UI" w:cs="Segoe UI"/>
          <w:kern w:val="0"/>
          <w:sz w:val="21"/>
          <w:szCs w:val="21"/>
          <w:lang w:eastAsia="en-GB"/>
          <w14:ligatures w14:val="none"/>
        </w:rPr>
        <w:t xml:space="preserve"> Available at: </w:t>
      </w:r>
      <w:hyperlink r:id="rId33" w:history="1">
        <w:r w:rsidRPr="00C45079">
          <w:rPr>
            <w:rStyle w:val="Hyperlink"/>
            <w:rFonts w:ascii="Segoe UI" w:eastAsia="Times New Roman" w:hAnsi="Segoe UI" w:cs="Segoe UI"/>
            <w:kern w:val="0"/>
            <w:sz w:val="21"/>
            <w:szCs w:val="21"/>
            <w:lang w:eastAsia="en-GB"/>
            <w14:ligatures w14:val="none"/>
          </w:rPr>
          <w:t>https://www.nature.com/articles/d41586-025-02926-8</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532051C" w14:textId="77777777" w:rsidR="006166E9" w:rsidRDefault="006166E9" w:rsidP="00C45079">
      <w:pPr>
        <w:spacing w:after="0" w:line="300" w:lineRule="atLeast"/>
        <w:rPr>
          <w:rFonts w:ascii="Segoe UI" w:eastAsia="Times New Roman" w:hAnsi="Segoe UI" w:cs="Segoe UI"/>
          <w:kern w:val="0"/>
          <w:sz w:val="21"/>
          <w:szCs w:val="21"/>
          <w:lang w:eastAsia="en-GB"/>
          <w14:ligatures w14:val="none"/>
        </w:rPr>
      </w:pPr>
    </w:p>
    <w:p w14:paraId="108E5BBE" w14:textId="77777777" w:rsidR="006166E9" w:rsidRPr="00BD5F75" w:rsidRDefault="006166E9" w:rsidP="00BD5F75">
      <w:pPr>
        <w:rPr>
          <w:rFonts w:ascii="Segoe UI" w:eastAsia="Times New Roman" w:hAnsi="Segoe UI" w:cs="Segoe UI"/>
          <w:kern w:val="0"/>
          <w:sz w:val="21"/>
          <w:szCs w:val="21"/>
          <w:lang w:eastAsia="en-GB"/>
          <w14:ligatures w14:val="none"/>
        </w:rPr>
      </w:pPr>
      <w:r w:rsidRPr="00BD5F75">
        <w:t xml:space="preserve">NHS South, Central and West Commissioning Support Unit, </w:t>
      </w:r>
      <w:r>
        <w:t>(</w:t>
      </w:r>
      <w:r w:rsidRPr="00BD5F75">
        <w:t>2024</w:t>
      </w:r>
      <w:r>
        <w:t>)</w:t>
      </w:r>
      <w:r w:rsidRPr="00BD5F75">
        <w:t xml:space="preserve"> </w:t>
      </w:r>
      <w:r>
        <w:t>‘</w:t>
      </w:r>
      <w:r>
        <w:rPr>
          <w:rFonts w:ascii="Segoe UI" w:eastAsia="Times New Roman" w:hAnsi="Segoe UI" w:cs="Segoe UI"/>
          <w:kern w:val="0"/>
          <w:sz w:val="21"/>
          <w:szCs w:val="21"/>
          <w:lang w:eastAsia="en-GB"/>
          <w14:ligatures w14:val="none"/>
        </w:rPr>
        <w:t>A</w:t>
      </w:r>
      <w:r w:rsidRPr="00BD5F75">
        <w:rPr>
          <w:i/>
          <w:iCs/>
        </w:rPr>
        <w:t>ddressing health inequalities through Making Every Contact Count (MECC): A guide for acute settings</w:t>
      </w:r>
      <w:r>
        <w:rPr>
          <w:i/>
          <w:iCs/>
        </w:rPr>
        <w:t>’</w:t>
      </w:r>
      <w:r w:rsidRPr="00BD5F75">
        <w:t xml:space="preserve">. </w:t>
      </w:r>
      <w:r w:rsidRPr="00BD5F75">
        <w:rPr>
          <w:i/>
          <w:iCs/>
        </w:rPr>
        <w:t>NHS SCW</w:t>
      </w:r>
      <w:r w:rsidRPr="00BD5F75">
        <w:t xml:space="preserve">. Available at: </w:t>
      </w:r>
      <w:hyperlink r:id="rId34" w:tgtFrame="_blank" w:history="1">
        <w:r w:rsidRPr="00BD5F75">
          <w:rPr>
            <w:rStyle w:val="Hyperlink"/>
          </w:rPr>
          <w:t>https://www.scwcsu.nhs.uk/priorities/health-inequalities/health-inequalities/addressing-health-inequalities-through-making-every-contact-count-mecc</w:t>
        </w:r>
      </w:hyperlink>
      <w:r>
        <w:t xml:space="preserve"> </w:t>
      </w:r>
      <w:r w:rsidRPr="00BD5F75">
        <w:t xml:space="preserve"> </w:t>
      </w:r>
      <w:r>
        <w:t>(</w:t>
      </w:r>
      <w:r w:rsidRPr="00BD5F75">
        <w:t xml:space="preserve">Accessed </w:t>
      </w:r>
      <w:r>
        <w:t xml:space="preserve">17 November </w:t>
      </w:r>
      <w:r w:rsidRPr="00BD5F75">
        <w:t>2025</w:t>
      </w:r>
      <w:r>
        <w:t>).</w:t>
      </w:r>
    </w:p>
    <w:p w14:paraId="4062410B"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O’Donnell, A. et al. (2019) ‘Immediate impact of minimum unit pricing on alcohol purchases in Scotland’, </w:t>
      </w:r>
      <w:r w:rsidRPr="0062313E">
        <w:rPr>
          <w:rFonts w:ascii="Times New Roman" w:eastAsia="Times New Roman" w:hAnsi="Times New Roman" w:cs="Times New Roman"/>
          <w:i/>
          <w:iCs/>
          <w:kern w:val="0"/>
          <w:lang w:eastAsia="en-GB"/>
          <w14:ligatures w14:val="none"/>
        </w:rPr>
        <w:t>BMJ</w:t>
      </w:r>
      <w:r w:rsidRPr="0062313E">
        <w:rPr>
          <w:rFonts w:ascii="Times New Roman" w:eastAsia="Times New Roman" w:hAnsi="Times New Roman" w:cs="Times New Roman"/>
          <w:kern w:val="0"/>
          <w:lang w:eastAsia="en-GB"/>
          <w14:ligatures w14:val="none"/>
        </w:rPr>
        <w:t>, 366, l5274.</w:t>
      </w:r>
      <w:r w:rsidRPr="0062313E">
        <w:rPr>
          <w:rFonts w:ascii="Times New Roman" w:eastAsia="Times New Roman" w:hAnsi="Times New Roman" w:cs="Times New Roman"/>
          <w:kern w:val="0"/>
          <w:lang w:eastAsia="en-GB"/>
          <w14:ligatures w14:val="none"/>
        </w:rPr>
        <w:br/>
        <w:t xml:space="preserve">Available at: </w:t>
      </w:r>
      <w:hyperlink r:id="rId35" w:history="1">
        <w:r w:rsidRPr="0062313E">
          <w:rPr>
            <w:rStyle w:val="Hyperlink"/>
            <w:rFonts w:ascii="Times New Roman" w:eastAsia="Times New Roman" w:hAnsi="Times New Roman" w:cs="Times New Roman"/>
            <w:kern w:val="0"/>
            <w:lang w:eastAsia="en-GB"/>
            <w14:ligatures w14:val="none"/>
          </w:rPr>
          <w:t>https://doi.org/10.1136/bmj.l5274</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13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466259B" w14:textId="77777777" w:rsidR="006166E9" w:rsidRPr="0062313E"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Office for Health Improvement and Disparities (OHID) (2022) </w:t>
      </w:r>
      <w:r w:rsidRPr="0062313E">
        <w:rPr>
          <w:rFonts w:ascii="Times New Roman" w:eastAsia="Times New Roman" w:hAnsi="Times New Roman" w:cs="Times New Roman"/>
          <w:i/>
          <w:iCs/>
          <w:kern w:val="0"/>
          <w:lang w:eastAsia="en-GB"/>
          <w14:ligatures w14:val="none"/>
        </w:rPr>
        <w:t>Local Alcohol Profiles for England</w:t>
      </w:r>
      <w:r w:rsidRPr="0062313E">
        <w:rPr>
          <w:rFonts w:ascii="Times New Roman" w:eastAsia="Times New Roman" w:hAnsi="Times New Roman" w:cs="Times New Roman"/>
          <w:kern w:val="0"/>
          <w:lang w:eastAsia="en-GB"/>
          <w14:ligatures w14:val="none"/>
        </w:rPr>
        <w:t>.</w:t>
      </w:r>
      <w:r w:rsidRPr="0062313E">
        <w:rPr>
          <w:rFonts w:ascii="Times New Roman" w:eastAsia="Times New Roman" w:hAnsi="Times New Roman" w:cs="Times New Roman"/>
          <w:kern w:val="0"/>
          <w:lang w:eastAsia="en-GB"/>
          <w14:ligatures w14:val="none"/>
        </w:rPr>
        <w:br/>
        <w:t xml:space="preserve">Available at: </w:t>
      </w:r>
      <w:hyperlink r:id="rId36" w:tgtFrame="_new" w:history="1">
        <w:r w:rsidRPr="0062313E">
          <w:rPr>
            <w:rFonts w:ascii="Times New Roman" w:eastAsia="Times New Roman" w:hAnsi="Times New Roman" w:cs="Times New Roman"/>
            <w:color w:val="0000FF"/>
            <w:kern w:val="0"/>
            <w:u w:val="single"/>
            <w:lang w:eastAsia="en-GB"/>
            <w14:ligatures w14:val="none"/>
          </w:rPr>
          <w:t>https://fingertips.phe.org.uk/profile/local-alcohol-profiles</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28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2DBD6049"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4A46AA">
        <w:rPr>
          <w:rFonts w:ascii="Arial" w:eastAsia="Times New Roman" w:hAnsi="Arial" w:cs="Arial"/>
          <w:kern w:val="0"/>
          <w:sz w:val="22"/>
          <w:szCs w:val="22"/>
          <w:lang w:eastAsia="en-GB"/>
          <w14:ligatures w14:val="none"/>
        </w:rPr>
        <w:t>Omote</w:t>
      </w:r>
      <w:proofErr w:type="spellEnd"/>
      <w:r w:rsidRPr="004A46AA">
        <w:rPr>
          <w:rFonts w:ascii="Arial" w:eastAsia="Times New Roman" w:hAnsi="Arial" w:cs="Arial"/>
          <w:kern w:val="0"/>
          <w:sz w:val="22"/>
          <w:szCs w:val="22"/>
          <w:lang w:eastAsia="en-GB"/>
          <w14:ligatures w14:val="none"/>
        </w:rPr>
        <w:t>, S. et al. (2023) ‘Experience with support at workplaces for people with young onset dementia: a qualitative evaluation of being open about dementia’</w:t>
      </w:r>
      <w:r w:rsidRPr="004A2F7F">
        <w:rPr>
          <w:rFonts w:ascii="Arial" w:eastAsia="Times New Roman" w:hAnsi="Arial" w:cs="Arial"/>
          <w:i/>
          <w:iCs/>
          <w:kern w:val="0"/>
          <w:sz w:val="22"/>
          <w:szCs w:val="22"/>
          <w:lang w:eastAsia="en-GB"/>
          <w14:ligatures w14:val="none"/>
        </w:rPr>
        <w:t>, International Journal of Environmental Research and Public Health</w:t>
      </w:r>
      <w:r w:rsidRPr="004A46AA">
        <w:rPr>
          <w:rFonts w:ascii="Arial" w:eastAsia="Times New Roman" w:hAnsi="Arial" w:cs="Arial"/>
          <w:kern w:val="0"/>
          <w:sz w:val="22"/>
          <w:szCs w:val="22"/>
          <w:lang w:eastAsia="en-GB"/>
          <w14:ligatures w14:val="none"/>
        </w:rPr>
        <w:t xml:space="preserve">, 20(13), 6235. Available at: </w:t>
      </w:r>
      <w:hyperlink r:id="rId37" w:history="1">
        <w:r w:rsidRPr="004A46AA">
          <w:rPr>
            <w:rStyle w:val="Hyperlink"/>
            <w:rFonts w:ascii="Arial" w:eastAsia="Times New Roman" w:hAnsi="Arial" w:cs="Arial"/>
            <w:kern w:val="0"/>
            <w:sz w:val="22"/>
            <w:szCs w:val="22"/>
            <w:lang w:eastAsia="en-GB"/>
            <w14:ligatures w14:val="none"/>
          </w:rPr>
          <w:t>https://www.mdpi.com/1660-4601/20/13/6235</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10</w:t>
      </w:r>
      <w:r w:rsidRPr="008D40C4">
        <w:rPr>
          <w:rFonts w:ascii="Arial" w:eastAsia="Times New Roman" w:hAnsi="Arial" w:cs="Arial"/>
          <w:kern w:val="0"/>
          <w:sz w:val="22"/>
          <w:szCs w:val="22"/>
          <w:lang w:eastAsia="en-GB"/>
          <w14:ligatures w14:val="none"/>
        </w:rPr>
        <w:t xml:space="preserve"> November 2025).</w:t>
      </w:r>
    </w:p>
    <w:p w14:paraId="5523941B"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Petrović, Z.K., Peraica, T. and </w:t>
      </w:r>
      <w:proofErr w:type="spellStart"/>
      <w:r w:rsidRPr="004A46AA">
        <w:rPr>
          <w:rFonts w:ascii="Arial" w:eastAsia="Times New Roman" w:hAnsi="Arial" w:cs="Arial"/>
          <w:kern w:val="0"/>
          <w:sz w:val="22"/>
          <w:szCs w:val="22"/>
          <w:lang w:eastAsia="en-GB"/>
          <w14:ligatures w14:val="none"/>
        </w:rPr>
        <w:t>Kozarić</w:t>
      </w:r>
      <w:proofErr w:type="spellEnd"/>
      <w:r w:rsidRPr="004A46AA">
        <w:rPr>
          <w:rFonts w:ascii="Arial" w:eastAsia="Times New Roman" w:hAnsi="Arial" w:cs="Arial"/>
          <w:kern w:val="0"/>
          <w:sz w:val="22"/>
          <w:szCs w:val="22"/>
          <w:lang w:eastAsia="en-GB"/>
          <w14:ligatures w14:val="none"/>
        </w:rPr>
        <w:t xml:space="preserve">-Kovačić, D. (2025)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Alcohol Use Disorder and Dementia: A Scoping Review</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 </w:t>
      </w:r>
      <w:r w:rsidRPr="004A2F7F">
        <w:rPr>
          <w:rFonts w:ascii="Arial" w:eastAsia="Times New Roman" w:hAnsi="Arial" w:cs="Arial"/>
          <w:i/>
          <w:iCs/>
          <w:kern w:val="0"/>
          <w:sz w:val="22"/>
          <w:szCs w:val="22"/>
          <w:lang w:eastAsia="en-GB"/>
          <w14:ligatures w14:val="none"/>
        </w:rPr>
        <w:t>Current Addiction Reports</w:t>
      </w:r>
      <w:r w:rsidRPr="004A46AA">
        <w:rPr>
          <w:rFonts w:ascii="Arial" w:eastAsia="Times New Roman" w:hAnsi="Arial" w:cs="Arial"/>
          <w:kern w:val="0"/>
          <w:sz w:val="22"/>
          <w:szCs w:val="22"/>
          <w:lang w:eastAsia="en-GB"/>
          <w14:ligatures w14:val="none"/>
        </w:rPr>
        <w:t xml:space="preserve">, 12(1). Available at: </w:t>
      </w:r>
      <w:hyperlink r:id="rId38" w:history="1">
        <w:r w:rsidRPr="004A46AA">
          <w:rPr>
            <w:rStyle w:val="Hyperlink"/>
            <w:rFonts w:ascii="Arial" w:eastAsia="Times New Roman" w:hAnsi="Arial" w:cs="Arial"/>
            <w:kern w:val="0"/>
            <w:sz w:val="22"/>
            <w:szCs w:val="22"/>
            <w:lang w:eastAsia="en-GB"/>
            <w14:ligatures w14:val="none"/>
          </w:rPr>
          <w:t>https://doi.org/10.1007/s40429-025-00668-1</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14</w:t>
      </w:r>
      <w:r w:rsidRPr="008D40C4">
        <w:rPr>
          <w:rFonts w:ascii="Arial" w:eastAsia="Times New Roman" w:hAnsi="Arial" w:cs="Arial"/>
          <w:kern w:val="0"/>
          <w:sz w:val="22"/>
          <w:szCs w:val="22"/>
          <w:lang w:eastAsia="en-GB"/>
          <w14:ligatures w14:val="none"/>
        </w:rPr>
        <w:t xml:space="preserve"> November 2025).</w:t>
      </w:r>
    </w:p>
    <w:p w14:paraId="50F5A381"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Pickett, K., </w:t>
      </w:r>
      <w:proofErr w:type="spellStart"/>
      <w:r w:rsidRPr="004A46AA">
        <w:rPr>
          <w:rFonts w:ascii="Arial" w:eastAsia="Times New Roman" w:hAnsi="Arial" w:cs="Arial"/>
          <w:kern w:val="0"/>
          <w:sz w:val="22"/>
          <w:szCs w:val="22"/>
          <w:lang w:eastAsia="en-GB"/>
          <w14:ligatures w14:val="none"/>
        </w:rPr>
        <w:t>Gauhar</w:t>
      </w:r>
      <w:proofErr w:type="spellEnd"/>
      <w:r w:rsidRPr="004A46AA">
        <w:rPr>
          <w:rFonts w:ascii="Arial" w:eastAsia="Times New Roman" w:hAnsi="Arial" w:cs="Arial"/>
          <w:kern w:val="0"/>
          <w:sz w:val="22"/>
          <w:szCs w:val="22"/>
          <w:lang w:eastAsia="en-GB"/>
          <w14:ligatures w14:val="none"/>
        </w:rPr>
        <w:t xml:space="preserve">, A. and Wilkinson, R. (2024) ‘The Spirit Level at 15: The enduring impact of inequality’, </w:t>
      </w:r>
      <w:r w:rsidRPr="004A2F7F">
        <w:rPr>
          <w:rFonts w:ascii="Arial" w:eastAsia="Times New Roman" w:hAnsi="Arial" w:cs="Arial"/>
          <w:i/>
          <w:iCs/>
          <w:kern w:val="0"/>
          <w:sz w:val="22"/>
          <w:szCs w:val="22"/>
          <w:lang w:eastAsia="en-GB"/>
          <w14:ligatures w14:val="none"/>
        </w:rPr>
        <w:t>University of York Research Report</w:t>
      </w:r>
      <w:r w:rsidRPr="004A46AA">
        <w:rPr>
          <w:rFonts w:ascii="Arial" w:eastAsia="Times New Roman" w:hAnsi="Arial" w:cs="Arial"/>
          <w:kern w:val="0"/>
          <w:sz w:val="22"/>
          <w:szCs w:val="22"/>
          <w:lang w:eastAsia="en-GB"/>
          <w14:ligatures w14:val="none"/>
        </w:rPr>
        <w:t xml:space="preserve">. Available at: </w:t>
      </w:r>
      <w:hyperlink r:id="rId39" w:history="1">
        <w:r w:rsidRPr="004A46AA">
          <w:rPr>
            <w:rStyle w:val="Hyperlink"/>
            <w:rFonts w:ascii="Arial" w:eastAsia="Times New Roman" w:hAnsi="Arial" w:cs="Arial"/>
            <w:kern w:val="0"/>
            <w:sz w:val="22"/>
            <w:szCs w:val="22"/>
            <w:lang w:eastAsia="en-GB"/>
            <w14:ligatures w14:val="none"/>
          </w:rPr>
          <w:t>https://eprints.whiterose.ac.uk/id/eprint/215026/1/The_Spirit_Level_at_15_2024_FINAL.pdf</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(Accessed: 2</w:t>
      </w:r>
      <w:r>
        <w:rPr>
          <w:rFonts w:ascii="Arial" w:eastAsia="Times New Roman" w:hAnsi="Arial" w:cs="Arial"/>
          <w:kern w:val="0"/>
          <w:sz w:val="22"/>
          <w:szCs w:val="22"/>
          <w:lang w:eastAsia="en-GB"/>
          <w14:ligatures w14:val="none"/>
        </w:rPr>
        <w:t>0</w:t>
      </w:r>
      <w:r w:rsidRPr="008D40C4">
        <w:rPr>
          <w:rFonts w:ascii="Arial" w:eastAsia="Times New Roman" w:hAnsi="Arial" w:cs="Arial"/>
          <w:kern w:val="0"/>
          <w:sz w:val="22"/>
          <w:szCs w:val="22"/>
          <w:lang w:eastAsia="en-GB"/>
          <w14:ligatures w14:val="none"/>
        </w:rPr>
        <w:t xml:space="preserve"> November 2025).</w:t>
      </w:r>
    </w:p>
    <w:p w14:paraId="7A8E6194"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Prince, M. et al. (2022) ‘Social determinants, alcohol harm, and cognitive ageing’, </w:t>
      </w:r>
      <w:r w:rsidRPr="0062313E">
        <w:rPr>
          <w:rFonts w:ascii="Times New Roman" w:eastAsia="Times New Roman" w:hAnsi="Times New Roman" w:cs="Times New Roman"/>
          <w:i/>
          <w:iCs/>
          <w:kern w:val="0"/>
          <w:lang w:eastAsia="en-GB"/>
          <w14:ligatures w14:val="none"/>
        </w:rPr>
        <w:t>International Journal of Geriatric Psychiatry</w:t>
      </w:r>
      <w:r w:rsidRPr="0062313E">
        <w:rPr>
          <w:rFonts w:ascii="Times New Roman" w:eastAsia="Times New Roman" w:hAnsi="Times New Roman" w:cs="Times New Roman"/>
          <w:kern w:val="0"/>
          <w:lang w:eastAsia="en-GB"/>
          <w14:ligatures w14:val="none"/>
        </w:rPr>
        <w:t>, 37(5).</w:t>
      </w:r>
      <w:r w:rsidRPr="0062313E">
        <w:rPr>
          <w:rFonts w:ascii="Times New Roman" w:eastAsia="Times New Roman" w:hAnsi="Times New Roman" w:cs="Times New Roman"/>
          <w:kern w:val="0"/>
          <w:lang w:eastAsia="en-GB"/>
          <w14:ligatures w14:val="none"/>
        </w:rPr>
        <w:br/>
        <w:t xml:space="preserve">Available at: </w:t>
      </w:r>
      <w:hyperlink r:id="rId40" w:history="1">
        <w:r w:rsidRPr="0062313E">
          <w:rPr>
            <w:rStyle w:val="Hyperlink"/>
            <w:rFonts w:ascii="Times New Roman" w:eastAsia="Times New Roman" w:hAnsi="Times New Roman" w:cs="Times New Roman"/>
            <w:kern w:val="0"/>
            <w:lang w:eastAsia="en-GB"/>
            <w14:ligatures w14:val="none"/>
          </w:rPr>
          <w:t>https://doi.org/10.1002/gps.5721</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15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4342632D"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Rehm, J. et al. (2019) ‘Alcohol use and dementia: a systematic scoping review’, </w:t>
      </w:r>
      <w:r w:rsidRPr="0062313E">
        <w:rPr>
          <w:rFonts w:ascii="Times New Roman" w:eastAsia="Times New Roman" w:hAnsi="Times New Roman" w:cs="Times New Roman"/>
          <w:i/>
          <w:iCs/>
          <w:kern w:val="0"/>
          <w:lang w:eastAsia="en-GB"/>
          <w14:ligatures w14:val="none"/>
        </w:rPr>
        <w:t>Alzheimer’s Research &amp; Therapy</w:t>
      </w:r>
      <w:r w:rsidRPr="0062313E">
        <w:rPr>
          <w:rFonts w:ascii="Times New Roman" w:eastAsia="Times New Roman" w:hAnsi="Times New Roman" w:cs="Times New Roman"/>
          <w:kern w:val="0"/>
          <w:lang w:eastAsia="en-GB"/>
          <w14:ligatures w14:val="none"/>
        </w:rPr>
        <w:t>, 11(1), 1.</w:t>
      </w:r>
      <w:r w:rsidRPr="0062313E">
        <w:rPr>
          <w:rFonts w:ascii="Times New Roman" w:eastAsia="Times New Roman" w:hAnsi="Times New Roman" w:cs="Times New Roman"/>
          <w:kern w:val="0"/>
          <w:lang w:eastAsia="en-GB"/>
          <w14:ligatures w14:val="none"/>
        </w:rPr>
        <w:br/>
        <w:t xml:space="preserve">Available at: </w:t>
      </w:r>
      <w:hyperlink r:id="rId41" w:history="1">
        <w:r w:rsidRPr="0062313E">
          <w:rPr>
            <w:rStyle w:val="Hyperlink"/>
            <w:rFonts w:ascii="Times New Roman" w:eastAsia="Times New Roman" w:hAnsi="Times New Roman" w:cs="Times New Roman"/>
            <w:kern w:val="0"/>
            <w:lang w:eastAsia="en-GB"/>
            <w14:ligatures w14:val="none"/>
          </w:rPr>
          <w:t>https://doi.org/10.1186/s13195-018-0453-0</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18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64E38B4A"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Rehm, J., Hasan, O.S.M., Black, S.E., Shield, K.D. &amp; </w:t>
      </w:r>
      <w:proofErr w:type="spellStart"/>
      <w:r w:rsidRPr="004A46AA">
        <w:rPr>
          <w:rFonts w:ascii="Arial" w:eastAsia="Times New Roman" w:hAnsi="Arial" w:cs="Arial"/>
          <w:kern w:val="0"/>
          <w:sz w:val="22"/>
          <w:szCs w:val="22"/>
          <w:lang w:eastAsia="en-GB"/>
          <w14:ligatures w14:val="none"/>
        </w:rPr>
        <w:t>Schwarzinger</w:t>
      </w:r>
      <w:proofErr w:type="spellEnd"/>
      <w:r w:rsidRPr="004A46AA">
        <w:rPr>
          <w:rFonts w:ascii="Arial" w:eastAsia="Times New Roman" w:hAnsi="Arial" w:cs="Arial"/>
          <w:kern w:val="0"/>
          <w:sz w:val="22"/>
          <w:szCs w:val="22"/>
          <w:lang w:eastAsia="en-GB"/>
          <w14:ligatures w14:val="none"/>
        </w:rPr>
        <w:t xml:space="preserve">, M. (2019) ‘Alcohol use and dementia: a systematic scoping review’, </w:t>
      </w:r>
      <w:r w:rsidRPr="004A2F7F">
        <w:rPr>
          <w:rFonts w:ascii="Arial" w:eastAsia="Times New Roman" w:hAnsi="Arial" w:cs="Arial"/>
          <w:i/>
          <w:iCs/>
          <w:kern w:val="0"/>
          <w:sz w:val="22"/>
          <w:szCs w:val="22"/>
          <w:lang w:eastAsia="en-GB"/>
          <w14:ligatures w14:val="none"/>
        </w:rPr>
        <w:t>Alzheimer’s Research &amp; Therapy</w:t>
      </w:r>
      <w:r w:rsidRPr="004A46AA">
        <w:rPr>
          <w:rFonts w:ascii="Arial" w:eastAsia="Times New Roman" w:hAnsi="Arial" w:cs="Arial"/>
          <w:kern w:val="0"/>
          <w:sz w:val="22"/>
          <w:szCs w:val="22"/>
          <w:lang w:eastAsia="en-GB"/>
          <w14:ligatures w14:val="none"/>
        </w:rPr>
        <w:t xml:space="preserve">, 11(1), pp. 1–11. DOI: 10.1186/s13195-018-0453-0. Available at: </w:t>
      </w:r>
      <w:hyperlink r:id="rId42" w:history="1">
        <w:r w:rsidRPr="004A46AA">
          <w:rPr>
            <w:rStyle w:val="Hyperlink"/>
            <w:rFonts w:ascii="Arial" w:eastAsia="Times New Roman" w:hAnsi="Arial" w:cs="Arial"/>
            <w:kern w:val="0"/>
            <w:sz w:val="22"/>
            <w:szCs w:val="22"/>
            <w:lang w:eastAsia="en-GB"/>
            <w14:ligatures w14:val="none"/>
          </w:rPr>
          <w:t>https://doi.org/10.1186/s13195-018-0453-0</w:t>
        </w:r>
      </w:hyperlink>
      <w:r>
        <w:t xml:space="preserve"> </w:t>
      </w:r>
      <w:r w:rsidRPr="008D40C4">
        <w:t xml:space="preserve">(Accessed: </w:t>
      </w:r>
      <w:r>
        <w:t>13</w:t>
      </w:r>
      <w:r w:rsidRPr="008D40C4">
        <w:t xml:space="preserve"> November 2025).</w:t>
      </w:r>
    </w:p>
    <w:p w14:paraId="08637CD7"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lastRenderedPageBreak/>
        <w:t xml:space="preserve">Ridley, D. (2012)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The Literature Review: A Step-by-Step Guide for Students. 2nd </w:t>
      </w:r>
      <w:proofErr w:type="spellStart"/>
      <w:r w:rsidRPr="004A46AA">
        <w:rPr>
          <w:rFonts w:ascii="Arial" w:eastAsia="Times New Roman" w:hAnsi="Arial" w:cs="Arial"/>
          <w:kern w:val="0"/>
          <w:sz w:val="22"/>
          <w:szCs w:val="22"/>
          <w:lang w:eastAsia="en-GB"/>
          <w14:ligatures w14:val="none"/>
        </w:rPr>
        <w:t>edn</w:t>
      </w:r>
      <w:proofErr w:type="spellEnd"/>
      <w:r w:rsidRPr="004A46AA">
        <w:rPr>
          <w:rFonts w:ascii="Arial" w:eastAsia="Times New Roman" w:hAnsi="Arial" w:cs="Arial"/>
          <w:kern w:val="0"/>
          <w:sz w:val="22"/>
          <w:szCs w:val="22"/>
          <w:lang w:eastAsia="en-GB"/>
          <w14:ligatures w14:val="none"/>
        </w:rPr>
        <w:t>. London: SAGE Publications Ltd</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 xml:space="preserve">. </w:t>
      </w:r>
      <w:r w:rsidRPr="00E754F7">
        <w:rPr>
          <w:rFonts w:ascii="Arial" w:eastAsia="Times New Roman" w:hAnsi="Arial" w:cs="Arial"/>
          <w:i/>
          <w:iCs/>
          <w:kern w:val="0"/>
          <w:sz w:val="22"/>
          <w:szCs w:val="22"/>
          <w:lang w:eastAsia="en-GB"/>
          <w14:ligatures w14:val="none"/>
        </w:rPr>
        <w:t>ISBN</w:t>
      </w:r>
      <w:r w:rsidRPr="004A46AA">
        <w:rPr>
          <w:rFonts w:ascii="Arial" w:eastAsia="Times New Roman" w:hAnsi="Arial" w:cs="Arial"/>
          <w:kern w:val="0"/>
          <w:sz w:val="22"/>
          <w:szCs w:val="22"/>
          <w:lang w:eastAsia="en-GB"/>
          <w14:ligatures w14:val="none"/>
        </w:rPr>
        <w:t xml:space="preserve">: 9781446201435. Available at: </w:t>
      </w:r>
      <w:hyperlink r:id="rId43" w:history="1">
        <w:r w:rsidRPr="004A46AA">
          <w:rPr>
            <w:rStyle w:val="Hyperlink"/>
            <w:rFonts w:ascii="Arial" w:eastAsia="Times New Roman" w:hAnsi="Arial" w:cs="Arial"/>
            <w:kern w:val="0"/>
            <w:sz w:val="22"/>
            <w:szCs w:val="22"/>
            <w:lang w:eastAsia="en-GB"/>
            <w14:ligatures w14:val="none"/>
          </w:rPr>
          <w:t>https://uk.sagepub.com/en-gb/eur/the-literature-review/book236719</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29</w:t>
      </w:r>
      <w:r w:rsidRPr="008D40C4">
        <w:rPr>
          <w:rFonts w:ascii="Arial" w:eastAsia="Times New Roman" w:hAnsi="Arial" w:cs="Arial"/>
          <w:kern w:val="0"/>
          <w:sz w:val="22"/>
          <w:szCs w:val="22"/>
          <w:lang w:eastAsia="en-GB"/>
          <w14:ligatures w14:val="none"/>
        </w:rPr>
        <w:t xml:space="preserve"> November 2025).</w:t>
      </w:r>
    </w:p>
    <w:p w14:paraId="6BB8E73F"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Ridley, N.J., Draper, B. &amp; Withall, A. (2013) ‘Alcohol-related dementia: an update of the evidence’, </w:t>
      </w:r>
      <w:r w:rsidRPr="00E754F7">
        <w:rPr>
          <w:rFonts w:ascii="Arial" w:eastAsia="Times New Roman" w:hAnsi="Arial" w:cs="Arial"/>
          <w:i/>
          <w:iCs/>
          <w:kern w:val="0"/>
          <w:sz w:val="22"/>
          <w:szCs w:val="22"/>
          <w:lang w:eastAsia="en-GB"/>
          <w14:ligatures w14:val="none"/>
        </w:rPr>
        <w:t>Alzheimer’s Research &amp; Therapy</w:t>
      </w:r>
      <w:r w:rsidRPr="004A46AA">
        <w:rPr>
          <w:rFonts w:ascii="Arial" w:eastAsia="Times New Roman" w:hAnsi="Arial" w:cs="Arial"/>
          <w:kern w:val="0"/>
          <w:sz w:val="22"/>
          <w:szCs w:val="22"/>
          <w:lang w:eastAsia="en-GB"/>
          <w14:ligatures w14:val="none"/>
        </w:rPr>
        <w:t xml:space="preserve">, 5(3), pp. 3. DOI: 10.1186/alzrt157. Available at: </w:t>
      </w:r>
      <w:hyperlink r:id="rId44" w:history="1">
        <w:r w:rsidRPr="004A46AA">
          <w:rPr>
            <w:rStyle w:val="Hyperlink"/>
            <w:rFonts w:ascii="Arial" w:eastAsia="Times New Roman" w:hAnsi="Arial" w:cs="Arial"/>
            <w:kern w:val="0"/>
            <w:sz w:val="22"/>
            <w:szCs w:val="22"/>
            <w:lang w:eastAsia="en-GB"/>
            <w14:ligatures w14:val="none"/>
          </w:rPr>
          <w:t>https://doi.org/10.1186/alzrt157</w:t>
        </w:r>
      </w:hyperlink>
      <w:r>
        <w:t xml:space="preserve"> </w:t>
      </w:r>
      <w:r w:rsidRPr="008D40C4">
        <w:t xml:space="preserve">(Accessed: </w:t>
      </w:r>
      <w:r>
        <w:t>13</w:t>
      </w:r>
      <w:r w:rsidRPr="008D40C4">
        <w:t xml:space="preserve"> November 2025).</w:t>
      </w:r>
    </w:p>
    <w:p w14:paraId="2F8C3CFF"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u w:val="single"/>
          <w:lang w:eastAsia="en-GB"/>
          <w14:ligatures w14:val="none"/>
        </w:rPr>
        <w:t>Ridley,</w:t>
      </w:r>
      <w:r w:rsidRPr="0062313E">
        <w:rPr>
          <w:rFonts w:ascii="Times New Roman" w:eastAsia="Times New Roman" w:hAnsi="Times New Roman" w:cs="Times New Roman"/>
          <w:kern w:val="0"/>
          <w:lang w:eastAsia="en-GB"/>
          <w14:ligatures w14:val="none"/>
        </w:rPr>
        <w:t xml:space="preserve"> N.J., Draper, B. and Withall, A. (2013) ‘Alcohol-related dementia: an update of the evidence’, </w:t>
      </w:r>
      <w:r w:rsidRPr="0062313E">
        <w:rPr>
          <w:rFonts w:ascii="Times New Roman" w:eastAsia="Times New Roman" w:hAnsi="Times New Roman" w:cs="Times New Roman"/>
          <w:i/>
          <w:iCs/>
          <w:kern w:val="0"/>
          <w:lang w:eastAsia="en-GB"/>
          <w14:ligatures w14:val="none"/>
        </w:rPr>
        <w:t>Alzheimer’s Research &amp; Therapy</w:t>
      </w:r>
      <w:r w:rsidRPr="0062313E">
        <w:rPr>
          <w:rFonts w:ascii="Times New Roman" w:eastAsia="Times New Roman" w:hAnsi="Times New Roman" w:cs="Times New Roman"/>
          <w:kern w:val="0"/>
          <w:lang w:eastAsia="en-GB"/>
          <w14:ligatures w14:val="none"/>
        </w:rPr>
        <w:t>, 5(1), 3.</w:t>
      </w:r>
      <w:r w:rsidRPr="0062313E">
        <w:rPr>
          <w:rFonts w:ascii="Times New Roman" w:eastAsia="Times New Roman" w:hAnsi="Times New Roman" w:cs="Times New Roman"/>
          <w:kern w:val="0"/>
          <w:lang w:eastAsia="en-GB"/>
          <w14:ligatures w14:val="none"/>
        </w:rPr>
        <w:br/>
        <w:t xml:space="preserve">Available at: </w:t>
      </w:r>
      <w:hyperlink r:id="rId45" w:history="1">
        <w:r w:rsidRPr="0062313E">
          <w:rPr>
            <w:rStyle w:val="Hyperlink"/>
            <w:rFonts w:ascii="Times New Roman" w:eastAsia="Times New Roman" w:hAnsi="Times New Roman" w:cs="Times New Roman"/>
            <w:kern w:val="0"/>
            <w:lang w:eastAsia="en-GB"/>
            <w14:ligatures w14:val="none"/>
          </w:rPr>
          <w:t>https://doi.org/10.1186/alzrt157</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320CC5B3" w14:textId="77777777" w:rsidR="006166E9" w:rsidRPr="00100D6F" w:rsidRDefault="006166E9" w:rsidP="00100D6F">
      <w:pPr>
        <w:spacing w:after="0" w:line="300" w:lineRule="atLeast"/>
        <w:rPr>
          <w:rFonts w:ascii="Segoe UI" w:eastAsia="Times New Roman" w:hAnsi="Segoe UI" w:cs="Segoe UI"/>
          <w:kern w:val="0"/>
          <w:sz w:val="21"/>
          <w:szCs w:val="21"/>
          <w:lang w:eastAsia="en-GB"/>
          <w14:ligatures w14:val="none"/>
        </w:rPr>
      </w:pPr>
      <w:r w:rsidRPr="00100D6F">
        <w:rPr>
          <w:rFonts w:ascii="Segoe UI" w:eastAsia="Times New Roman" w:hAnsi="Segoe UI" w:cs="Segoe UI"/>
          <w:kern w:val="0"/>
          <w:sz w:val="21"/>
          <w:szCs w:val="21"/>
          <w:lang w:eastAsia="en-GB"/>
          <w14:ligatures w14:val="none"/>
        </w:rPr>
        <w:t xml:space="preserve">Rodríguez-González, L.C. and Repetto, P. (2024) ‘A Psychological Examination of the Status Syndrome and Its Application for Promoting Well-Being’, </w:t>
      </w:r>
      <w:r w:rsidRPr="00100D6F">
        <w:rPr>
          <w:rFonts w:ascii="Segoe UI" w:eastAsia="Times New Roman" w:hAnsi="Segoe UI" w:cs="Segoe UI"/>
          <w:i/>
          <w:iCs/>
          <w:kern w:val="0"/>
          <w:sz w:val="21"/>
          <w:szCs w:val="21"/>
          <w:lang w:eastAsia="en-GB"/>
          <w14:ligatures w14:val="none"/>
        </w:rPr>
        <w:t>Clinical Nursing Research</w:t>
      </w:r>
      <w:r w:rsidRPr="00100D6F">
        <w:rPr>
          <w:rFonts w:ascii="Segoe UI" w:eastAsia="Times New Roman" w:hAnsi="Segoe UI" w:cs="Segoe UI"/>
          <w:kern w:val="0"/>
          <w:sz w:val="21"/>
          <w:szCs w:val="21"/>
          <w:lang w:eastAsia="en-GB"/>
          <w14:ligatures w14:val="none"/>
        </w:rPr>
        <w:t xml:space="preserve">, 33(5), pp. 285–291. </w:t>
      </w:r>
      <w:proofErr w:type="spellStart"/>
      <w:r w:rsidRPr="00100D6F">
        <w:rPr>
          <w:rFonts w:ascii="Segoe UI" w:eastAsia="Times New Roman" w:hAnsi="Segoe UI" w:cs="Segoe UI"/>
          <w:kern w:val="0"/>
          <w:sz w:val="21"/>
          <w:szCs w:val="21"/>
          <w:lang w:eastAsia="en-GB"/>
          <w14:ligatures w14:val="none"/>
        </w:rPr>
        <w:t>doi</w:t>
      </w:r>
      <w:proofErr w:type="spellEnd"/>
      <w:r w:rsidRPr="00100D6F">
        <w:rPr>
          <w:rFonts w:ascii="Segoe UI" w:eastAsia="Times New Roman" w:hAnsi="Segoe UI" w:cs="Segoe UI"/>
          <w:kern w:val="0"/>
          <w:sz w:val="21"/>
          <w:szCs w:val="21"/>
          <w:lang w:eastAsia="en-GB"/>
          <w14:ligatures w14:val="none"/>
        </w:rPr>
        <w:t xml:space="preserve">: </w:t>
      </w:r>
      <w:hyperlink r:id="rId46" w:tgtFrame="_blank" w:history="1">
        <w:r w:rsidRPr="00100D6F">
          <w:rPr>
            <w:rFonts w:ascii="Segoe UI" w:eastAsia="Times New Roman" w:hAnsi="Segoe UI" w:cs="Segoe UI"/>
            <w:color w:val="464FEB"/>
            <w:kern w:val="0"/>
            <w:sz w:val="21"/>
            <w:szCs w:val="21"/>
            <w:lang w:eastAsia="en-GB"/>
            <w14:ligatures w14:val="none"/>
          </w:rPr>
          <w:t>10.1177/10547738241231044</w:t>
        </w:r>
      </w:hyperlink>
      <w:r w:rsidRPr="00100D6F">
        <w:rPr>
          <w:rFonts w:ascii="Segoe UI" w:eastAsia="Times New Roman" w:hAnsi="Segoe UI" w:cs="Segoe UI"/>
          <w:kern w:val="0"/>
          <w:sz w:val="21"/>
          <w:szCs w:val="21"/>
          <w:lang w:eastAsia="en-GB"/>
          <w14:ligatures w14:val="none"/>
        </w:rPr>
        <w:t>.</w:t>
      </w:r>
      <w:r w:rsidRPr="00C85AEA">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24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r>
        <w:rPr>
          <w:rFonts w:ascii="Segoe UI" w:eastAsia="Times New Roman" w:hAnsi="Segoe UI" w:cs="Segoe UI"/>
          <w:kern w:val="0"/>
          <w:sz w:val="21"/>
          <w:szCs w:val="21"/>
          <w:lang w:eastAsia="en-GB"/>
          <w14:ligatures w14:val="none"/>
        </w:rPr>
        <w:t xml:space="preserve"> </w:t>
      </w:r>
    </w:p>
    <w:p w14:paraId="2F092D4F"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Sabia, S. et al. (2018) ‘Alcohol consumption and risk of dementia: 23-year follow-up’, </w:t>
      </w:r>
      <w:r w:rsidRPr="0062313E">
        <w:rPr>
          <w:rFonts w:ascii="Times New Roman" w:eastAsia="Times New Roman" w:hAnsi="Times New Roman" w:cs="Times New Roman"/>
          <w:i/>
          <w:iCs/>
          <w:kern w:val="0"/>
          <w:lang w:eastAsia="en-GB"/>
          <w14:ligatures w14:val="none"/>
        </w:rPr>
        <w:t>BMJ</w:t>
      </w:r>
      <w:r w:rsidRPr="0062313E">
        <w:rPr>
          <w:rFonts w:ascii="Times New Roman" w:eastAsia="Times New Roman" w:hAnsi="Times New Roman" w:cs="Times New Roman"/>
          <w:kern w:val="0"/>
          <w:lang w:eastAsia="en-GB"/>
          <w14:ligatures w14:val="none"/>
        </w:rPr>
        <w:t>, 362, k2927.</w:t>
      </w:r>
      <w:r w:rsidRPr="0062313E">
        <w:rPr>
          <w:rFonts w:ascii="Times New Roman" w:eastAsia="Times New Roman" w:hAnsi="Times New Roman" w:cs="Times New Roman"/>
          <w:kern w:val="0"/>
          <w:lang w:eastAsia="en-GB"/>
          <w14:ligatures w14:val="none"/>
        </w:rPr>
        <w:br/>
        <w:t xml:space="preserve">Available at: </w:t>
      </w:r>
      <w:hyperlink r:id="rId47" w:history="1">
        <w:r w:rsidRPr="0062313E">
          <w:rPr>
            <w:rStyle w:val="Hyperlink"/>
            <w:rFonts w:ascii="Times New Roman" w:eastAsia="Times New Roman" w:hAnsi="Times New Roman" w:cs="Times New Roman"/>
            <w:kern w:val="0"/>
            <w:lang w:eastAsia="en-GB"/>
            <w14:ligatures w14:val="none"/>
          </w:rPr>
          <w:t>https://doi.org/10.1136/bmj.k2927</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18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0E1BFBE8"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Sabia, S., </w:t>
      </w:r>
      <w:proofErr w:type="spellStart"/>
      <w:r w:rsidRPr="004A46AA">
        <w:rPr>
          <w:rFonts w:ascii="Arial" w:eastAsia="Times New Roman" w:hAnsi="Arial" w:cs="Arial"/>
          <w:kern w:val="0"/>
          <w:sz w:val="22"/>
          <w:szCs w:val="22"/>
          <w:lang w:eastAsia="en-GB"/>
          <w14:ligatures w14:val="none"/>
        </w:rPr>
        <w:t>Fayosse</w:t>
      </w:r>
      <w:proofErr w:type="spellEnd"/>
      <w:r w:rsidRPr="004A46AA">
        <w:rPr>
          <w:rFonts w:ascii="Arial" w:eastAsia="Times New Roman" w:hAnsi="Arial" w:cs="Arial"/>
          <w:kern w:val="0"/>
          <w:sz w:val="22"/>
          <w:szCs w:val="22"/>
          <w:lang w:eastAsia="en-GB"/>
          <w14:ligatures w14:val="none"/>
        </w:rPr>
        <w:t xml:space="preserve">, A., </w:t>
      </w:r>
      <w:proofErr w:type="spellStart"/>
      <w:r w:rsidRPr="004A46AA">
        <w:rPr>
          <w:rFonts w:ascii="Arial" w:eastAsia="Times New Roman" w:hAnsi="Arial" w:cs="Arial"/>
          <w:kern w:val="0"/>
          <w:sz w:val="22"/>
          <w:szCs w:val="22"/>
          <w:lang w:eastAsia="en-GB"/>
          <w14:ligatures w14:val="none"/>
        </w:rPr>
        <w:t>Dumurgier</w:t>
      </w:r>
      <w:proofErr w:type="spellEnd"/>
      <w:r w:rsidRPr="004A46AA">
        <w:rPr>
          <w:rFonts w:ascii="Arial" w:eastAsia="Times New Roman" w:hAnsi="Arial" w:cs="Arial"/>
          <w:kern w:val="0"/>
          <w:sz w:val="22"/>
          <w:szCs w:val="22"/>
          <w:lang w:eastAsia="en-GB"/>
          <w14:ligatures w14:val="none"/>
        </w:rPr>
        <w:t xml:space="preserve">, J., </w:t>
      </w:r>
      <w:proofErr w:type="spellStart"/>
      <w:r w:rsidRPr="004A46AA">
        <w:rPr>
          <w:rFonts w:ascii="Arial" w:eastAsia="Times New Roman" w:hAnsi="Arial" w:cs="Arial"/>
          <w:kern w:val="0"/>
          <w:sz w:val="22"/>
          <w:szCs w:val="22"/>
          <w:lang w:eastAsia="en-GB"/>
          <w14:ligatures w14:val="none"/>
        </w:rPr>
        <w:t>Dugravot</w:t>
      </w:r>
      <w:proofErr w:type="spellEnd"/>
      <w:r w:rsidRPr="004A46AA">
        <w:rPr>
          <w:rFonts w:ascii="Arial" w:eastAsia="Times New Roman" w:hAnsi="Arial" w:cs="Arial"/>
          <w:kern w:val="0"/>
          <w:sz w:val="22"/>
          <w:szCs w:val="22"/>
          <w:lang w:eastAsia="en-GB"/>
          <w14:ligatures w14:val="none"/>
        </w:rPr>
        <w:t xml:space="preserve">, A., </w:t>
      </w:r>
      <w:proofErr w:type="spellStart"/>
      <w:r w:rsidRPr="004A46AA">
        <w:rPr>
          <w:rFonts w:ascii="Arial" w:eastAsia="Times New Roman" w:hAnsi="Arial" w:cs="Arial"/>
          <w:kern w:val="0"/>
          <w:sz w:val="22"/>
          <w:szCs w:val="22"/>
          <w:lang w:eastAsia="en-GB"/>
          <w14:ligatures w14:val="none"/>
        </w:rPr>
        <w:t>Akbaraly</w:t>
      </w:r>
      <w:proofErr w:type="spellEnd"/>
      <w:r w:rsidRPr="004A46AA">
        <w:rPr>
          <w:rFonts w:ascii="Arial" w:eastAsia="Times New Roman" w:hAnsi="Arial" w:cs="Arial"/>
          <w:kern w:val="0"/>
          <w:sz w:val="22"/>
          <w:szCs w:val="22"/>
          <w:lang w:eastAsia="en-GB"/>
          <w14:ligatures w14:val="none"/>
        </w:rPr>
        <w:t>, T., Britton, A., Kivimäki, M. &amp; Singh-</w:t>
      </w:r>
      <w:proofErr w:type="spellStart"/>
      <w:r w:rsidRPr="004A46AA">
        <w:rPr>
          <w:rFonts w:ascii="Arial" w:eastAsia="Times New Roman" w:hAnsi="Arial" w:cs="Arial"/>
          <w:kern w:val="0"/>
          <w:sz w:val="22"/>
          <w:szCs w:val="22"/>
          <w:lang w:eastAsia="en-GB"/>
          <w14:ligatures w14:val="none"/>
        </w:rPr>
        <w:t>Manoux</w:t>
      </w:r>
      <w:proofErr w:type="spellEnd"/>
      <w:r w:rsidRPr="004A46AA">
        <w:rPr>
          <w:rFonts w:ascii="Arial" w:eastAsia="Times New Roman" w:hAnsi="Arial" w:cs="Arial"/>
          <w:kern w:val="0"/>
          <w:sz w:val="22"/>
          <w:szCs w:val="22"/>
          <w:lang w:eastAsia="en-GB"/>
          <w14:ligatures w14:val="none"/>
        </w:rPr>
        <w:t xml:space="preserve">, A. (2018) ‘Alcohol consumption and risk of dementia: </w:t>
      </w:r>
      <w:proofErr w:type="gramStart"/>
      <w:r w:rsidRPr="004A46AA">
        <w:rPr>
          <w:rFonts w:ascii="Arial" w:eastAsia="Times New Roman" w:hAnsi="Arial" w:cs="Arial"/>
          <w:kern w:val="0"/>
          <w:sz w:val="22"/>
          <w:szCs w:val="22"/>
          <w:lang w:eastAsia="en-GB"/>
          <w14:ligatures w14:val="none"/>
        </w:rPr>
        <w:t>23 year</w:t>
      </w:r>
      <w:proofErr w:type="gramEnd"/>
      <w:r w:rsidRPr="004A46AA">
        <w:rPr>
          <w:rFonts w:ascii="Arial" w:eastAsia="Times New Roman" w:hAnsi="Arial" w:cs="Arial"/>
          <w:kern w:val="0"/>
          <w:sz w:val="22"/>
          <w:szCs w:val="22"/>
          <w:lang w:eastAsia="en-GB"/>
          <w14:ligatures w14:val="none"/>
        </w:rPr>
        <w:t xml:space="preserve"> follow-up of Whitehall II cohort study’, </w:t>
      </w:r>
      <w:r w:rsidRPr="00E754F7">
        <w:rPr>
          <w:rFonts w:ascii="Arial" w:eastAsia="Times New Roman" w:hAnsi="Arial" w:cs="Arial"/>
          <w:i/>
          <w:iCs/>
          <w:kern w:val="0"/>
          <w:sz w:val="22"/>
          <w:szCs w:val="22"/>
          <w:lang w:eastAsia="en-GB"/>
          <w14:ligatures w14:val="none"/>
        </w:rPr>
        <w:t>BMJ,</w:t>
      </w:r>
      <w:r w:rsidRPr="004A46AA">
        <w:rPr>
          <w:rFonts w:ascii="Arial" w:eastAsia="Times New Roman" w:hAnsi="Arial" w:cs="Arial"/>
          <w:kern w:val="0"/>
          <w:sz w:val="22"/>
          <w:szCs w:val="22"/>
          <w:lang w:eastAsia="en-GB"/>
          <w14:ligatures w14:val="none"/>
        </w:rPr>
        <w:t xml:space="preserve"> 362, k2927. DOI: 10.1136/bmj.k2927. Available at: </w:t>
      </w:r>
      <w:hyperlink r:id="rId48" w:history="1">
        <w:r w:rsidRPr="004A46AA">
          <w:rPr>
            <w:rStyle w:val="Hyperlink"/>
            <w:rFonts w:ascii="Arial" w:eastAsia="Times New Roman" w:hAnsi="Arial" w:cs="Arial"/>
            <w:kern w:val="0"/>
            <w:sz w:val="22"/>
            <w:szCs w:val="22"/>
            <w:lang w:eastAsia="en-GB"/>
            <w14:ligatures w14:val="none"/>
          </w:rPr>
          <w:t>https://www.bmj.com/content/bmj/362/bmj.k2927.full.pdf</w:t>
        </w:r>
      </w:hyperlink>
      <w:r>
        <w:t xml:space="preserve"> </w:t>
      </w:r>
      <w:r w:rsidRPr="008D40C4">
        <w:t>(Accessed: 2</w:t>
      </w:r>
      <w:r>
        <w:t>3</w:t>
      </w:r>
      <w:r w:rsidRPr="008D40C4">
        <w:t xml:space="preserve"> November 2025).</w:t>
      </w:r>
    </w:p>
    <w:p w14:paraId="629B9C57"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4A46AA">
        <w:rPr>
          <w:rFonts w:ascii="Arial" w:eastAsia="Times New Roman" w:hAnsi="Arial" w:cs="Arial"/>
          <w:kern w:val="0"/>
          <w:sz w:val="22"/>
          <w:szCs w:val="22"/>
          <w:lang w:eastAsia="en-GB"/>
          <w14:ligatures w14:val="none"/>
        </w:rPr>
        <w:t>Sakaniwa</w:t>
      </w:r>
      <w:proofErr w:type="spellEnd"/>
      <w:r w:rsidRPr="004A46AA">
        <w:rPr>
          <w:rFonts w:ascii="Arial" w:eastAsia="Times New Roman" w:hAnsi="Arial" w:cs="Arial"/>
          <w:kern w:val="0"/>
          <w:sz w:val="22"/>
          <w:szCs w:val="22"/>
          <w:lang w:eastAsia="en-GB"/>
          <w14:ligatures w14:val="none"/>
        </w:rPr>
        <w:t xml:space="preserve">, R., Shirai, K., Cadar, D., et al. (2024) ‘Socioeconomic status transition throughout life and risk of dementia’, </w:t>
      </w:r>
      <w:r w:rsidRPr="00E754F7">
        <w:rPr>
          <w:rFonts w:ascii="Arial" w:eastAsia="Times New Roman" w:hAnsi="Arial" w:cs="Arial"/>
          <w:i/>
          <w:iCs/>
          <w:kern w:val="0"/>
          <w:sz w:val="22"/>
          <w:szCs w:val="22"/>
          <w:lang w:eastAsia="en-GB"/>
          <w14:ligatures w14:val="none"/>
        </w:rPr>
        <w:t>JAMA Network Open</w:t>
      </w:r>
      <w:r w:rsidRPr="004A46AA">
        <w:rPr>
          <w:rFonts w:ascii="Arial" w:eastAsia="Times New Roman" w:hAnsi="Arial" w:cs="Arial"/>
          <w:kern w:val="0"/>
          <w:sz w:val="22"/>
          <w:szCs w:val="22"/>
          <w:lang w:eastAsia="en-GB"/>
          <w14:ligatures w14:val="none"/>
        </w:rPr>
        <w:t xml:space="preserve">, 7(5), e2412303. doi:10.1001/jamanetworkopen.2024.12303. Available at: </w:t>
      </w:r>
      <w:hyperlink r:id="rId49" w:history="1">
        <w:r w:rsidRPr="004A46AA">
          <w:rPr>
            <w:rStyle w:val="Hyperlink"/>
            <w:rFonts w:ascii="Arial" w:eastAsia="Times New Roman" w:hAnsi="Arial" w:cs="Arial"/>
            <w:kern w:val="0"/>
            <w:sz w:val="22"/>
            <w:szCs w:val="22"/>
            <w:lang w:eastAsia="en-GB"/>
            <w14:ligatures w14:val="none"/>
          </w:rPr>
          <w:t>https://jamanetwork.com/journals/jamanetworkopen/fullarticle/2818866</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(Accessed: 2</w:t>
      </w:r>
      <w:r>
        <w:rPr>
          <w:rFonts w:ascii="Arial" w:eastAsia="Times New Roman" w:hAnsi="Arial" w:cs="Arial"/>
          <w:kern w:val="0"/>
          <w:sz w:val="22"/>
          <w:szCs w:val="22"/>
          <w:lang w:eastAsia="en-GB"/>
          <w14:ligatures w14:val="none"/>
        </w:rPr>
        <w:t>1</w:t>
      </w:r>
      <w:r w:rsidRPr="008D40C4">
        <w:rPr>
          <w:rFonts w:ascii="Arial" w:eastAsia="Times New Roman" w:hAnsi="Arial" w:cs="Arial"/>
          <w:kern w:val="0"/>
          <w:sz w:val="22"/>
          <w:szCs w:val="22"/>
          <w:lang w:eastAsia="en-GB"/>
          <w14:ligatures w14:val="none"/>
        </w:rPr>
        <w:t xml:space="preserve"> November 2025).</w:t>
      </w:r>
    </w:p>
    <w:p w14:paraId="06C9A421"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4A46AA">
        <w:rPr>
          <w:rFonts w:ascii="Arial" w:eastAsia="Times New Roman" w:hAnsi="Arial" w:cs="Arial"/>
          <w:kern w:val="0"/>
          <w:sz w:val="22"/>
          <w:szCs w:val="22"/>
          <w:lang w:eastAsia="en-GB"/>
          <w14:ligatures w14:val="none"/>
        </w:rPr>
        <w:t>Schelleman</w:t>
      </w:r>
      <w:proofErr w:type="spellEnd"/>
      <w:r w:rsidRPr="004A46AA">
        <w:rPr>
          <w:rFonts w:ascii="Arial" w:eastAsia="Times New Roman" w:hAnsi="Arial" w:cs="Arial"/>
          <w:kern w:val="0"/>
          <w:sz w:val="22"/>
          <w:szCs w:val="22"/>
          <w:lang w:eastAsia="en-GB"/>
          <w14:ligatures w14:val="none"/>
        </w:rPr>
        <w:t xml:space="preserve">-Offermans, K., Sasso, A., Massar, K. and Teixeira, C.P. (2025) </w:t>
      </w:r>
      <w:r>
        <w:rPr>
          <w:rFonts w:ascii="Arial" w:eastAsia="Times New Roman" w:hAnsi="Arial" w:cs="Arial"/>
          <w:kern w:val="0"/>
          <w:sz w:val="22"/>
          <w:szCs w:val="22"/>
          <w:lang w:eastAsia="en-GB"/>
          <w14:ligatures w14:val="none"/>
        </w:rPr>
        <w:t>‘</w:t>
      </w:r>
      <w:r w:rsidRPr="004A46AA">
        <w:rPr>
          <w:rFonts w:ascii="Arial" w:eastAsia="Times New Roman" w:hAnsi="Arial" w:cs="Arial"/>
          <w:kern w:val="0"/>
          <w:sz w:val="22"/>
          <w:szCs w:val="22"/>
          <w:lang w:eastAsia="en-GB"/>
          <w14:ligatures w14:val="none"/>
        </w:rPr>
        <w:t>Explaining socioeconomic inequalities in alcohol use disorder symptoms: the role of social capital and drinking motives.</w:t>
      </w:r>
      <w:r w:rsidRPr="00E754F7">
        <w:rPr>
          <w:rFonts w:ascii="Arial" w:eastAsia="Times New Roman" w:hAnsi="Arial" w:cs="Arial"/>
          <w:i/>
          <w:iCs/>
          <w:kern w:val="0"/>
          <w:sz w:val="22"/>
          <w:szCs w:val="22"/>
          <w:lang w:eastAsia="en-GB"/>
          <w14:ligatures w14:val="none"/>
        </w:rPr>
        <w:t>’ Alcohol and Alcoholism</w:t>
      </w:r>
      <w:r w:rsidRPr="004A46AA">
        <w:rPr>
          <w:rFonts w:ascii="Arial" w:eastAsia="Times New Roman" w:hAnsi="Arial" w:cs="Arial"/>
          <w:kern w:val="0"/>
          <w:sz w:val="22"/>
          <w:szCs w:val="22"/>
          <w:lang w:eastAsia="en-GB"/>
          <w14:ligatures w14:val="none"/>
        </w:rPr>
        <w:t xml:space="preserve">, 60(3). Available at: </w:t>
      </w:r>
      <w:hyperlink r:id="rId50" w:history="1">
        <w:r w:rsidRPr="004A46AA">
          <w:rPr>
            <w:rStyle w:val="Hyperlink"/>
            <w:rFonts w:ascii="Arial" w:eastAsia="Times New Roman" w:hAnsi="Arial" w:cs="Arial"/>
            <w:kern w:val="0"/>
            <w:sz w:val="22"/>
            <w:szCs w:val="22"/>
            <w:lang w:eastAsia="en-GB"/>
            <w14:ligatures w14:val="none"/>
          </w:rPr>
          <w:t>https://doi.org/10.1093/alcalc/agaf012</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16</w:t>
      </w:r>
      <w:r w:rsidRPr="008D40C4">
        <w:rPr>
          <w:rFonts w:ascii="Arial" w:eastAsia="Times New Roman" w:hAnsi="Arial" w:cs="Arial"/>
          <w:kern w:val="0"/>
          <w:sz w:val="22"/>
          <w:szCs w:val="22"/>
          <w:lang w:eastAsia="en-GB"/>
          <w14:ligatures w14:val="none"/>
        </w:rPr>
        <w:t xml:space="preserve"> November 2025).</w:t>
      </w:r>
    </w:p>
    <w:p w14:paraId="00AA3665"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Shannon, O.M. et al. (2023) ‘Mediterranean diet and cognitive health’, </w:t>
      </w:r>
      <w:r w:rsidRPr="0062313E">
        <w:rPr>
          <w:rFonts w:ascii="Times New Roman" w:eastAsia="Times New Roman" w:hAnsi="Times New Roman" w:cs="Times New Roman"/>
          <w:i/>
          <w:iCs/>
          <w:kern w:val="0"/>
          <w:lang w:eastAsia="en-GB"/>
          <w14:ligatures w14:val="none"/>
        </w:rPr>
        <w:t>Nutrients</w:t>
      </w:r>
      <w:r w:rsidRPr="0062313E">
        <w:rPr>
          <w:rFonts w:ascii="Times New Roman" w:eastAsia="Times New Roman" w:hAnsi="Times New Roman" w:cs="Times New Roman"/>
          <w:kern w:val="0"/>
          <w:lang w:eastAsia="en-GB"/>
          <w14:ligatures w14:val="none"/>
        </w:rPr>
        <w:t>, 15(5), 1128.</w:t>
      </w:r>
      <w:r w:rsidRPr="0062313E">
        <w:rPr>
          <w:rFonts w:ascii="Times New Roman" w:eastAsia="Times New Roman" w:hAnsi="Times New Roman" w:cs="Times New Roman"/>
          <w:kern w:val="0"/>
          <w:lang w:eastAsia="en-GB"/>
          <w14:ligatures w14:val="none"/>
        </w:rPr>
        <w:br/>
        <w:t xml:space="preserve">Available at: </w:t>
      </w:r>
      <w:hyperlink r:id="rId51" w:history="1">
        <w:r w:rsidRPr="0062313E">
          <w:rPr>
            <w:rStyle w:val="Hyperlink"/>
            <w:rFonts w:ascii="Times New Roman" w:eastAsia="Times New Roman" w:hAnsi="Times New Roman" w:cs="Times New Roman"/>
            <w:kern w:val="0"/>
            <w:lang w:eastAsia="en-GB"/>
            <w14:ligatures w14:val="none"/>
          </w:rPr>
          <w:t>https://doi.org/10.3390/nu15051128</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20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CF58135"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lastRenderedPageBreak/>
        <w:t xml:space="preserve">Shield, K. et al. (2025) ‘Health impact of alcohol use in the USA: a protocol of a systematic review and modelling study’, </w:t>
      </w:r>
      <w:r w:rsidRPr="00E754F7">
        <w:rPr>
          <w:rFonts w:ascii="Arial" w:eastAsia="Times New Roman" w:hAnsi="Arial" w:cs="Arial"/>
          <w:i/>
          <w:iCs/>
          <w:kern w:val="0"/>
          <w:sz w:val="22"/>
          <w:szCs w:val="22"/>
          <w:lang w:eastAsia="en-GB"/>
          <w14:ligatures w14:val="none"/>
        </w:rPr>
        <w:t>BMJ Open</w:t>
      </w:r>
      <w:r w:rsidRPr="004A46AA">
        <w:rPr>
          <w:rFonts w:ascii="Arial" w:eastAsia="Times New Roman" w:hAnsi="Arial" w:cs="Arial"/>
          <w:kern w:val="0"/>
          <w:sz w:val="22"/>
          <w:szCs w:val="22"/>
          <w:lang w:eastAsia="en-GB"/>
          <w14:ligatures w14:val="none"/>
        </w:rPr>
        <w:t xml:space="preserve">, 15(11), e093389. Available at: </w:t>
      </w:r>
      <w:hyperlink r:id="rId52" w:history="1">
        <w:r w:rsidRPr="004A46AA">
          <w:rPr>
            <w:rStyle w:val="Hyperlink"/>
            <w:rFonts w:ascii="Arial" w:eastAsia="Times New Roman" w:hAnsi="Arial" w:cs="Arial"/>
            <w:kern w:val="0"/>
            <w:sz w:val="22"/>
            <w:szCs w:val="22"/>
            <w:lang w:eastAsia="en-GB"/>
            <w14:ligatures w14:val="none"/>
          </w:rPr>
          <w:t>https://bmjopen.bmj.com/content/bmjopen/15/11/e093389.full.pdf</w:t>
        </w:r>
      </w:hyperlink>
      <w:r>
        <w:t xml:space="preserve"> </w:t>
      </w:r>
      <w:r w:rsidRPr="008D40C4">
        <w:t>(Accessed: 2</w:t>
      </w:r>
      <w:r>
        <w:t>3</w:t>
      </w:r>
      <w:r w:rsidRPr="008D40C4">
        <w:t xml:space="preserve"> November 2025).</w:t>
      </w:r>
    </w:p>
    <w:p w14:paraId="116A90CB"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Stern, Y. (2009) ‘Cognitive reserve’, </w:t>
      </w:r>
      <w:proofErr w:type="spellStart"/>
      <w:r w:rsidRPr="0062313E">
        <w:rPr>
          <w:rFonts w:ascii="Times New Roman" w:eastAsia="Times New Roman" w:hAnsi="Times New Roman" w:cs="Times New Roman"/>
          <w:i/>
          <w:iCs/>
          <w:kern w:val="0"/>
          <w:lang w:eastAsia="en-GB"/>
          <w14:ligatures w14:val="none"/>
        </w:rPr>
        <w:t>Neuropsychologia</w:t>
      </w:r>
      <w:proofErr w:type="spellEnd"/>
      <w:r w:rsidRPr="0062313E">
        <w:rPr>
          <w:rFonts w:ascii="Times New Roman" w:eastAsia="Times New Roman" w:hAnsi="Times New Roman" w:cs="Times New Roman"/>
          <w:kern w:val="0"/>
          <w:lang w:eastAsia="en-GB"/>
          <w14:ligatures w14:val="none"/>
        </w:rPr>
        <w:t>, 47(10), pp. 2015–2028.</w:t>
      </w:r>
      <w:r w:rsidRPr="0062313E">
        <w:rPr>
          <w:rFonts w:ascii="Times New Roman" w:eastAsia="Times New Roman" w:hAnsi="Times New Roman" w:cs="Times New Roman"/>
          <w:kern w:val="0"/>
          <w:lang w:eastAsia="en-GB"/>
          <w14:ligatures w14:val="none"/>
        </w:rPr>
        <w:br/>
        <w:t xml:space="preserve">Available at: </w:t>
      </w:r>
      <w:hyperlink r:id="rId53" w:history="1">
        <w:r w:rsidRPr="0062313E">
          <w:rPr>
            <w:rStyle w:val="Hyperlink"/>
            <w:rFonts w:ascii="Times New Roman" w:eastAsia="Times New Roman" w:hAnsi="Times New Roman" w:cs="Times New Roman"/>
            <w:kern w:val="0"/>
            <w:lang w:eastAsia="en-GB"/>
            <w14:ligatures w14:val="none"/>
          </w:rPr>
          <w:t>https://doi.org/10.1016/j.neuropsychologia.2009.03.004</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4041861D" w14:textId="77777777" w:rsidR="006166E9" w:rsidRDefault="006166E9" w:rsidP="00EC2781">
      <w:pPr>
        <w:spacing w:after="0" w:line="300" w:lineRule="atLeast"/>
        <w:rPr>
          <w:rFonts w:ascii="Segoe UI" w:eastAsia="Times New Roman" w:hAnsi="Segoe UI" w:cs="Segoe UI"/>
          <w:kern w:val="0"/>
          <w:sz w:val="21"/>
          <w:szCs w:val="21"/>
          <w:lang w:eastAsia="en-GB"/>
          <w14:ligatures w14:val="none"/>
        </w:rPr>
      </w:pPr>
      <w:r w:rsidRPr="00EC2781">
        <w:rPr>
          <w:rFonts w:ascii="Segoe UI" w:eastAsia="Times New Roman" w:hAnsi="Segoe UI" w:cs="Segoe UI"/>
          <w:kern w:val="0"/>
          <w:sz w:val="21"/>
          <w:szCs w:val="21"/>
          <w:lang w:eastAsia="en-GB"/>
          <w14:ligatures w14:val="none"/>
        </w:rPr>
        <w:t xml:space="preserve">Tan, W.Y., Hargreaves, C.A., Kandiah, N. &amp; Hilal, S., </w:t>
      </w:r>
      <w:r>
        <w:rPr>
          <w:rFonts w:ascii="Segoe UI" w:eastAsia="Times New Roman" w:hAnsi="Segoe UI" w:cs="Segoe UI"/>
          <w:kern w:val="0"/>
          <w:sz w:val="21"/>
          <w:szCs w:val="21"/>
          <w:lang w:eastAsia="en-GB"/>
          <w14:ligatures w14:val="none"/>
        </w:rPr>
        <w:t>(</w:t>
      </w:r>
      <w:r w:rsidRPr="00EC2781">
        <w:rPr>
          <w:rFonts w:ascii="Segoe UI" w:eastAsia="Times New Roman" w:hAnsi="Segoe UI" w:cs="Segoe UI"/>
          <w:kern w:val="0"/>
          <w:sz w:val="21"/>
          <w:szCs w:val="21"/>
          <w:lang w:eastAsia="en-GB"/>
          <w14:ligatures w14:val="none"/>
        </w:rPr>
        <w:t>2024</w:t>
      </w:r>
      <w:r>
        <w:rPr>
          <w:rFonts w:ascii="Segoe UI" w:eastAsia="Times New Roman" w:hAnsi="Segoe UI" w:cs="Segoe UI"/>
          <w:kern w:val="0"/>
          <w:sz w:val="21"/>
          <w:szCs w:val="21"/>
          <w:lang w:eastAsia="en-GB"/>
          <w14:ligatures w14:val="none"/>
        </w:rPr>
        <w:t>)</w:t>
      </w:r>
      <w:r w:rsidRPr="00EC2781">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EC2781">
        <w:rPr>
          <w:rFonts w:ascii="Segoe UI" w:eastAsia="Times New Roman" w:hAnsi="Segoe UI" w:cs="Segoe UI"/>
          <w:i/>
          <w:iCs/>
          <w:kern w:val="0"/>
          <w:sz w:val="21"/>
          <w:szCs w:val="21"/>
          <w:lang w:eastAsia="en-GB"/>
          <w14:ligatures w14:val="none"/>
        </w:rPr>
        <w:t>Association of Multi-Domain Factors with Cognition in the UK Biobank Study</w:t>
      </w:r>
      <w:r>
        <w:rPr>
          <w:rFonts w:ascii="Segoe UI" w:eastAsia="Times New Roman" w:hAnsi="Segoe UI" w:cs="Segoe UI"/>
          <w:i/>
          <w:iCs/>
          <w:kern w:val="0"/>
          <w:sz w:val="21"/>
          <w:szCs w:val="21"/>
          <w:lang w:eastAsia="en-GB"/>
          <w14:ligatures w14:val="none"/>
        </w:rPr>
        <w:t>’</w:t>
      </w:r>
      <w:r w:rsidRPr="00EC2781">
        <w:rPr>
          <w:rFonts w:ascii="Segoe UI" w:eastAsia="Times New Roman" w:hAnsi="Segoe UI" w:cs="Segoe UI"/>
          <w:kern w:val="0"/>
          <w:sz w:val="21"/>
          <w:szCs w:val="21"/>
          <w:lang w:eastAsia="en-GB"/>
          <w14:ligatures w14:val="none"/>
        </w:rPr>
        <w:t xml:space="preserve">. </w:t>
      </w:r>
      <w:r w:rsidRPr="00EC2781">
        <w:rPr>
          <w:rFonts w:ascii="Segoe UI" w:eastAsia="Times New Roman" w:hAnsi="Segoe UI" w:cs="Segoe UI"/>
          <w:i/>
          <w:iCs/>
          <w:kern w:val="0"/>
          <w:sz w:val="21"/>
          <w:szCs w:val="21"/>
          <w:lang w:eastAsia="en-GB"/>
          <w14:ligatures w14:val="none"/>
        </w:rPr>
        <w:t>The Journal of Prevention of Alzheimer’s Disease</w:t>
      </w:r>
      <w:r w:rsidRPr="00EC2781">
        <w:rPr>
          <w:rFonts w:ascii="Segoe UI" w:eastAsia="Times New Roman" w:hAnsi="Segoe UI" w:cs="Segoe UI"/>
          <w:kern w:val="0"/>
          <w:sz w:val="21"/>
          <w:szCs w:val="21"/>
          <w:lang w:eastAsia="en-GB"/>
          <w14:ligatures w14:val="none"/>
        </w:rPr>
        <w:t xml:space="preserve">, 11, pp. 13–21. Available at: </w:t>
      </w:r>
      <w:hyperlink r:id="rId54" w:history="1">
        <w:r w:rsidRPr="00EC2781">
          <w:rPr>
            <w:rStyle w:val="Hyperlink"/>
            <w:rFonts w:ascii="Segoe UI" w:eastAsia="Times New Roman" w:hAnsi="Segoe UI" w:cs="Segoe UI"/>
            <w:kern w:val="0"/>
            <w:sz w:val="21"/>
            <w:szCs w:val="21"/>
            <w:lang w:eastAsia="en-GB"/>
            <w14:ligatures w14:val="none"/>
          </w:rPr>
          <w:t>https://doi.org/10.14283/jpad.2024.3</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28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2CC2D7DF" w14:textId="77777777" w:rsidR="006166E9" w:rsidRPr="003B1C1B"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3B1C1B">
        <w:rPr>
          <w:rFonts w:ascii="Arial" w:eastAsia="Times New Roman" w:hAnsi="Arial" w:cs="Arial"/>
          <w:kern w:val="0"/>
          <w:sz w:val="22"/>
          <w:szCs w:val="22"/>
          <w:lang w:eastAsia="en-GB"/>
          <w14:ligatures w14:val="none"/>
        </w:rPr>
        <w:t xml:space="preserve">Topiwala, A. et al. (2025) ‘Alcohol use and risk of dementia in diverse populations: evidence from cohort, case–control and Mendelian randomisation approaches’, </w:t>
      </w:r>
      <w:r w:rsidRPr="003B1C1B">
        <w:rPr>
          <w:rFonts w:ascii="Arial" w:eastAsia="Times New Roman" w:hAnsi="Arial" w:cs="Arial"/>
          <w:i/>
          <w:iCs/>
          <w:kern w:val="0"/>
          <w:sz w:val="22"/>
          <w:szCs w:val="22"/>
          <w:lang w:eastAsia="en-GB"/>
          <w14:ligatures w14:val="none"/>
        </w:rPr>
        <w:t>BMJ Evidence-Based Medicine</w:t>
      </w:r>
      <w:r w:rsidRPr="003B1C1B">
        <w:rPr>
          <w:rFonts w:ascii="Arial" w:eastAsia="Times New Roman" w:hAnsi="Arial" w:cs="Arial"/>
          <w:kern w:val="0"/>
          <w:sz w:val="22"/>
          <w:szCs w:val="22"/>
          <w:lang w:eastAsia="en-GB"/>
          <w14:ligatures w14:val="none"/>
        </w:rPr>
        <w:t xml:space="preserve">. DOI: 10.1136/bmjebm-2025-113913. Available at: </w:t>
      </w:r>
      <w:hyperlink r:id="rId55" w:tgtFrame="_blank" w:history="1">
        <w:r w:rsidRPr="003B1C1B">
          <w:rPr>
            <w:rFonts w:ascii="Arial" w:eastAsia="Times New Roman" w:hAnsi="Arial" w:cs="Arial"/>
            <w:color w:val="0000FF"/>
            <w:kern w:val="0"/>
            <w:sz w:val="22"/>
            <w:szCs w:val="22"/>
            <w:u w:val="single"/>
            <w:lang w:eastAsia="en-GB"/>
            <w14:ligatures w14:val="none"/>
          </w:rPr>
          <w:t>https://ebm.bmj.com/content/early/2025/09/16/bmjebm-2025-113913</w:t>
        </w:r>
      </w:hyperlink>
      <w:r>
        <w:t xml:space="preserve"> </w:t>
      </w:r>
      <w:r w:rsidRPr="008D40C4">
        <w:t xml:space="preserve">(Accessed: </w:t>
      </w:r>
      <w:r>
        <w:t xml:space="preserve">14 </w:t>
      </w:r>
      <w:r w:rsidRPr="008D40C4">
        <w:t>November 2025).</w:t>
      </w:r>
    </w:p>
    <w:p w14:paraId="49E05330" w14:textId="77777777" w:rsidR="006166E9" w:rsidRDefault="006166E9" w:rsidP="00AE77C0">
      <w:pPr>
        <w:spacing w:after="0" w:line="300" w:lineRule="atLeast"/>
        <w:rPr>
          <w:rFonts w:ascii="Segoe UI" w:eastAsia="Times New Roman" w:hAnsi="Segoe UI" w:cs="Segoe UI"/>
          <w:kern w:val="0"/>
          <w:sz w:val="21"/>
          <w:szCs w:val="21"/>
          <w:lang w:eastAsia="en-GB"/>
          <w14:ligatures w14:val="none"/>
        </w:rPr>
      </w:pPr>
      <w:r w:rsidRPr="00AE77C0">
        <w:rPr>
          <w:rFonts w:ascii="Segoe UI" w:eastAsia="Times New Roman" w:hAnsi="Segoe UI" w:cs="Segoe UI"/>
          <w:kern w:val="0"/>
          <w:sz w:val="21"/>
          <w:szCs w:val="21"/>
          <w:lang w:eastAsia="en-GB"/>
          <w14:ligatures w14:val="none"/>
        </w:rPr>
        <w:t xml:space="preserve">Trani, J.-F., Zhu, Y., Walker, A.I.B., Hudson, D.L. &amp; Babulal, G.M., </w:t>
      </w:r>
      <w:r>
        <w:rPr>
          <w:rFonts w:ascii="Segoe UI" w:eastAsia="Times New Roman" w:hAnsi="Segoe UI" w:cs="Segoe UI"/>
          <w:kern w:val="0"/>
          <w:sz w:val="21"/>
          <w:szCs w:val="21"/>
          <w:lang w:eastAsia="en-GB"/>
          <w14:ligatures w14:val="none"/>
        </w:rPr>
        <w:t>(</w:t>
      </w:r>
      <w:r w:rsidRPr="00AE77C0">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AE77C0">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AE77C0">
        <w:rPr>
          <w:rFonts w:ascii="Segoe UI" w:eastAsia="Times New Roman" w:hAnsi="Segoe UI" w:cs="Segoe UI"/>
          <w:i/>
          <w:iCs/>
          <w:kern w:val="0"/>
          <w:sz w:val="21"/>
          <w:szCs w:val="21"/>
          <w:lang w:eastAsia="en-GB"/>
          <w14:ligatures w14:val="none"/>
        </w:rPr>
        <w:t>Association Between Structural and Social Determinants of Health and Cognitive Functioning Among African Americans: The ARCHES Cohort</w:t>
      </w:r>
      <w:r>
        <w:rPr>
          <w:rFonts w:ascii="Segoe UI" w:eastAsia="Times New Roman" w:hAnsi="Segoe UI" w:cs="Segoe UI"/>
          <w:i/>
          <w:iCs/>
          <w:kern w:val="0"/>
          <w:sz w:val="21"/>
          <w:szCs w:val="21"/>
          <w:lang w:eastAsia="en-GB"/>
          <w14:ligatures w14:val="none"/>
        </w:rPr>
        <w:t>’</w:t>
      </w:r>
      <w:r w:rsidRPr="00AE77C0">
        <w:rPr>
          <w:rFonts w:ascii="Segoe UI" w:eastAsia="Times New Roman" w:hAnsi="Segoe UI" w:cs="Segoe UI"/>
          <w:kern w:val="0"/>
          <w:sz w:val="21"/>
          <w:szCs w:val="21"/>
          <w:lang w:eastAsia="en-GB"/>
          <w14:ligatures w14:val="none"/>
        </w:rPr>
        <w:t xml:space="preserve">. </w:t>
      </w:r>
      <w:r w:rsidRPr="00AE77C0">
        <w:rPr>
          <w:rFonts w:ascii="Segoe UI" w:eastAsia="Times New Roman" w:hAnsi="Segoe UI" w:cs="Segoe UI"/>
          <w:i/>
          <w:iCs/>
          <w:kern w:val="0"/>
          <w:sz w:val="21"/>
          <w:szCs w:val="21"/>
          <w:lang w:eastAsia="en-GB"/>
          <w14:ligatures w14:val="none"/>
        </w:rPr>
        <w:t>Journal of Racial and Ethnic Health Disparities</w:t>
      </w:r>
      <w:r w:rsidRPr="00AE77C0">
        <w:rPr>
          <w:rFonts w:ascii="Segoe UI" w:eastAsia="Times New Roman" w:hAnsi="Segoe UI" w:cs="Segoe UI"/>
          <w:kern w:val="0"/>
          <w:sz w:val="21"/>
          <w:szCs w:val="21"/>
          <w:lang w:eastAsia="en-GB"/>
          <w14:ligatures w14:val="none"/>
        </w:rPr>
        <w:t xml:space="preserve">. Available at: </w:t>
      </w:r>
      <w:hyperlink r:id="rId56" w:history="1">
        <w:r w:rsidRPr="00AE77C0">
          <w:rPr>
            <w:rStyle w:val="Hyperlink"/>
            <w:rFonts w:ascii="Segoe UI" w:eastAsia="Times New Roman" w:hAnsi="Segoe UI" w:cs="Segoe UI"/>
            <w:kern w:val="0"/>
            <w:sz w:val="21"/>
            <w:szCs w:val="21"/>
            <w:lang w:eastAsia="en-GB"/>
            <w14:ligatures w14:val="none"/>
          </w:rPr>
          <w:t>https://link.springer.com/article/10.1007/s40615-025-02730-0</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28E43F49" w14:textId="77777777" w:rsidR="006166E9" w:rsidRDefault="006166E9" w:rsidP="00AE77C0">
      <w:pPr>
        <w:spacing w:after="0" w:line="300" w:lineRule="atLeast"/>
        <w:rPr>
          <w:rFonts w:ascii="Segoe UI" w:eastAsia="Times New Roman" w:hAnsi="Segoe UI" w:cs="Segoe UI"/>
          <w:kern w:val="0"/>
          <w:sz w:val="21"/>
          <w:szCs w:val="21"/>
          <w:lang w:eastAsia="en-GB"/>
          <w14:ligatures w14:val="none"/>
        </w:rPr>
      </w:pPr>
    </w:p>
    <w:p w14:paraId="3DE435B9" w14:textId="77777777" w:rsidR="006166E9" w:rsidRPr="00D14C6E" w:rsidRDefault="006166E9" w:rsidP="00D14C6E">
      <w:pPr>
        <w:spacing w:after="0" w:line="300" w:lineRule="atLeast"/>
        <w:rPr>
          <w:rFonts w:ascii="Segoe UI" w:eastAsia="Times New Roman" w:hAnsi="Segoe UI" w:cs="Segoe UI"/>
          <w:kern w:val="0"/>
          <w:sz w:val="21"/>
          <w:szCs w:val="21"/>
          <w:lang w:eastAsia="en-GB"/>
          <w14:ligatures w14:val="none"/>
        </w:rPr>
      </w:pPr>
      <w:r w:rsidRPr="00D14C6E">
        <w:rPr>
          <w:rFonts w:ascii="Segoe UI" w:eastAsia="Times New Roman" w:hAnsi="Segoe UI" w:cs="Segoe UI"/>
          <w:kern w:val="0"/>
          <w:sz w:val="21"/>
          <w:szCs w:val="21"/>
          <w:lang w:eastAsia="en-GB"/>
          <w14:ligatures w14:val="none"/>
        </w:rPr>
        <w:t xml:space="preserve">Trani, J.-F., Zhu, Y., Walker, A.I.B., Hudson, D.L. &amp; Babulal, G.M., </w:t>
      </w:r>
      <w:r>
        <w:rPr>
          <w:rFonts w:ascii="Segoe UI" w:eastAsia="Times New Roman" w:hAnsi="Segoe UI" w:cs="Segoe UI"/>
          <w:kern w:val="0"/>
          <w:sz w:val="21"/>
          <w:szCs w:val="21"/>
          <w:lang w:eastAsia="en-GB"/>
          <w14:ligatures w14:val="none"/>
        </w:rPr>
        <w:t>(</w:t>
      </w:r>
      <w:r w:rsidRPr="00D14C6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D14C6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D14C6E">
        <w:rPr>
          <w:rFonts w:ascii="Segoe UI" w:eastAsia="Times New Roman" w:hAnsi="Segoe UI" w:cs="Segoe UI"/>
          <w:i/>
          <w:iCs/>
          <w:kern w:val="0"/>
          <w:sz w:val="21"/>
          <w:szCs w:val="21"/>
          <w:lang w:eastAsia="en-GB"/>
          <w14:ligatures w14:val="none"/>
        </w:rPr>
        <w:t>Association Between Structural and Social Determinants of Health and Cognitive Functioning Among African Americans: The ARCHES Cohort</w:t>
      </w:r>
      <w:r>
        <w:rPr>
          <w:rFonts w:ascii="Segoe UI" w:eastAsia="Times New Roman" w:hAnsi="Segoe UI" w:cs="Segoe UI"/>
          <w:i/>
          <w:iCs/>
          <w:kern w:val="0"/>
          <w:sz w:val="21"/>
          <w:szCs w:val="21"/>
          <w:lang w:eastAsia="en-GB"/>
          <w14:ligatures w14:val="none"/>
        </w:rPr>
        <w:t>’</w:t>
      </w:r>
      <w:r w:rsidRPr="00D14C6E">
        <w:rPr>
          <w:rFonts w:ascii="Segoe UI" w:eastAsia="Times New Roman" w:hAnsi="Segoe UI" w:cs="Segoe UI"/>
          <w:kern w:val="0"/>
          <w:sz w:val="21"/>
          <w:szCs w:val="21"/>
          <w:lang w:eastAsia="en-GB"/>
          <w14:ligatures w14:val="none"/>
        </w:rPr>
        <w:t xml:space="preserve">. </w:t>
      </w:r>
      <w:r w:rsidRPr="00D14C6E">
        <w:rPr>
          <w:rFonts w:ascii="Segoe UI" w:eastAsia="Times New Roman" w:hAnsi="Segoe UI" w:cs="Segoe UI"/>
          <w:i/>
          <w:iCs/>
          <w:kern w:val="0"/>
          <w:sz w:val="21"/>
          <w:szCs w:val="21"/>
          <w:lang w:eastAsia="en-GB"/>
          <w14:ligatures w14:val="none"/>
        </w:rPr>
        <w:t>Journal of Racial and Ethnic Health Disparities</w:t>
      </w:r>
      <w:r w:rsidRPr="00D14C6E">
        <w:rPr>
          <w:rFonts w:ascii="Segoe UI" w:eastAsia="Times New Roman" w:hAnsi="Segoe UI" w:cs="Segoe UI"/>
          <w:kern w:val="0"/>
          <w:sz w:val="21"/>
          <w:szCs w:val="21"/>
          <w:lang w:eastAsia="en-GB"/>
          <w14:ligatures w14:val="none"/>
        </w:rPr>
        <w:t xml:space="preserve">. Available at: </w:t>
      </w:r>
      <w:hyperlink r:id="rId57" w:history="1">
        <w:r w:rsidRPr="00D14C6E">
          <w:rPr>
            <w:rStyle w:val="Hyperlink"/>
            <w:rFonts w:ascii="Segoe UI" w:eastAsia="Times New Roman" w:hAnsi="Segoe UI" w:cs="Segoe UI"/>
            <w:kern w:val="0"/>
            <w:sz w:val="21"/>
            <w:szCs w:val="21"/>
            <w:lang w:eastAsia="en-GB"/>
            <w14:ligatures w14:val="none"/>
          </w:rPr>
          <w:t>https://link.springer.com/article/10.1007/s40615-025-02730-0</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23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76EDD983" w14:textId="77777777" w:rsidR="006166E9"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Vils-Andreu, A. et al. (2023) ‘Binge drinking patterns and cognitive impairment in Europe’, </w:t>
      </w:r>
      <w:r w:rsidRPr="0062313E">
        <w:rPr>
          <w:rFonts w:ascii="Times New Roman" w:eastAsia="Times New Roman" w:hAnsi="Times New Roman" w:cs="Times New Roman"/>
          <w:i/>
          <w:iCs/>
          <w:kern w:val="0"/>
          <w:lang w:eastAsia="en-GB"/>
          <w14:ligatures w14:val="none"/>
        </w:rPr>
        <w:t>Addiction</w:t>
      </w:r>
      <w:r w:rsidRPr="0062313E">
        <w:rPr>
          <w:rFonts w:ascii="Times New Roman" w:eastAsia="Times New Roman" w:hAnsi="Times New Roman" w:cs="Times New Roman"/>
          <w:kern w:val="0"/>
          <w:lang w:eastAsia="en-GB"/>
          <w14:ligatures w14:val="none"/>
        </w:rPr>
        <w:t>, 118(2), pp. 325–336.</w:t>
      </w:r>
      <w:r w:rsidRPr="0062313E">
        <w:rPr>
          <w:rFonts w:ascii="Times New Roman" w:eastAsia="Times New Roman" w:hAnsi="Times New Roman" w:cs="Times New Roman"/>
          <w:kern w:val="0"/>
          <w:lang w:eastAsia="en-GB"/>
          <w14:ligatures w14:val="none"/>
        </w:rPr>
        <w:br/>
        <w:t xml:space="preserve">Available at: </w:t>
      </w:r>
      <w:hyperlink r:id="rId58" w:history="1">
        <w:r w:rsidRPr="0062313E">
          <w:rPr>
            <w:rStyle w:val="Hyperlink"/>
            <w:rFonts w:ascii="Times New Roman" w:eastAsia="Times New Roman" w:hAnsi="Times New Roman" w:cs="Times New Roman"/>
            <w:kern w:val="0"/>
            <w:lang w:eastAsia="en-GB"/>
            <w14:ligatures w14:val="none"/>
          </w:rPr>
          <w:t>https://doi.org/10.1111/add.16030</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27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1DBE7898" w14:textId="77777777" w:rsidR="006166E9" w:rsidRDefault="006166E9" w:rsidP="00741E0E">
      <w:pPr>
        <w:spacing w:after="0" w:line="300" w:lineRule="atLeast"/>
        <w:rPr>
          <w:rFonts w:ascii="Segoe UI" w:eastAsia="Times New Roman" w:hAnsi="Segoe UI" w:cs="Segoe UI"/>
          <w:kern w:val="0"/>
          <w:sz w:val="21"/>
          <w:szCs w:val="21"/>
          <w:lang w:eastAsia="en-GB"/>
          <w14:ligatures w14:val="none"/>
        </w:rPr>
      </w:pPr>
      <w:r w:rsidRPr="00741E0E">
        <w:rPr>
          <w:rFonts w:ascii="Segoe UI" w:eastAsia="Times New Roman" w:hAnsi="Segoe UI" w:cs="Segoe UI"/>
          <w:kern w:val="0"/>
          <w:sz w:val="21"/>
          <w:szCs w:val="21"/>
          <w:lang w:eastAsia="en-GB"/>
          <w14:ligatures w14:val="none"/>
        </w:rPr>
        <w:t xml:space="preserve">Wang, Q., Pan, X., Li, C., Zheng, F., Zhang, Z., Dong, X. &amp; Niu, W.,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i/>
          <w:iCs/>
          <w:kern w:val="0"/>
          <w:sz w:val="21"/>
          <w:szCs w:val="21"/>
          <w:lang w:eastAsia="en-GB"/>
          <w14:ligatures w14:val="none"/>
        </w:rPr>
        <w:t>Social determinants of health and life expectancy in US adults</w:t>
      </w:r>
      <w:r>
        <w:rPr>
          <w:rFonts w:ascii="Segoe UI" w:eastAsia="Times New Roman" w:hAnsi="Segoe UI" w:cs="Segoe UI"/>
          <w:i/>
          <w:iCs/>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i/>
          <w:iCs/>
          <w:kern w:val="0"/>
          <w:sz w:val="21"/>
          <w:szCs w:val="21"/>
          <w:lang w:eastAsia="en-GB"/>
          <w14:ligatures w14:val="none"/>
        </w:rPr>
        <w:t>Journal of Translational Medicine</w:t>
      </w:r>
      <w:r w:rsidRPr="00741E0E">
        <w:rPr>
          <w:rFonts w:ascii="Segoe UI" w:eastAsia="Times New Roman" w:hAnsi="Segoe UI" w:cs="Segoe UI"/>
          <w:kern w:val="0"/>
          <w:sz w:val="21"/>
          <w:szCs w:val="21"/>
          <w:lang w:eastAsia="en-GB"/>
          <w14:ligatures w14:val="none"/>
        </w:rPr>
        <w:t xml:space="preserve">. Available at: </w:t>
      </w:r>
      <w:hyperlink r:id="rId59" w:history="1">
        <w:r w:rsidRPr="00741E0E">
          <w:rPr>
            <w:rStyle w:val="Hyperlink"/>
            <w:rFonts w:ascii="Segoe UI" w:eastAsia="Times New Roman" w:hAnsi="Segoe UI" w:cs="Segoe UI"/>
            <w:kern w:val="0"/>
            <w:sz w:val="21"/>
            <w:szCs w:val="21"/>
            <w:lang w:eastAsia="en-GB"/>
            <w14:ligatures w14:val="none"/>
          </w:rPr>
          <w:t>https://link.springer.com/article/10.1186/s12967-025-07488-x</w:t>
        </w:r>
      </w:hyperlink>
      <w:r>
        <w:rPr>
          <w:rFonts w:ascii="Segoe UI" w:eastAsia="Times New Roman" w:hAnsi="Segoe UI" w:cs="Segoe UI"/>
          <w:kern w:val="0"/>
          <w:sz w:val="21"/>
          <w:szCs w:val="21"/>
          <w:lang w:eastAsia="en-GB"/>
          <w14:ligatures w14:val="none"/>
        </w:rPr>
        <w:t xml:space="preserve"> (</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19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050F4566" w14:textId="77777777" w:rsidR="004848A3" w:rsidRDefault="004848A3" w:rsidP="00741E0E">
      <w:pPr>
        <w:spacing w:after="0" w:line="300" w:lineRule="atLeast"/>
        <w:rPr>
          <w:rFonts w:ascii="Segoe UI" w:eastAsia="Times New Roman" w:hAnsi="Segoe UI" w:cs="Segoe UI"/>
          <w:kern w:val="0"/>
          <w:sz w:val="21"/>
          <w:szCs w:val="21"/>
          <w:lang w:eastAsia="en-GB"/>
          <w14:ligatures w14:val="none"/>
        </w:rPr>
      </w:pPr>
    </w:p>
    <w:p w14:paraId="2F251864" w14:textId="77777777" w:rsidR="006166E9" w:rsidRDefault="006166E9" w:rsidP="0008778C">
      <w:pPr>
        <w:spacing w:after="0" w:line="300" w:lineRule="atLeast"/>
        <w:rPr>
          <w:rFonts w:ascii="Segoe UI" w:eastAsia="Times New Roman" w:hAnsi="Segoe UI" w:cs="Segoe UI"/>
          <w:kern w:val="0"/>
          <w:sz w:val="21"/>
          <w:szCs w:val="21"/>
          <w:lang w:eastAsia="en-GB"/>
          <w14:ligatures w14:val="none"/>
        </w:rPr>
      </w:pPr>
      <w:r w:rsidRPr="0008778C">
        <w:rPr>
          <w:rFonts w:ascii="Segoe UI" w:eastAsia="Times New Roman" w:hAnsi="Segoe UI" w:cs="Segoe UI"/>
          <w:kern w:val="0"/>
          <w:sz w:val="21"/>
          <w:szCs w:val="21"/>
          <w:lang w:eastAsia="en-GB"/>
          <w14:ligatures w14:val="none"/>
        </w:rPr>
        <w:t xml:space="preserve">Wang, X., Pan, L., Gu, J., Gu, L., Lou, M. &amp; Liu, Y., </w:t>
      </w:r>
      <w:r>
        <w:rPr>
          <w:rFonts w:ascii="Segoe UI" w:eastAsia="Times New Roman" w:hAnsi="Segoe UI" w:cs="Segoe UI"/>
          <w:kern w:val="0"/>
          <w:sz w:val="21"/>
          <w:szCs w:val="21"/>
          <w:lang w:eastAsia="en-GB"/>
          <w14:ligatures w14:val="none"/>
        </w:rPr>
        <w:t>(</w:t>
      </w:r>
      <w:r w:rsidRPr="0008778C">
        <w:rPr>
          <w:rFonts w:ascii="Segoe UI" w:eastAsia="Times New Roman" w:hAnsi="Segoe UI" w:cs="Segoe UI"/>
          <w:kern w:val="0"/>
          <w:sz w:val="21"/>
          <w:szCs w:val="21"/>
          <w:lang w:eastAsia="en-GB"/>
          <w14:ligatures w14:val="none"/>
        </w:rPr>
        <w:t>2024</w:t>
      </w:r>
      <w:r>
        <w:rPr>
          <w:rFonts w:ascii="Segoe UI" w:eastAsia="Times New Roman" w:hAnsi="Segoe UI" w:cs="Segoe UI"/>
          <w:kern w:val="0"/>
          <w:sz w:val="21"/>
          <w:szCs w:val="21"/>
          <w:lang w:eastAsia="en-GB"/>
          <w14:ligatures w14:val="none"/>
        </w:rPr>
        <w:t>)</w:t>
      </w:r>
      <w:r w:rsidRPr="0008778C">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w:t>
      </w:r>
      <w:r w:rsidRPr="0008778C">
        <w:rPr>
          <w:rFonts w:ascii="Segoe UI" w:eastAsia="Times New Roman" w:hAnsi="Segoe UI" w:cs="Segoe UI"/>
          <w:i/>
          <w:iCs/>
          <w:kern w:val="0"/>
          <w:sz w:val="21"/>
          <w:szCs w:val="21"/>
          <w:lang w:eastAsia="en-GB"/>
          <w14:ligatures w14:val="none"/>
        </w:rPr>
        <w:t>Associations Between Gut Microbiota and Alcohol Abuse: A Mendelian Randomisation and Bioinformatics Study</w:t>
      </w:r>
      <w:r>
        <w:rPr>
          <w:rFonts w:ascii="Segoe UI" w:eastAsia="Times New Roman" w:hAnsi="Segoe UI" w:cs="Segoe UI"/>
          <w:i/>
          <w:iCs/>
          <w:kern w:val="0"/>
          <w:sz w:val="21"/>
          <w:szCs w:val="21"/>
          <w:lang w:eastAsia="en-GB"/>
          <w14:ligatures w14:val="none"/>
        </w:rPr>
        <w:t>’</w:t>
      </w:r>
      <w:r w:rsidRPr="0008778C">
        <w:rPr>
          <w:rFonts w:ascii="Segoe UI" w:eastAsia="Times New Roman" w:hAnsi="Segoe UI" w:cs="Segoe UI"/>
          <w:i/>
          <w:iCs/>
          <w:kern w:val="0"/>
          <w:sz w:val="21"/>
          <w:szCs w:val="21"/>
          <w:lang w:eastAsia="en-GB"/>
          <w14:ligatures w14:val="none"/>
        </w:rPr>
        <w:t>. Journal of Molecular Neuroscience,</w:t>
      </w:r>
      <w:r w:rsidRPr="0008778C">
        <w:rPr>
          <w:rFonts w:ascii="Segoe UI" w:eastAsia="Times New Roman" w:hAnsi="Segoe UI" w:cs="Segoe UI"/>
          <w:kern w:val="0"/>
          <w:sz w:val="21"/>
          <w:szCs w:val="21"/>
          <w:lang w:eastAsia="en-GB"/>
          <w14:ligatures w14:val="none"/>
        </w:rPr>
        <w:t xml:space="preserve"> 74, article 80. Available at: </w:t>
      </w:r>
      <w:hyperlink r:id="rId60" w:history="1">
        <w:r w:rsidRPr="0008778C">
          <w:rPr>
            <w:rStyle w:val="Hyperlink"/>
            <w:rFonts w:ascii="Segoe UI" w:eastAsia="Times New Roman" w:hAnsi="Segoe UI" w:cs="Segoe UI"/>
            <w:kern w:val="0"/>
            <w:sz w:val="21"/>
            <w:szCs w:val="21"/>
            <w:lang w:eastAsia="en-GB"/>
            <w14:ligatures w14:val="none"/>
          </w:rPr>
          <w:t>https://doi.org/10.1007/s12031-024-02259-7</w:t>
        </w:r>
      </w:hyperlink>
    </w:p>
    <w:p w14:paraId="3D257E82"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3B1C1B">
        <w:rPr>
          <w:rFonts w:ascii="Arial" w:eastAsia="Times New Roman" w:hAnsi="Arial" w:cs="Arial"/>
          <w:kern w:val="0"/>
          <w:sz w:val="22"/>
          <w:szCs w:val="22"/>
          <w:lang w:eastAsia="en-GB"/>
          <w14:ligatures w14:val="none"/>
        </w:rPr>
        <w:t xml:space="preserve">Wiegmann, C., Mick, I., Brandl, E.J., Heinz, A. &amp; Gutwinski, S. (2019) ‘Alcohol and Dementia – What is the Link? A Systematic Review’, </w:t>
      </w:r>
      <w:r w:rsidRPr="003B1C1B">
        <w:rPr>
          <w:rFonts w:ascii="Arial" w:eastAsia="Times New Roman" w:hAnsi="Arial" w:cs="Arial"/>
          <w:i/>
          <w:iCs/>
          <w:kern w:val="0"/>
          <w:sz w:val="22"/>
          <w:szCs w:val="22"/>
          <w:lang w:eastAsia="en-GB"/>
          <w14:ligatures w14:val="none"/>
        </w:rPr>
        <w:t>Neuropsychiatric Disease and Treatment</w:t>
      </w:r>
      <w:r w:rsidRPr="003B1C1B">
        <w:rPr>
          <w:rFonts w:ascii="Arial" w:eastAsia="Times New Roman" w:hAnsi="Arial" w:cs="Arial"/>
          <w:kern w:val="0"/>
          <w:sz w:val="22"/>
          <w:szCs w:val="22"/>
          <w:lang w:eastAsia="en-GB"/>
          <w14:ligatures w14:val="none"/>
        </w:rPr>
        <w:t xml:space="preserve">, 16, pp. </w:t>
      </w:r>
      <w:r w:rsidRPr="003B1C1B">
        <w:rPr>
          <w:rFonts w:ascii="Arial" w:eastAsia="Times New Roman" w:hAnsi="Arial" w:cs="Arial"/>
          <w:kern w:val="0"/>
          <w:sz w:val="22"/>
          <w:szCs w:val="22"/>
          <w:lang w:eastAsia="en-GB"/>
          <w14:ligatures w14:val="none"/>
        </w:rPr>
        <w:lastRenderedPageBreak/>
        <w:t xml:space="preserve">87–99. DOI: 10.2147/NDT.S198772. Available at: </w:t>
      </w:r>
      <w:hyperlink r:id="rId61" w:tgtFrame="_blank" w:history="1">
        <w:r w:rsidRPr="003B1C1B">
          <w:rPr>
            <w:rFonts w:ascii="Arial" w:eastAsia="Times New Roman" w:hAnsi="Arial" w:cs="Arial"/>
            <w:color w:val="0000FF"/>
            <w:kern w:val="0"/>
            <w:sz w:val="22"/>
            <w:szCs w:val="22"/>
            <w:u w:val="single"/>
            <w:lang w:eastAsia="en-GB"/>
            <w14:ligatures w14:val="none"/>
          </w:rPr>
          <w:t>https://www.tandfonline.com/doi/pdf/10.2147/NDT.S198772</w:t>
        </w:r>
      </w:hyperlink>
      <w:r w:rsidRPr="003B1C1B">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(Accessed: 2</w:t>
      </w:r>
      <w:r>
        <w:rPr>
          <w:rFonts w:ascii="Arial" w:eastAsia="Times New Roman" w:hAnsi="Arial" w:cs="Arial"/>
          <w:kern w:val="0"/>
          <w:sz w:val="22"/>
          <w:szCs w:val="22"/>
          <w:lang w:eastAsia="en-GB"/>
          <w14:ligatures w14:val="none"/>
        </w:rPr>
        <w:t>1</w:t>
      </w:r>
      <w:r w:rsidRPr="008D40C4">
        <w:rPr>
          <w:rFonts w:ascii="Arial" w:eastAsia="Times New Roman" w:hAnsi="Arial" w:cs="Arial"/>
          <w:kern w:val="0"/>
          <w:sz w:val="22"/>
          <w:szCs w:val="22"/>
          <w:lang w:eastAsia="en-GB"/>
          <w14:ligatures w14:val="none"/>
        </w:rPr>
        <w:t xml:space="preserve"> November 2025).</w:t>
      </w:r>
    </w:p>
    <w:p w14:paraId="62731452" w14:textId="77777777" w:rsidR="006166E9" w:rsidRPr="0062313E" w:rsidRDefault="006166E9" w:rsidP="004F23D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313E">
        <w:rPr>
          <w:rFonts w:ascii="Times New Roman" w:eastAsia="Times New Roman" w:hAnsi="Times New Roman" w:cs="Times New Roman"/>
          <w:kern w:val="0"/>
          <w:lang w:eastAsia="en-GB"/>
          <w14:ligatures w14:val="none"/>
        </w:rPr>
        <w:t xml:space="preserve">World Health Organization (WHO) (2021) </w:t>
      </w:r>
      <w:r w:rsidRPr="0062313E">
        <w:rPr>
          <w:rFonts w:ascii="Times New Roman" w:eastAsia="Times New Roman" w:hAnsi="Times New Roman" w:cs="Times New Roman"/>
          <w:i/>
          <w:iCs/>
          <w:kern w:val="0"/>
          <w:lang w:eastAsia="en-GB"/>
          <w14:ligatures w14:val="none"/>
        </w:rPr>
        <w:t>Global status report on alcohol and health</w:t>
      </w:r>
      <w:r w:rsidRPr="0062313E">
        <w:rPr>
          <w:rFonts w:ascii="Times New Roman" w:eastAsia="Times New Roman" w:hAnsi="Times New Roman" w:cs="Times New Roman"/>
          <w:kern w:val="0"/>
          <w:lang w:eastAsia="en-GB"/>
          <w14:ligatures w14:val="none"/>
        </w:rPr>
        <w:t>.</w:t>
      </w:r>
      <w:r w:rsidRPr="0062313E">
        <w:rPr>
          <w:rFonts w:ascii="Times New Roman" w:eastAsia="Times New Roman" w:hAnsi="Times New Roman" w:cs="Times New Roman"/>
          <w:kern w:val="0"/>
          <w:lang w:eastAsia="en-GB"/>
          <w14:ligatures w14:val="none"/>
        </w:rPr>
        <w:br/>
        <w:t xml:space="preserve">Available at: </w:t>
      </w:r>
      <w:hyperlink r:id="rId62" w:tgtFrame="_new" w:history="1">
        <w:r w:rsidRPr="0062313E">
          <w:rPr>
            <w:rFonts w:ascii="Times New Roman" w:eastAsia="Times New Roman" w:hAnsi="Times New Roman" w:cs="Times New Roman"/>
            <w:color w:val="0000FF"/>
            <w:kern w:val="0"/>
            <w:u w:val="single"/>
            <w:lang w:eastAsia="en-GB"/>
            <w14:ligatures w14:val="none"/>
          </w:rPr>
          <w:t>https://www.who.int/publications/i/item/9789241565639</w:t>
        </w:r>
      </w:hyperlink>
      <w:r>
        <w:rPr>
          <w:rFonts w:ascii="Times New Roman" w:eastAsia="Times New Roman" w:hAnsi="Times New Roman" w:cs="Times New Roman"/>
          <w:kern w:val="0"/>
          <w:lang w:eastAsia="en-GB"/>
          <w14:ligatures w14:val="none"/>
        </w:rPr>
        <w:t xml:space="preserve"> </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Accessed</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 xml:space="preserve"> </w:t>
      </w:r>
      <w:r>
        <w:rPr>
          <w:rFonts w:ascii="Segoe UI" w:eastAsia="Times New Roman" w:hAnsi="Segoe UI" w:cs="Segoe UI"/>
          <w:kern w:val="0"/>
          <w:sz w:val="21"/>
          <w:szCs w:val="21"/>
          <w:lang w:eastAsia="en-GB"/>
          <w14:ligatures w14:val="none"/>
        </w:rPr>
        <w:t xml:space="preserve">16 November </w:t>
      </w:r>
      <w:r w:rsidRPr="00741E0E">
        <w:rPr>
          <w:rFonts w:ascii="Segoe UI" w:eastAsia="Times New Roman" w:hAnsi="Segoe UI" w:cs="Segoe UI"/>
          <w:kern w:val="0"/>
          <w:sz w:val="21"/>
          <w:szCs w:val="21"/>
          <w:lang w:eastAsia="en-GB"/>
          <w14:ligatures w14:val="none"/>
        </w:rPr>
        <w:t>2025</w:t>
      </w:r>
      <w:r>
        <w:rPr>
          <w:rFonts w:ascii="Segoe UI" w:eastAsia="Times New Roman" w:hAnsi="Segoe UI" w:cs="Segoe UI"/>
          <w:kern w:val="0"/>
          <w:sz w:val="21"/>
          <w:szCs w:val="21"/>
          <w:lang w:eastAsia="en-GB"/>
          <w14:ligatures w14:val="none"/>
        </w:rPr>
        <w:t>)</w:t>
      </w:r>
      <w:r w:rsidRPr="00741E0E">
        <w:rPr>
          <w:rFonts w:ascii="Segoe UI" w:eastAsia="Times New Roman" w:hAnsi="Segoe UI" w:cs="Segoe UI"/>
          <w:kern w:val="0"/>
          <w:sz w:val="21"/>
          <w:szCs w:val="21"/>
          <w:lang w:eastAsia="en-GB"/>
          <w14:ligatures w14:val="none"/>
        </w:rPr>
        <w:t>.</w:t>
      </w:r>
    </w:p>
    <w:p w14:paraId="73DF787C"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Xu, W., Wang, H., Wan, Y. et al. (2017) ‘Alcohol consumption and dementia risk: a dose–response meta-analysis of prospective studies’, </w:t>
      </w:r>
      <w:r w:rsidRPr="00E754F7">
        <w:rPr>
          <w:rFonts w:ascii="Arial" w:eastAsia="Times New Roman" w:hAnsi="Arial" w:cs="Arial"/>
          <w:i/>
          <w:iCs/>
          <w:kern w:val="0"/>
          <w:sz w:val="22"/>
          <w:szCs w:val="22"/>
          <w:lang w:eastAsia="en-GB"/>
          <w14:ligatures w14:val="none"/>
        </w:rPr>
        <w:t>European Journal of Epidemiology</w:t>
      </w:r>
      <w:r w:rsidRPr="004A46AA">
        <w:rPr>
          <w:rFonts w:ascii="Arial" w:eastAsia="Times New Roman" w:hAnsi="Arial" w:cs="Arial"/>
          <w:kern w:val="0"/>
          <w:sz w:val="22"/>
          <w:szCs w:val="22"/>
          <w:lang w:eastAsia="en-GB"/>
          <w14:ligatures w14:val="none"/>
        </w:rPr>
        <w:t xml:space="preserve">, 32(1), pp. 31–42. DOI: 10.1007/s10654-017-0225-3. Available at: </w:t>
      </w:r>
      <w:hyperlink r:id="rId63" w:history="1">
        <w:r w:rsidRPr="004A46AA">
          <w:rPr>
            <w:rStyle w:val="Hyperlink"/>
            <w:rFonts w:ascii="Arial" w:eastAsia="Times New Roman" w:hAnsi="Arial" w:cs="Arial"/>
            <w:kern w:val="0"/>
            <w:sz w:val="22"/>
            <w:szCs w:val="22"/>
            <w:lang w:eastAsia="en-GB"/>
            <w14:ligatures w14:val="none"/>
          </w:rPr>
          <w:t>https://doi.org/10.1007/s10654-017-0225-3</w:t>
        </w:r>
      </w:hyperlink>
      <w:r>
        <w:t xml:space="preserve"> </w:t>
      </w:r>
      <w:r w:rsidRPr="008D40C4">
        <w:t xml:space="preserve">(Accessed: </w:t>
      </w:r>
      <w:r>
        <w:t>11</w:t>
      </w:r>
      <w:r w:rsidRPr="008D40C4">
        <w:t xml:space="preserve"> November 2025).</w:t>
      </w:r>
    </w:p>
    <w:p w14:paraId="5F1E200F" w14:textId="77777777" w:rsidR="006166E9" w:rsidRPr="003B1C1B"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3B1C1B">
        <w:rPr>
          <w:rFonts w:ascii="Arial" w:eastAsia="Times New Roman" w:hAnsi="Arial" w:cs="Arial"/>
          <w:kern w:val="0"/>
          <w:sz w:val="22"/>
          <w:szCs w:val="22"/>
          <w:lang w:eastAsia="en-GB"/>
          <w14:ligatures w14:val="none"/>
        </w:rPr>
        <w:t xml:space="preserve">Zahr, N.M. (2024) ‘Alcohol Use Disorder and Dementia: A Review’, </w:t>
      </w:r>
      <w:r w:rsidRPr="003B1C1B">
        <w:rPr>
          <w:rFonts w:ascii="Arial" w:eastAsia="Times New Roman" w:hAnsi="Arial" w:cs="Arial"/>
          <w:i/>
          <w:iCs/>
          <w:kern w:val="0"/>
          <w:sz w:val="22"/>
          <w:szCs w:val="22"/>
          <w:lang w:eastAsia="en-GB"/>
          <w14:ligatures w14:val="none"/>
        </w:rPr>
        <w:t>Alcohol Research: Current Reviews</w:t>
      </w:r>
      <w:r w:rsidRPr="003B1C1B">
        <w:rPr>
          <w:rFonts w:ascii="Arial" w:eastAsia="Times New Roman" w:hAnsi="Arial" w:cs="Arial"/>
          <w:kern w:val="0"/>
          <w:sz w:val="22"/>
          <w:szCs w:val="22"/>
          <w:lang w:eastAsia="en-GB"/>
          <w14:ligatures w14:val="none"/>
        </w:rPr>
        <w:t xml:space="preserve">, 44(1), pp. 03. DOI: 10.35946/arcr.v44.1.03. Available at: </w:t>
      </w:r>
      <w:hyperlink r:id="rId64" w:tgtFrame="_blank" w:history="1">
        <w:r w:rsidRPr="003B1C1B">
          <w:rPr>
            <w:rFonts w:ascii="Arial" w:eastAsia="Times New Roman" w:hAnsi="Arial" w:cs="Arial"/>
            <w:color w:val="0000FF"/>
            <w:kern w:val="0"/>
            <w:sz w:val="22"/>
            <w:szCs w:val="22"/>
            <w:u w:val="single"/>
            <w:lang w:eastAsia="en-GB"/>
            <w14:ligatures w14:val="none"/>
          </w:rPr>
          <w:t>https://arcr.niaaa.nih.gov/media/1916/download?inline</w:t>
        </w:r>
      </w:hyperlink>
      <w:r w:rsidRPr="003B1C1B">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14</w:t>
      </w:r>
      <w:r w:rsidRPr="008D40C4">
        <w:rPr>
          <w:rFonts w:ascii="Arial" w:eastAsia="Times New Roman" w:hAnsi="Arial" w:cs="Arial"/>
          <w:kern w:val="0"/>
          <w:sz w:val="22"/>
          <w:szCs w:val="22"/>
          <w:lang w:eastAsia="en-GB"/>
          <w14:ligatures w14:val="none"/>
        </w:rPr>
        <w:t xml:space="preserve"> November 2025).</w:t>
      </w:r>
    </w:p>
    <w:p w14:paraId="21C0D8C3" w14:textId="77777777" w:rsidR="006166E9" w:rsidRPr="004A46AA"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Zahr, N.M. (2024) ‘Alcohol use disorder and dementia: a review’, Alcohol Research: </w:t>
      </w:r>
      <w:r w:rsidRPr="00E754F7">
        <w:rPr>
          <w:rFonts w:ascii="Arial" w:eastAsia="Times New Roman" w:hAnsi="Arial" w:cs="Arial"/>
          <w:i/>
          <w:iCs/>
          <w:kern w:val="0"/>
          <w:sz w:val="22"/>
          <w:szCs w:val="22"/>
          <w:lang w:eastAsia="en-GB"/>
          <w14:ligatures w14:val="none"/>
        </w:rPr>
        <w:t>Current Reviews</w:t>
      </w:r>
      <w:r w:rsidRPr="004A46AA">
        <w:rPr>
          <w:rFonts w:ascii="Arial" w:eastAsia="Times New Roman" w:hAnsi="Arial" w:cs="Arial"/>
          <w:kern w:val="0"/>
          <w:sz w:val="22"/>
          <w:szCs w:val="22"/>
          <w:lang w:eastAsia="en-GB"/>
          <w14:ligatures w14:val="none"/>
        </w:rPr>
        <w:t xml:space="preserve">, 44(1), p.03. Available at: </w:t>
      </w:r>
      <w:hyperlink r:id="rId65" w:history="1">
        <w:r w:rsidRPr="004A46AA">
          <w:rPr>
            <w:rStyle w:val="Hyperlink"/>
            <w:rFonts w:ascii="Arial" w:eastAsia="Times New Roman" w:hAnsi="Arial" w:cs="Arial"/>
            <w:kern w:val="0"/>
            <w:sz w:val="22"/>
            <w:szCs w:val="22"/>
            <w:lang w:eastAsia="en-GB"/>
            <w14:ligatures w14:val="none"/>
          </w:rPr>
          <w:t>https://arcr.niaaa.nih.gov/media/1916/download?inline</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25</w:t>
      </w:r>
      <w:r w:rsidRPr="008D40C4">
        <w:rPr>
          <w:rFonts w:ascii="Arial" w:eastAsia="Times New Roman" w:hAnsi="Arial" w:cs="Arial"/>
          <w:kern w:val="0"/>
          <w:sz w:val="22"/>
          <w:szCs w:val="22"/>
          <w:lang w:eastAsia="en-GB"/>
          <w14:ligatures w14:val="none"/>
        </w:rPr>
        <w:t xml:space="preserve"> November 2025).</w:t>
      </w:r>
    </w:p>
    <w:p w14:paraId="7E48673C" w14:textId="77777777" w:rsidR="006166E9" w:rsidRDefault="006166E9" w:rsidP="004A2F7F">
      <w:pPr>
        <w:spacing w:before="100" w:beforeAutospacing="1" w:after="100" w:afterAutospacing="1" w:line="360" w:lineRule="auto"/>
        <w:rPr>
          <w:rFonts w:ascii="Arial" w:eastAsia="Times New Roman" w:hAnsi="Arial" w:cs="Arial"/>
          <w:kern w:val="0"/>
          <w:sz w:val="22"/>
          <w:szCs w:val="22"/>
          <w:lang w:eastAsia="en-GB"/>
          <w14:ligatures w14:val="none"/>
        </w:rPr>
      </w:pPr>
      <w:r w:rsidRPr="004A46AA">
        <w:rPr>
          <w:rFonts w:ascii="Arial" w:eastAsia="Times New Roman" w:hAnsi="Arial" w:cs="Arial"/>
          <w:kern w:val="0"/>
          <w:sz w:val="22"/>
          <w:szCs w:val="22"/>
          <w:lang w:eastAsia="en-GB"/>
          <w14:ligatures w14:val="none"/>
        </w:rPr>
        <w:t xml:space="preserve">Zhao, Z., Yin, X. and Xu, M. (2024) ‘Socioeconomic inequalities in dementia risk among a population-based cohort: quantifying the role of a broad combination of lifestyle factors’, </w:t>
      </w:r>
      <w:r w:rsidRPr="00E754F7">
        <w:rPr>
          <w:rFonts w:ascii="Arial" w:eastAsia="Times New Roman" w:hAnsi="Arial" w:cs="Arial"/>
          <w:i/>
          <w:iCs/>
          <w:kern w:val="0"/>
          <w:sz w:val="22"/>
          <w:szCs w:val="22"/>
          <w:lang w:eastAsia="en-GB"/>
          <w14:ligatures w14:val="none"/>
        </w:rPr>
        <w:t>The Journals of Gerontology: Series B</w:t>
      </w:r>
      <w:r w:rsidRPr="004A46AA">
        <w:rPr>
          <w:rFonts w:ascii="Arial" w:eastAsia="Times New Roman" w:hAnsi="Arial" w:cs="Arial"/>
          <w:kern w:val="0"/>
          <w:sz w:val="22"/>
          <w:szCs w:val="22"/>
          <w:lang w:eastAsia="en-GB"/>
          <w14:ligatures w14:val="none"/>
        </w:rPr>
        <w:t xml:space="preserve">, 79(12), gbae173. Available at: </w:t>
      </w:r>
      <w:hyperlink r:id="rId66" w:history="1">
        <w:r w:rsidRPr="004A46AA">
          <w:rPr>
            <w:rStyle w:val="Hyperlink"/>
            <w:rFonts w:ascii="Arial" w:eastAsia="Times New Roman" w:hAnsi="Arial" w:cs="Arial"/>
            <w:kern w:val="0"/>
            <w:sz w:val="22"/>
            <w:szCs w:val="22"/>
            <w:lang w:eastAsia="en-GB"/>
            <w14:ligatures w14:val="none"/>
          </w:rPr>
          <w:t>https://academic.oup.com/psychsocgerontology/article/79/12/gbae173/7816889</w:t>
        </w:r>
      </w:hyperlink>
      <w:r>
        <w:rPr>
          <w:rFonts w:ascii="Arial" w:eastAsia="Times New Roman" w:hAnsi="Arial" w:cs="Arial"/>
          <w:kern w:val="0"/>
          <w:sz w:val="22"/>
          <w:szCs w:val="22"/>
          <w:lang w:eastAsia="en-GB"/>
          <w14:ligatures w14:val="none"/>
        </w:rPr>
        <w:t xml:space="preserve"> </w:t>
      </w:r>
      <w:r w:rsidRPr="008D40C4">
        <w:rPr>
          <w:rFonts w:ascii="Arial" w:eastAsia="Times New Roman" w:hAnsi="Arial" w:cs="Arial"/>
          <w:kern w:val="0"/>
          <w:sz w:val="22"/>
          <w:szCs w:val="22"/>
          <w:lang w:eastAsia="en-GB"/>
          <w14:ligatures w14:val="none"/>
        </w:rPr>
        <w:t xml:space="preserve">(Accessed: </w:t>
      </w:r>
      <w:r>
        <w:rPr>
          <w:rFonts w:ascii="Arial" w:eastAsia="Times New Roman" w:hAnsi="Arial" w:cs="Arial"/>
          <w:kern w:val="0"/>
          <w:sz w:val="22"/>
          <w:szCs w:val="22"/>
          <w:lang w:eastAsia="en-GB"/>
          <w14:ligatures w14:val="none"/>
        </w:rPr>
        <w:t>18</w:t>
      </w:r>
      <w:r w:rsidRPr="008D40C4">
        <w:rPr>
          <w:rFonts w:ascii="Arial" w:eastAsia="Times New Roman" w:hAnsi="Arial" w:cs="Arial"/>
          <w:kern w:val="0"/>
          <w:sz w:val="22"/>
          <w:szCs w:val="22"/>
          <w:lang w:eastAsia="en-GB"/>
          <w14:ligatures w14:val="none"/>
        </w:rPr>
        <w:t xml:space="preserve"> November 2025).</w:t>
      </w:r>
    </w:p>
    <w:p w14:paraId="5F62C66E" w14:textId="46965B17" w:rsidR="00960188" w:rsidRPr="004A46AA" w:rsidRDefault="00960188" w:rsidP="004A2F7F">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Haven’t done page numbers</w:t>
      </w:r>
      <w:r w:rsidR="00220CAB">
        <w:rPr>
          <w:rFonts w:ascii="Arial" w:eastAsia="Times New Roman" w:hAnsi="Arial" w:cs="Arial"/>
          <w:kern w:val="0"/>
          <w:sz w:val="22"/>
          <w:szCs w:val="22"/>
          <w:lang w:eastAsia="en-GB"/>
          <w14:ligatures w14:val="none"/>
        </w:rPr>
        <w:t xml:space="preserve"> and contents </w:t>
      </w:r>
      <w:r w:rsidR="00CD6F6F">
        <w:rPr>
          <w:rFonts w:ascii="Arial" w:eastAsia="Times New Roman" w:hAnsi="Arial" w:cs="Arial"/>
          <w:kern w:val="0"/>
          <w:sz w:val="22"/>
          <w:szCs w:val="22"/>
          <w:lang w:eastAsia="en-GB"/>
          <w14:ligatures w14:val="none"/>
        </w:rPr>
        <w:t xml:space="preserve">page </w:t>
      </w:r>
      <w:r w:rsidR="00220CAB">
        <w:rPr>
          <w:rFonts w:ascii="Arial" w:eastAsia="Times New Roman" w:hAnsi="Arial" w:cs="Arial"/>
          <w:kern w:val="0"/>
          <w:sz w:val="22"/>
          <w:szCs w:val="22"/>
          <w:lang w:eastAsia="en-GB"/>
          <w14:ligatures w14:val="none"/>
        </w:rPr>
        <w:t>yet,</w:t>
      </w:r>
      <w:r>
        <w:rPr>
          <w:rFonts w:ascii="Arial" w:eastAsia="Times New Roman" w:hAnsi="Arial" w:cs="Arial"/>
          <w:kern w:val="0"/>
          <w:sz w:val="22"/>
          <w:szCs w:val="22"/>
          <w:lang w:eastAsia="en-GB"/>
          <w14:ligatures w14:val="none"/>
        </w:rPr>
        <w:t xml:space="preserve"> do we have to do references as A</w:t>
      </w:r>
      <w:r w:rsidR="00220CAB">
        <w:rPr>
          <w:rFonts w:ascii="Arial" w:eastAsia="Times New Roman" w:hAnsi="Arial" w:cs="Arial"/>
          <w:kern w:val="0"/>
          <w:sz w:val="22"/>
          <w:szCs w:val="22"/>
          <w:lang w:eastAsia="en-GB"/>
          <w14:ligatures w14:val="none"/>
        </w:rPr>
        <w:t>riel</w:t>
      </w:r>
      <w:r>
        <w:rPr>
          <w:rFonts w:ascii="Arial" w:eastAsia="Times New Roman" w:hAnsi="Arial" w:cs="Arial"/>
          <w:kern w:val="0"/>
          <w:sz w:val="22"/>
          <w:szCs w:val="22"/>
          <w:lang w:eastAsia="en-GB"/>
          <w14:ligatures w14:val="none"/>
        </w:rPr>
        <w:t xml:space="preserve"> </w:t>
      </w:r>
      <w:r w:rsidR="00220CAB">
        <w:rPr>
          <w:rFonts w:ascii="Arial" w:eastAsia="Times New Roman" w:hAnsi="Arial" w:cs="Arial"/>
          <w:kern w:val="0"/>
          <w:sz w:val="22"/>
          <w:szCs w:val="22"/>
          <w:lang w:eastAsia="en-GB"/>
          <w14:ligatures w14:val="none"/>
        </w:rPr>
        <w:t xml:space="preserve">size 11? </w:t>
      </w:r>
    </w:p>
    <w:sectPr w:rsidR="00960188" w:rsidRPr="004A46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92171" w14:textId="77777777" w:rsidR="00747C2E" w:rsidRDefault="00747C2E" w:rsidP="003A4A75">
      <w:pPr>
        <w:spacing w:after="0" w:line="240" w:lineRule="auto"/>
      </w:pPr>
      <w:r>
        <w:separator/>
      </w:r>
    </w:p>
  </w:endnote>
  <w:endnote w:type="continuationSeparator" w:id="0">
    <w:p w14:paraId="5E9FA885" w14:textId="77777777" w:rsidR="00747C2E" w:rsidRDefault="00747C2E" w:rsidP="003A4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5602D" w14:textId="77777777" w:rsidR="00747C2E" w:rsidRDefault="00747C2E" w:rsidP="003A4A75">
      <w:pPr>
        <w:spacing w:after="0" w:line="240" w:lineRule="auto"/>
      </w:pPr>
      <w:r>
        <w:separator/>
      </w:r>
    </w:p>
  </w:footnote>
  <w:footnote w:type="continuationSeparator" w:id="0">
    <w:p w14:paraId="1EE63BB4" w14:textId="77777777" w:rsidR="00747C2E" w:rsidRDefault="00747C2E" w:rsidP="003A4A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B36"/>
    <w:rsid w:val="00011717"/>
    <w:rsid w:val="00062515"/>
    <w:rsid w:val="00067D83"/>
    <w:rsid w:val="000807EF"/>
    <w:rsid w:val="0008778C"/>
    <w:rsid w:val="0009636C"/>
    <w:rsid w:val="000B51AA"/>
    <w:rsid w:val="000B6A90"/>
    <w:rsid w:val="000C0486"/>
    <w:rsid w:val="000C6738"/>
    <w:rsid w:val="000E03A3"/>
    <w:rsid w:val="000F27C2"/>
    <w:rsid w:val="00100D6F"/>
    <w:rsid w:val="00167D85"/>
    <w:rsid w:val="0017155C"/>
    <w:rsid w:val="00185888"/>
    <w:rsid w:val="00185D3B"/>
    <w:rsid w:val="001955C9"/>
    <w:rsid w:val="001A5B29"/>
    <w:rsid w:val="001A7452"/>
    <w:rsid w:val="001B3571"/>
    <w:rsid w:val="001D5333"/>
    <w:rsid w:val="001E44C1"/>
    <w:rsid w:val="00201DDB"/>
    <w:rsid w:val="00220CAB"/>
    <w:rsid w:val="00221115"/>
    <w:rsid w:val="00224BAD"/>
    <w:rsid w:val="00237FE6"/>
    <w:rsid w:val="00243DCA"/>
    <w:rsid w:val="002629E0"/>
    <w:rsid w:val="002663DB"/>
    <w:rsid w:val="00276284"/>
    <w:rsid w:val="002A0B5C"/>
    <w:rsid w:val="002E4B54"/>
    <w:rsid w:val="00303D76"/>
    <w:rsid w:val="00311C5F"/>
    <w:rsid w:val="003221BD"/>
    <w:rsid w:val="00352D05"/>
    <w:rsid w:val="00367640"/>
    <w:rsid w:val="00371335"/>
    <w:rsid w:val="00374857"/>
    <w:rsid w:val="00392C3C"/>
    <w:rsid w:val="003A4A75"/>
    <w:rsid w:val="004002BE"/>
    <w:rsid w:val="004332E5"/>
    <w:rsid w:val="004848A3"/>
    <w:rsid w:val="004868E9"/>
    <w:rsid w:val="004A2F7F"/>
    <w:rsid w:val="004B6084"/>
    <w:rsid w:val="004C0DA6"/>
    <w:rsid w:val="004C6E00"/>
    <w:rsid w:val="004D79F0"/>
    <w:rsid w:val="004F23DA"/>
    <w:rsid w:val="004F5762"/>
    <w:rsid w:val="005166A2"/>
    <w:rsid w:val="00527FB4"/>
    <w:rsid w:val="005361F7"/>
    <w:rsid w:val="0055778B"/>
    <w:rsid w:val="00557946"/>
    <w:rsid w:val="005806F5"/>
    <w:rsid w:val="00586531"/>
    <w:rsid w:val="00592988"/>
    <w:rsid w:val="0059520F"/>
    <w:rsid w:val="005D6E00"/>
    <w:rsid w:val="006067C3"/>
    <w:rsid w:val="0060780B"/>
    <w:rsid w:val="006166E9"/>
    <w:rsid w:val="00633844"/>
    <w:rsid w:val="00652814"/>
    <w:rsid w:val="006A4F02"/>
    <w:rsid w:val="006B186D"/>
    <w:rsid w:val="006B2EB2"/>
    <w:rsid w:val="006B6699"/>
    <w:rsid w:val="006C3EFE"/>
    <w:rsid w:val="006D0160"/>
    <w:rsid w:val="006E1212"/>
    <w:rsid w:val="006F5F97"/>
    <w:rsid w:val="00706117"/>
    <w:rsid w:val="00732643"/>
    <w:rsid w:val="00734979"/>
    <w:rsid w:val="00741E0E"/>
    <w:rsid w:val="0074748A"/>
    <w:rsid w:val="00747ADE"/>
    <w:rsid w:val="00747C2E"/>
    <w:rsid w:val="00747C81"/>
    <w:rsid w:val="00756F04"/>
    <w:rsid w:val="0076402B"/>
    <w:rsid w:val="00794F2A"/>
    <w:rsid w:val="007C0F62"/>
    <w:rsid w:val="007C7B9C"/>
    <w:rsid w:val="007E56D2"/>
    <w:rsid w:val="007F292B"/>
    <w:rsid w:val="00825488"/>
    <w:rsid w:val="00871FC3"/>
    <w:rsid w:val="00880A7B"/>
    <w:rsid w:val="008A6C6E"/>
    <w:rsid w:val="008B5FF2"/>
    <w:rsid w:val="00913B05"/>
    <w:rsid w:val="0092180F"/>
    <w:rsid w:val="00960188"/>
    <w:rsid w:val="0096696B"/>
    <w:rsid w:val="00996A9A"/>
    <w:rsid w:val="009B41CB"/>
    <w:rsid w:val="009C53EB"/>
    <w:rsid w:val="009E65DA"/>
    <w:rsid w:val="009F298A"/>
    <w:rsid w:val="00A13C84"/>
    <w:rsid w:val="00A459DC"/>
    <w:rsid w:val="00A640E7"/>
    <w:rsid w:val="00A77E57"/>
    <w:rsid w:val="00A8767B"/>
    <w:rsid w:val="00AA12E9"/>
    <w:rsid w:val="00AC4277"/>
    <w:rsid w:val="00AC6AED"/>
    <w:rsid w:val="00AE77C0"/>
    <w:rsid w:val="00B00C95"/>
    <w:rsid w:val="00B0207C"/>
    <w:rsid w:val="00B14483"/>
    <w:rsid w:val="00B70CFD"/>
    <w:rsid w:val="00B73B08"/>
    <w:rsid w:val="00BB673E"/>
    <w:rsid w:val="00BD5F75"/>
    <w:rsid w:val="00C060BE"/>
    <w:rsid w:val="00C077BC"/>
    <w:rsid w:val="00C30373"/>
    <w:rsid w:val="00C45079"/>
    <w:rsid w:val="00C56D98"/>
    <w:rsid w:val="00C573AA"/>
    <w:rsid w:val="00C679A6"/>
    <w:rsid w:val="00C71FDE"/>
    <w:rsid w:val="00C74BE5"/>
    <w:rsid w:val="00C85AEA"/>
    <w:rsid w:val="00C9548F"/>
    <w:rsid w:val="00CA2377"/>
    <w:rsid w:val="00CB072E"/>
    <w:rsid w:val="00CB1328"/>
    <w:rsid w:val="00CC109C"/>
    <w:rsid w:val="00CD6F6F"/>
    <w:rsid w:val="00D14C6E"/>
    <w:rsid w:val="00D30B36"/>
    <w:rsid w:val="00D862EE"/>
    <w:rsid w:val="00DA07B9"/>
    <w:rsid w:val="00DD467C"/>
    <w:rsid w:val="00DE7906"/>
    <w:rsid w:val="00DF4D1D"/>
    <w:rsid w:val="00DF5F83"/>
    <w:rsid w:val="00DF77E8"/>
    <w:rsid w:val="00E1173E"/>
    <w:rsid w:val="00E15B77"/>
    <w:rsid w:val="00E754F7"/>
    <w:rsid w:val="00E77188"/>
    <w:rsid w:val="00E828A4"/>
    <w:rsid w:val="00E842B2"/>
    <w:rsid w:val="00EB53A6"/>
    <w:rsid w:val="00EC2781"/>
    <w:rsid w:val="00EC2D9E"/>
    <w:rsid w:val="00EF0259"/>
    <w:rsid w:val="00F01C97"/>
    <w:rsid w:val="00F076DA"/>
    <w:rsid w:val="00F4307D"/>
    <w:rsid w:val="00F514FB"/>
    <w:rsid w:val="00F76D32"/>
    <w:rsid w:val="00F84678"/>
    <w:rsid w:val="00FC74BB"/>
    <w:rsid w:val="00FD2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E978A"/>
  <w15:chartTrackingRefBased/>
  <w15:docId w15:val="{AE78EC9F-4189-4E04-9BEE-1620DA861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B36"/>
    <w:rPr>
      <w:rFonts w:eastAsiaTheme="majorEastAsia" w:cstheme="majorBidi"/>
      <w:color w:val="272727" w:themeColor="text1" w:themeTint="D8"/>
    </w:rPr>
  </w:style>
  <w:style w:type="paragraph" w:styleId="Title">
    <w:name w:val="Title"/>
    <w:basedOn w:val="Normal"/>
    <w:next w:val="Normal"/>
    <w:link w:val="TitleChar"/>
    <w:uiPriority w:val="10"/>
    <w:qFormat/>
    <w:rsid w:val="00D30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B36"/>
    <w:pPr>
      <w:spacing w:before="160"/>
      <w:jc w:val="center"/>
    </w:pPr>
    <w:rPr>
      <w:i/>
      <w:iCs/>
      <w:color w:val="404040" w:themeColor="text1" w:themeTint="BF"/>
    </w:rPr>
  </w:style>
  <w:style w:type="character" w:customStyle="1" w:styleId="QuoteChar">
    <w:name w:val="Quote Char"/>
    <w:basedOn w:val="DefaultParagraphFont"/>
    <w:link w:val="Quote"/>
    <w:uiPriority w:val="29"/>
    <w:rsid w:val="00D30B36"/>
    <w:rPr>
      <w:i/>
      <w:iCs/>
      <w:color w:val="404040" w:themeColor="text1" w:themeTint="BF"/>
    </w:rPr>
  </w:style>
  <w:style w:type="paragraph" w:styleId="ListParagraph">
    <w:name w:val="List Paragraph"/>
    <w:basedOn w:val="Normal"/>
    <w:uiPriority w:val="34"/>
    <w:qFormat/>
    <w:rsid w:val="00D30B36"/>
    <w:pPr>
      <w:ind w:left="720"/>
      <w:contextualSpacing/>
    </w:pPr>
  </w:style>
  <w:style w:type="character" w:styleId="IntenseEmphasis">
    <w:name w:val="Intense Emphasis"/>
    <w:basedOn w:val="DefaultParagraphFont"/>
    <w:uiPriority w:val="21"/>
    <w:qFormat/>
    <w:rsid w:val="00D30B36"/>
    <w:rPr>
      <w:i/>
      <w:iCs/>
      <w:color w:val="0F4761" w:themeColor="accent1" w:themeShade="BF"/>
    </w:rPr>
  </w:style>
  <w:style w:type="paragraph" w:styleId="IntenseQuote">
    <w:name w:val="Intense Quote"/>
    <w:basedOn w:val="Normal"/>
    <w:next w:val="Normal"/>
    <w:link w:val="IntenseQuoteChar"/>
    <w:uiPriority w:val="30"/>
    <w:qFormat/>
    <w:rsid w:val="00D30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B36"/>
    <w:rPr>
      <w:i/>
      <w:iCs/>
      <w:color w:val="0F4761" w:themeColor="accent1" w:themeShade="BF"/>
    </w:rPr>
  </w:style>
  <w:style w:type="character" w:styleId="IntenseReference">
    <w:name w:val="Intense Reference"/>
    <w:basedOn w:val="DefaultParagraphFont"/>
    <w:uiPriority w:val="32"/>
    <w:qFormat/>
    <w:rsid w:val="00D30B36"/>
    <w:rPr>
      <w:b/>
      <w:bCs/>
      <w:smallCaps/>
      <w:color w:val="0F4761" w:themeColor="accent1" w:themeShade="BF"/>
      <w:spacing w:val="5"/>
    </w:rPr>
  </w:style>
  <w:style w:type="character" w:styleId="Hyperlink">
    <w:name w:val="Hyperlink"/>
    <w:basedOn w:val="DefaultParagraphFont"/>
    <w:uiPriority w:val="99"/>
    <w:unhideWhenUsed/>
    <w:rsid w:val="000C6738"/>
    <w:rPr>
      <w:color w:val="467886" w:themeColor="hyperlink"/>
      <w:u w:val="single"/>
    </w:rPr>
  </w:style>
  <w:style w:type="character" w:styleId="UnresolvedMention">
    <w:name w:val="Unresolved Mention"/>
    <w:basedOn w:val="DefaultParagraphFont"/>
    <w:uiPriority w:val="99"/>
    <w:semiHidden/>
    <w:unhideWhenUsed/>
    <w:rsid w:val="000C6738"/>
    <w:rPr>
      <w:color w:val="605E5C"/>
      <w:shd w:val="clear" w:color="auto" w:fill="E1DFDD"/>
    </w:rPr>
  </w:style>
  <w:style w:type="character" w:styleId="FollowedHyperlink">
    <w:name w:val="FollowedHyperlink"/>
    <w:basedOn w:val="DefaultParagraphFont"/>
    <w:uiPriority w:val="99"/>
    <w:semiHidden/>
    <w:unhideWhenUsed/>
    <w:rsid w:val="00221115"/>
    <w:rPr>
      <w:color w:val="96607D" w:themeColor="followedHyperlink"/>
      <w:u w:val="single"/>
    </w:rPr>
  </w:style>
  <w:style w:type="paragraph" w:styleId="NormalWeb">
    <w:name w:val="Normal (Web)"/>
    <w:basedOn w:val="Normal"/>
    <w:uiPriority w:val="99"/>
    <w:semiHidden/>
    <w:unhideWhenUsed/>
    <w:rsid w:val="00F514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514FB"/>
    <w:rPr>
      <w:i/>
      <w:iCs/>
    </w:rPr>
  </w:style>
  <w:style w:type="paragraph" w:styleId="Header">
    <w:name w:val="header"/>
    <w:basedOn w:val="Normal"/>
    <w:link w:val="HeaderChar"/>
    <w:uiPriority w:val="99"/>
    <w:unhideWhenUsed/>
    <w:rsid w:val="003A4A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A75"/>
  </w:style>
  <w:style w:type="paragraph" w:styleId="Footer">
    <w:name w:val="footer"/>
    <w:basedOn w:val="Normal"/>
    <w:link w:val="FooterChar"/>
    <w:uiPriority w:val="99"/>
    <w:unhideWhenUsed/>
    <w:rsid w:val="003A4A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ageing/afad123" TargetMode="External"/><Relationship Id="rId21" Type="http://schemas.openxmlformats.org/officeDocument/2006/relationships/hyperlink" Target="https://doi.org/10.1016/S2468-2667(22)00257-2" TargetMode="External"/><Relationship Id="rId34" Type="http://schemas.openxmlformats.org/officeDocument/2006/relationships/hyperlink" Target="https://www.scwcsu.nhs.uk/priorities/health-inequalities/health-inequalities/addressing-health-inequalities-through-making-every-contact-count-mecc" TargetMode="External"/><Relationship Id="rId42" Type="http://schemas.openxmlformats.org/officeDocument/2006/relationships/hyperlink" Target="https://doi.org/10.1186/s13195-018-0453-0" TargetMode="External"/><Relationship Id="rId47" Type="http://schemas.openxmlformats.org/officeDocument/2006/relationships/hyperlink" Target="https://doi.org/10.1136/bmj.k2927" TargetMode="External"/><Relationship Id="rId50" Type="http://schemas.openxmlformats.org/officeDocument/2006/relationships/hyperlink" Target="https://doi.org/10.1093/alcalc/agaf012" TargetMode="External"/><Relationship Id="rId55" Type="http://schemas.openxmlformats.org/officeDocument/2006/relationships/hyperlink" Target="https://ebm.bmj.com/content/early/2025/09/16/bmjebm-2025-113913" TargetMode="External"/><Relationship Id="rId63" Type="http://schemas.openxmlformats.org/officeDocument/2006/relationships/hyperlink" Target="https://doi.org/10.1007/s10654-017-0225-3" TargetMode="External"/><Relationship Id="rId68" Type="http://schemas.openxmlformats.org/officeDocument/2006/relationships/theme" Target="theme/theme1.xml"/><Relationship Id="rId7" Type="http://schemas.openxmlformats.org/officeDocument/2006/relationships/hyperlink" Target="https://www.alzheimers.org.uk/about-dementia/managing-the-risk-of-dementia/reduce-your-risk-of-dementia/alcohol" TargetMode="External"/><Relationship Id="rId2" Type="http://schemas.openxmlformats.org/officeDocument/2006/relationships/settings" Target="settings.xml"/><Relationship Id="rId16" Type="http://schemas.openxmlformats.org/officeDocument/2006/relationships/hyperlink" Target="https://eprints.lancs.ac.uk/id/eprint/215801/3/giebel-et-al-2024-do-people-with-dementia-and-carers-get-what-they-need-barriers-in-social-care-and-carers-needs.pdf" TargetMode="External"/><Relationship Id="rId29" Type="http://schemas.openxmlformats.org/officeDocument/2006/relationships/hyperlink" Target="https://doi.org/10.1016/S0140-6736(20)30367-6" TargetMode="External"/><Relationship Id="rId11" Type="http://schemas.openxmlformats.org/officeDocument/2006/relationships/hyperlink" Target="https://www.cqc.org.uk/publications/major-report/state-care/2023-2024/areas-of-concern/dementia" TargetMode="External"/><Relationship Id="rId24" Type="http://schemas.openxmlformats.org/officeDocument/2006/relationships/hyperlink" Target="https://link.springer.com/article/10.1007/s40429-025-00668-1" TargetMode="External"/><Relationship Id="rId32" Type="http://schemas.openxmlformats.org/officeDocument/2006/relationships/hyperlink" Target="https://doi.org/10.1001/jama.289.11.1405" TargetMode="External"/><Relationship Id="rId37" Type="http://schemas.openxmlformats.org/officeDocument/2006/relationships/hyperlink" Target="https://www.mdpi.com/1660-4601/20/13/6235" TargetMode="External"/><Relationship Id="rId40" Type="http://schemas.openxmlformats.org/officeDocument/2006/relationships/hyperlink" Target="https://doi.org/10.1002/gps.5721" TargetMode="External"/><Relationship Id="rId45" Type="http://schemas.openxmlformats.org/officeDocument/2006/relationships/hyperlink" Target="https://doi.org/10.1186/alzrt157" TargetMode="External"/><Relationship Id="rId53" Type="http://schemas.openxmlformats.org/officeDocument/2006/relationships/hyperlink" Target="https://doi.org/10.1016/j.neuropsychologia.2009.03.004" TargetMode="External"/><Relationship Id="rId58" Type="http://schemas.openxmlformats.org/officeDocument/2006/relationships/hyperlink" Target="https://doi.org/10.1111/add.16030" TargetMode="External"/><Relationship Id="rId66" Type="http://schemas.openxmlformats.org/officeDocument/2006/relationships/hyperlink" Target="https://academic.oup.com/psychsocgerontology/article/79/12/gbae173/7816889" TargetMode="External"/><Relationship Id="rId5" Type="http://schemas.openxmlformats.org/officeDocument/2006/relationships/endnotes" Target="endnotes.xml"/><Relationship Id="rId61" Type="http://schemas.openxmlformats.org/officeDocument/2006/relationships/hyperlink" Target="https://www.tandfonline.com/doi/pdf/10.2147/NDT.S198772" TargetMode="External"/><Relationship Id="rId19" Type="http://schemas.openxmlformats.org/officeDocument/2006/relationships/hyperlink" Target="https://jamanetwork.com/journals/jamaneurology/fullarticle/2813439" TargetMode="External"/><Relationship Id="rId14" Type="http://schemas.openxmlformats.org/officeDocument/2006/relationships/hyperlink" Target="https://doi.org/10.1126/science.847460" TargetMode="External"/><Relationship Id="rId22" Type="http://schemas.openxmlformats.org/officeDocument/2006/relationships/hyperlink" Target="https://doi.org/10.1001/jamanetworkopen.2019.10319" TargetMode="External"/><Relationship Id="rId27" Type="http://schemas.openxmlformats.org/officeDocument/2006/relationships/hyperlink" Target="https://academic.oup.com/gerontologist/article/59/5/e512/5536121" TargetMode="External"/><Relationship Id="rId30" Type="http://schemas.openxmlformats.org/officeDocument/2006/relationships/hyperlink" Target="https://repository.gheli.harvard.edu/repository/14303/" TargetMode="External"/><Relationship Id="rId35" Type="http://schemas.openxmlformats.org/officeDocument/2006/relationships/hyperlink" Target="https://doi.org/10.1136/bmj.l5274" TargetMode="External"/><Relationship Id="rId43" Type="http://schemas.openxmlformats.org/officeDocument/2006/relationships/hyperlink" Target="https://uk.sagepub.com/en-gb/eur/the-literature-review/book236719" TargetMode="External"/><Relationship Id="rId48" Type="http://schemas.openxmlformats.org/officeDocument/2006/relationships/hyperlink" Target="https://www.bmj.com/content/bmj/362/bmj.k2927.full.pdf" TargetMode="External"/><Relationship Id="rId56" Type="http://schemas.openxmlformats.org/officeDocument/2006/relationships/hyperlink" Target="https://link.springer.com/article/10.1007/s40615-025-02730-0" TargetMode="External"/><Relationship Id="rId64" Type="http://schemas.openxmlformats.org/officeDocument/2006/relationships/hyperlink" Target="https://arcr.niaaa.nih.gov/media/1916/download?inline" TargetMode="External"/><Relationship Id="rId8" Type="http://schemas.openxmlformats.org/officeDocument/2006/relationships/hyperlink" Target="https://doi.org/10.1097/JGP.0b013e3181a2fd07" TargetMode="External"/><Relationship Id="rId51" Type="http://schemas.openxmlformats.org/officeDocument/2006/relationships/hyperlink" Target="https://doi.org/10.3390/nu15051128" TargetMode="External"/><Relationship Id="rId3" Type="http://schemas.openxmlformats.org/officeDocument/2006/relationships/webSettings" Target="webSettings.xml"/><Relationship Id="rId12" Type="http://schemas.openxmlformats.org/officeDocument/2006/relationships/hyperlink" Target="https://www.cdc.gov/alcohol/prevention/proven-strategies.html" TargetMode="External"/><Relationship Id="rId17" Type="http://schemas.openxmlformats.org/officeDocument/2006/relationships/hyperlink" Target="https://link.springer.com/article/10.17269/s41997-025-01013-9" TargetMode="External"/><Relationship Id="rId25" Type="http://schemas.openxmlformats.org/officeDocument/2006/relationships/hyperlink" Target="https://doi.org/10.1007/s40429-025-00668-1" TargetMode="External"/><Relationship Id="rId33" Type="http://schemas.openxmlformats.org/officeDocument/2006/relationships/hyperlink" Target="https://www.nature.com/articles/d41586-025-02926-8" TargetMode="External"/><Relationship Id="rId38" Type="http://schemas.openxmlformats.org/officeDocument/2006/relationships/hyperlink" Target="https://doi.org/10.1007/s40429-025-00668-1" TargetMode="External"/><Relationship Id="rId46" Type="http://schemas.openxmlformats.org/officeDocument/2006/relationships/hyperlink" Target="https://researchers.uss.cl/en/publications/a-psychological-examination-of-the-status-syndrome-and-its-applic" TargetMode="External"/><Relationship Id="rId59" Type="http://schemas.openxmlformats.org/officeDocument/2006/relationships/hyperlink" Target="https://link.springer.com/article/10.1186/s12967-025-07488-x" TargetMode="External"/><Relationship Id="rId67" Type="http://schemas.openxmlformats.org/officeDocument/2006/relationships/fontTable" Target="fontTable.xml"/><Relationship Id="rId20" Type="http://schemas.openxmlformats.org/officeDocument/2006/relationships/hyperlink" Target="https://doi.org/10.1111/add.12529" TargetMode="External"/><Relationship Id="rId41" Type="http://schemas.openxmlformats.org/officeDocument/2006/relationships/hyperlink" Target="https://doi.org/10.1186/s13195-018-0453-0" TargetMode="External"/><Relationship Id="rId54" Type="http://schemas.openxmlformats.org/officeDocument/2006/relationships/hyperlink" Target="https://doi.org/10.14283/jpad.2024.3" TargetMode="External"/><Relationship Id="rId62" Type="http://schemas.openxmlformats.org/officeDocument/2006/relationships/hyperlink" Target="https://www.who.int/publications/i/item/9789241565639" TargetMode="External"/><Relationship Id="rId1" Type="http://schemas.openxmlformats.org/officeDocument/2006/relationships/styles" Target="styles.xml"/><Relationship Id="rId6" Type="http://schemas.openxmlformats.org/officeDocument/2006/relationships/hyperlink" Target="https://www.alzint.org/resource/world-alzheimer-report-2023/" TargetMode="External"/><Relationship Id="rId15" Type="http://schemas.openxmlformats.org/officeDocument/2006/relationships/hyperlink" Target="https://openjournals.ljmu.ac.uk/PHIJ/article/view/2848" TargetMode="External"/><Relationship Id="rId23" Type="http://schemas.openxmlformats.org/officeDocument/2006/relationships/hyperlink" Target="https://jamanetwork.com/journals/jamanetworkopen/fullarticle/2770285" TargetMode="External"/><Relationship Id="rId28" Type="http://schemas.openxmlformats.org/officeDocument/2006/relationships/hyperlink" Target="https://doi.org/10.1016/S0140-6736(17)31363-6" TargetMode="External"/><Relationship Id="rId36" Type="http://schemas.openxmlformats.org/officeDocument/2006/relationships/hyperlink" Target="https://fingertips.phe.org.uk/profile/local-alcohol-profiles" TargetMode="External"/><Relationship Id="rId49" Type="http://schemas.openxmlformats.org/officeDocument/2006/relationships/hyperlink" Target="https://jamanetwork.com/journals/jamanetworkopen/fullarticle/2818866" TargetMode="External"/><Relationship Id="rId57" Type="http://schemas.openxmlformats.org/officeDocument/2006/relationships/hyperlink" Target="https://link.springer.com/article/10.1007/s40615-025-02730-0" TargetMode="External"/><Relationship Id="rId10" Type="http://schemas.openxmlformats.org/officeDocument/2006/relationships/hyperlink" Target="https://doi.org/10.14283/jpad.2023.119" TargetMode="External"/><Relationship Id="rId31" Type="http://schemas.openxmlformats.org/officeDocument/2006/relationships/hyperlink" Target="https://doi:10.1016/S0140-6736(20)30367-6" TargetMode="External"/><Relationship Id="rId44" Type="http://schemas.openxmlformats.org/officeDocument/2006/relationships/hyperlink" Target="https://doi.org/10.1186/alzrt157" TargetMode="External"/><Relationship Id="rId52" Type="http://schemas.openxmlformats.org/officeDocument/2006/relationships/hyperlink" Target="https://bmjopen.bmj.com/content/bmjopen/15/11/e093389.full.pdf" TargetMode="External"/><Relationship Id="rId60" Type="http://schemas.openxmlformats.org/officeDocument/2006/relationships/hyperlink" Target="https://doi.org/10.1007/s12031-024-02259-7" TargetMode="External"/><Relationship Id="rId65" Type="http://schemas.openxmlformats.org/officeDocument/2006/relationships/hyperlink" Target="https://arcr.niaaa.nih.gov/media/1916/download?inline" TargetMode="External"/><Relationship Id="rId4" Type="http://schemas.openxmlformats.org/officeDocument/2006/relationships/footnotes" Target="footnotes.xml"/><Relationship Id="rId9" Type="http://schemas.openxmlformats.org/officeDocument/2006/relationships/hyperlink" Target="https://doi.org/10.1007/s40120-025-00866-z" TargetMode="External"/><Relationship Id="rId13" Type="http://schemas.openxmlformats.org/officeDocument/2006/relationships/hyperlink" Target="https://www.frontiersin.org/articles/10.3389/fneur.2021.765584/full" TargetMode="External"/><Relationship Id="rId18" Type="http://schemas.openxmlformats.org/officeDocument/2006/relationships/hyperlink" Target="https://doi.org/10.1136/bmj.n700" TargetMode="External"/><Relationship Id="rId39" Type="http://schemas.openxmlformats.org/officeDocument/2006/relationships/hyperlink" Target="https://eprints.whiterose.ac.uk/id/eprint/215026/1/The_Spirit_Level_at_15_2024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5774</Words>
  <Characters>38749</Characters>
  <Application>Microsoft Office Word</Application>
  <DocSecurity>0</DocSecurity>
  <Lines>587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Zak Begum</dc:creator>
  <cp:keywords/>
  <dc:description/>
  <cp:lastModifiedBy>Zak Begum</cp:lastModifiedBy>
  <cp:revision>2</cp:revision>
  <dcterms:created xsi:type="dcterms:W3CDTF">2025-12-04T20:56:00Z</dcterms:created>
  <dcterms:modified xsi:type="dcterms:W3CDTF">2025-12-04T20:56:00Z</dcterms:modified>
</cp:coreProperties>
</file>