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D809DF2" w14:textId="7FFC5252" w:rsidR="00F35C53" w:rsidRDefault="003701F8">
      <w:r>
        <w:rPr>
          <w:noProof/>
        </w:rPr>
        <w:drawing>
          <wp:inline distT="0" distB="0" distL="0" distR="0" wp14:anchorId="0DEEFFC4" wp14:editId="0BE3F542">
            <wp:extent cx="4514850" cy="1800225"/>
            <wp:effectExtent l="0" t="0" r="0" b="9525"/>
            <wp:docPr id="1310354668"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0354668" name="Picture 1" descr="A close up of black 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4514850" cy="1800225"/>
                    </a:xfrm>
                    <a:prstGeom prst="rect">
                      <a:avLst/>
                    </a:prstGeom>
                  </pic:spPr>
                </pic:pic>
              </a:graphicData>
            </a:graphic>
          </wp:inline>
        </w:drawing>
      </w:r>
    </w:p>
    <w:p w14:paraId="76AA55A0" w14:textId="0BAC2281" w:rsidR="001B3AD8" w:rsidRDefault="001B3AD8" w:rsidP="001B3AD8">
      <w:pPr>
        <w:pStyle w:val="NoSpacing"/>
        <w:rPr>
          <w:rFonts w:ascii="Arial" w:eastAsiaTheme="majorEastAsia" w:hAnsi="Arial" w:cs="Arial"/>
          <w:b/>
          <w:sz w:val="40"/>
          <w:szCs w:val="40"/>
        </w:rPr>
      </w:pPr>
      <w:r>
        <w:rPr>
          <w:rFonts w:ascii="Arial" w:eastAsiaTheme="majorEastAsia" w:hAnsi="Arial" w:cs="Arial"/>
          <w:b/>
          <w:sz w:val="40"/>
          <w:szCs w:val="40"/>
        </w:rPr>
        <w:t xml:space="preserve">Module: </w:t>
      </w:r>
      <w:r w:rsidR="00622AAC" w:rsidRPr="00622AAC">
        <w:rPr>
          <w:rFonts w:ascii="Arial" w:eastAsiaTheme="majorEastAsia" w:hAnsi="Arial" w:cs="Arial"/>
          <w:b/>
          <w:sz w:val="40"/>
          <w:szCs w:val="40"/>
        </w:rPr>
        <w:t>International Financial Management</w:t>
      </w:r>
    </w:p>
    <w:p w14:paraId="7FA3E0A5" w14:textId="47A808B0" w:rsidR="001B3AD8" w:rsidRDefault="001B3AD8" w:rsidP="001B3AD8">
      <w:pPr>
        <w:pStyle w:val="NoSpacing"/>
        <w:rPr>
          <w:rFonts w:ascii="Arial" w:hAnsi="Arial" w:cs="Arial"/>
          <w:sz w:val="36"/>
          <w:szCs w:val="36"/>
        </w:rPr>
      </w:pPr>
      <w:r>
        <w:rPr>
          <w:rFonts w:ascii="Arial" w:hAnsi="Arial" w:cs="Arial"/>
          <w:sz w:val="36"/>
          <w:szCs w:val="36"/>
        </w:rPr>
        <w:t>Code: LCBB600</w:t>
      </w:r>
      <w:r w:rsidR="002D08E2">
        <w:rPr>
          <w:rFonts w:ascii="Arial" w:hAnsi="Arial" w:cs="Arial"/>
          <w:sz w:val="36"/>
          <w:szCs w:val="36"/>
        </w:rPr>
        <w:t>2</w:t>
      </w:r>
    </w:p>
    <w:p w14:paraId="4CEE0E28" w14:textId="0DDB91F2" w:rsidR="001B3AD8" w:rsidRDefault="001B3AD8" w:rsidP="001B3AD8">
      <w:pPr>
        <w:pStyle w:val="NoSpacing"/>
        <w:rPr>
          <w:rFonts w:ascii="Arial" w:hAnsi="Arial" w:cs="Arial"/>
          <w:sz w:val="36"/>
          <w:szCs w:val="36"/>
        </w:rPr>
      </w:pPr>
      <w:r>
        <w:rPr>
          <w:rFonts w:ascii="Arial" w:hAnsi="Arial" w:cs="Arial"/>
          <w:sz w:val="36"/>
          <w:szCs w:val="36"/>
        </w:rPr>
        <w:t xml:space="preserve">Lecturer: </w:t>
      </w:r>
      <w:r w:rsidR="00743420" w:rsidRPr="00743420">
        <w:rPr>
          <w:rFonts w:ascii="Arial" w:hAnsi="Arial" w:cs="Arial"/>
          <w:sz w:val="36"/>
          <w:szCs w:val="36"/>
        </w:rPr>
        <w:t>Amandeep Sahota</w:t>
      </w:r>
    </w:p>
    <w:p w14:paraId="63A1E3E1" w14:textId="77777777" w:rsidR="001B3AD8" w:rsidRDefault="001B3AD8" w:rsidP="001B3AD8">
      <w:pPr>
        <w:pStyle w:val="NoSpacing"/>
        <w:rPr>
          <w:rFonts w:ascii="Arial" w:hAnsi="Arial" w:cs="Arial"/>
          <w:sz w:val="36"/>
          <w:szCs w:val="36"/>
        </w:rPr>
      </w:pPr>
      <w:r>
        <w:rPr>
          <w:rFonts w:ascii="Arial" w:hAnsi="Arial" w:cs="Arial"/>
          <w:sz w:val="36"/>
          <w:szCs w:val="36"/>
        </w:rPr>
        <w:t>Submitted by: Nikol Stoyanova</w:t>
      </w:r>
    </w:p>
    <w:p w14:paraId="54B0164A" w14:textId="77777777" w:rsidR="001B3AD8" w:rsidRDefault="001B3AD8" w:rsidP="001B3AD8">
      <w:pPr>
        <w:pStyle w:val="NoSpacing"/>
        <w:rPr>
          <w:rFonts w:ascii="Arial" w:hAnsi="Arial" w:cs="Arial"/>
          <w:sz w:val="36"/>
          <w:szCs w:val="36"/>
        </w:rPr>
      </w:pPr>
      <w:r>
        <w:rPr>
          <w:rFonts w:ascii="Arial" w:hAnsi="Arial" w:cs="Arial"/>
          <w:sz w:val="36"/>
          <w:szCs w:val="36"/>
        </w:rPr>
        <w:t>Student ID: 2130583</w:t>
      </w:r>
    </w:p>
    <w:p w14:paraId="1D93DF12" w14:textId="77777777" w:rsidR="00906E2B" w:rsidRDefault="00906E2B" w:rsidP="001B3AD8">
      <w:pPr>
        <w:pStyle w:val="NoSpacing"/>
        <w:rPr>
          <w:rFonts w:ascii="Arial" w:hAnsi="Arial" w:cs="Arial"/>
          <w:sz w:val="36"/>
          <w:szCs w:val="36"/>
        </w:rPr>
      </w:pPr>
    </w:p>
    <w:p w14:paraId="6845941B" w14:textId="0D0E1861" w:rsidR="00906E2B" w:rsidRPr="001A76D7" w:rsidRDefault="001A76D7" w:rsidP="001A76D7">
      <w:pPr>
        <w:tabs>
          <w:tab w:val="left" w:pos="630"/>
        </w:tabs>
        <w:spacing w:line="480" w:lineRule="auto"/>
        <w:jc w:val="center"/>
        <w:rPr>
          <w:rFonts w:ascii="Times New Roman" w:hAnsi="Times New Roman" w:cs="Times New Roman"/>
          <w:b/>
          <w:bCs/>
        </w:rPr>
      </w:pPr>
      <w:r w:rsidRPr="000A7DF0">
        <w:rPr>
          <w:rFonts w:ascii="Times New Roman" w:hAnsi="Times New Roman" w:cs="Times New Roman"/>
          <w:b/>
          <w:bCs/>
          <w:sz w:val="36"/>
          <w:szCs w:val="36"/>
        </w:rPr>
        <w:t>Table of content</w:t>
      </w:r>
    </w:p>
    <w:p w14:paraId="5F688F61" w14:textId="77777777" w:rsidR="00906E2B" w:rsidRPr="00DB2C82" w:rsidRDefault="00906E2B" w:rsidP="00906E2B">
      <w:pPr>
        <w:spacing w:line="480" w:lineRule="auto"/>
        <w:rPr>
          <w:rFonts w:ascii="Times New Roman" w:hAnsi="Times New Roman" w:cs="Times New Roman"/>
        </w:rPr>
      </w:pPr>
      <w:r w:rsidRPr="00DB2C82">
        <w:rPr>
          <w:rFonts w:ascii="Times New Roman" w:hAnsi="Times New Roman" w:cs="Times New Roman"/>
        </w:rPr>
        <w:t>1.Introduction………………………………………………………………………....……3</w:t>
      </w:r>
    </w:p>
    <w:p w14:paraId="4951673C" w14:textId="514F6C28" w:rsidR="00906E2B" w:rsidRDefault="00906E2B" w:rsidP="00906E2B">
      <w:pPr>
        <w:pStyle w:val="NoSpacing"/>
        <w:spacing w:line="480" w:lineRule="auto"/>
        <w:rPr>
          <w:bCs/>
        </w:rPr>
      </w:pPr>
      <w:r w:rsidRPr="00DB2C82">
        <w:t>2.</w:t>
      </w:r>
      <w:r w:rsidRPr="00DB2C82">
        <w:rPr>
          <w:b/>
        </w:rPr>
        <w:t xml:space="preserve"> </w:t>
      </w:r>
      <w:r w:rsidR="001A76D7" w:rsidRPr="001A76D7">
        <w:rPr>
          <w:bCs/>
        </w:rPr>
        <w:t>Discussion</w:t>
      </w:r>
    </w:p>
    <w:p w14:paraId="4DE2C236" w14:textId="3C7BAE3E" w:rsidR="001A76D7" w:rsidRDefault="001A76D7" w:rsidP="001A76D7">
      <w:pPr>
        <w:pStyle w:val="NoSpacing"/>
        <w:numPr>
          <w:ilvl w:val="0"/>
          <w:numId w:val="1"/>
        </w:numPr>
        <w:spacing w:line="480" w:lineRule="auto"/>
        <w:rPr>
          <w:bCs/>
        </w:rPr>
      </w:pPr>
      <w:r w:rsidRPr="001A76D7">
        <w:rPr>
          <w:bCs/>
        </w:rPr>
        <w:t>Understanding Foreign Exchange Risks</w:t>
      </w:r>
    </w:p>
    <w:p w14:paraId="41A66C27" w14:textId="77777777" w:rsidR="001A76D7" w:rsidRDefault="001A76D7" w:rsidP="001A76D7">
      <w:pPr>
        <w:pStyle w:val="NoSpacing"/>
        <w:numPr>
          <w:ilvl w:val="0"/>
          <w:numId w:val="1"/>
        </w:numPr>
        <w:spacing w:line="480" w:lineRule="auto"/>
        <w:rPr>
          <w:bCs/>
        </w:rPr>
      </w:pPr>
      <w:r w:rsidRPr="001A76D7">
        <w:rPr>
          <w:bCs/>
        </w:rPr>
        <w:t>International Financial Management (IFM) theorie</w:t>
      </w:r>
      <w:r>
        <w:rPr>
          <w:bCs/>
        </w:rPr>
        <w:t>s</w:t>
      </w:r>
    </w:p>
    <w:p w14:paraId="71F8BCEF" w14:textId="16728008" w:rsidR="001A76D7" w:rsidRDefault="001A76D7" w:rsidP="001A76D7">
      <w:pPr>
        <w:pStyle w:val="NoSpacing"/>
        <w:numPr>
          <w:ilvl w:val="0"/>
          <w:numId w:val="1"/>
        </w:numPr>
        <w:spacing w:line="480" w:lineRule="auto"/>
        <w:rPr>
          <w:bCs/>
        </w:rPr>
      </w:pPr>
      <w:r w:rsidRPr="001A76D7">
        <w:rPr>
          <w:bCs/>
        </w:rPr>
        <w:t xml:space="preserve">Strategies for Managing Foreign Exchange </w:t>
      </w:r>
    </w:p>
    <w:p w14:paraId="2BD66E84" w14:textId="17E9FB60" w:rsidR="001653FA" w:rsidRPr="001653FA" w:rsidRDefault="001653FA" w:rsidP="001653FA">
      <w:pPr>
        <w:pStyle w:val="NoSpacing"/>
        <w:spacing w:line="480" w:lineRule="auto"/>
        <w:rPr>
          <w:bCs/>
        </w:rPr>
      </w:pPr>
      <w:r>
        <w:rPr>
          <w:bCs/>
        </w:rPr>
        <w:t xml:space="preserve">3. </w:t>
      </w:r>
      <w:r w:rsidRPr="001653FA">
        <w:rPr>
          <w:bCs/>
        </w:rPr>
        <w:t>Conclusion</w:t>
      </w:r>
      <w:r>
        <w:rPr>
          <w:bCs/>
        </w:rPr>
        <w:t>……………………………………………………………………………..4</w:t>
      </w:r>
    </w:p>
    <w:p w14:paraId="335D2367" w14:textId="5C5A84FC" w:rsidR="001A76D7" w:rsidRPr="001A76D7" w:rsidRDefault="001A76D7" w:rsidP="001A76D7">
      <w:pPr>
        <w:pStyle w:val="NoSpacing"/>
        <w:spacing w:line="480" w:lineRule="auto"/>
        <w:rPr>
          <w:bCs/>
        </w:rPr>
      </w:pPr>
    </w:p>
    <w:p w14:paraId="359AC86B" w14:textId="77777777" w:rsidR="001A76D7" w:rsidRPr="001A76D7" w:rsidRDefault="001A76D7" w:rsidP="001A76D7">
      <w:pPr>
        <w:pStyle w:val="NoSpacing"/>
        <w:spacing w:line="480" w:lineRule="auto"/>
        <w:ind w:left="720"/>
        <w:rPr>
          <w:bCs/>
        </w:rPr>
      </w:pPr>
    </w:p>
    <w:p w14:paraId="5DD96F00" w14:textId="77777777" w:rsidR="001A76D7" w:rsidRDefault="001A76D7" w:rsidP="001A76D7">
      <w:pPr>
        <w:pStyle w:val="NoSpacing"/>
        <w:spacing w:line="480" w:lineRule="auto"/>
        <w:ind w:left="720"/>
        <w:rPr>
          <w:rFonts w:ascii="Arial" w:hAnsi="Arial" w:cs="Arial"/>
          <w:sz w:val="36"/>
          <w:szCs w:val="36"/>
        </w:rPr>
      </w:pPr>
    </w:p>
    <w:p w14:paraId="0BB13930" w14:textId="77777777" w:rsidR="00AE1D8F" w:rsidRDefault="00AE1D8F" w:rsidP="001B3AD8">
      <w:pPr>
        <w:pStyle w:val="NoSpacing"/>
        <w:rPr>
          <w:rFonts w:ascii="Arial" w:hAnsi="Arial" w:cs="Arial"/>
          <w:sz w:val="36"/>
          <w:szCs w:val="36"/>
        </w:rPr>
      </w:pPr>
    </w:p>
    <w:p w14:paraId="729BEABF" w14:textId="77777777" w:rsidR="00AE1D8F" w:rsidRDefault="00AE1D8F" w:rsidP="001B3AD8">
      <w:pPr>
        <w:pStyle w:val="NoSpacing"/>
        <w:rPr>
          <w:rFonts w:ascii="Arial" w:hAnsi="Arial" w:cs="Arial"/>
          <w:sz w:val="36"/>
          <w:szCs w:val="36"/>
        </w:rPr>
      </w:pPr>
    </w:p>
    <w:p w14:paraId="31836749" w14:textId="77777777" w:rsidR="00AE1D8F" w:rsidRDefault="00AE1D8F" w:rsidP="001B3AD8">
      <w:pPr>
        <w:pStyle w:val="NoSpacing"/>
        <w:rPr>
          <w:rFonts w:ascii="Arial" w:hAnsi="Arial" w:cs="Arial"/>
          <w:sz w:val="36"/>
          <w:szCs w:val="36"/>
        </w:rPr>
      </w:pPr>
    </w:p>
    <w:p w14:paraId="47917CCA" w14:textId="77777777" w:rsidR="00454D9E" w:rsidRPr="008C1BA0" w:rsidRDefault="00454D9E" w:rsidP="00454D9E">
      <w:pPr>
        <w:pStyle w:val="Heading1"/>
        <w:rPr>
          <w:rFonts w:cs="Times New Roman"/>
          <w:iCs/>
          <w:lang w:val="en-IN"/>
        </w:rPr>
      </w:pPr>
      <w:bookmarkStart w:id="0" w:name="_Toc165737657"/>
      <w:bookmarkStart w:id="1" w:name="_Toc171457197"/>
      <w:r>
        <w:rPr>
          <w:lang w:val="en-IN"/>
        </w:rPr>
        <w:lastRenderedPageBreak/>
        <w:t>Introduction</w:t>
      </w:r>
      <w:bookmarkEnd w:id="0"/>
      <w:bookmarkEnd w:id="1"/>
    </w:p>
    <w:p w14:paraId="336D3A49" w14:textId="77777777" w:rsidR="00454D9E" w:rsidRDefault="00454D9E" w:rsidP="00454D9E">
      <w:r>
        <w:t>In this modern business era, there are various challenges that a multinational company faces while operating business. Among all such challenges, risk generated from the foreign exchange has become quite significant for the companies. To perform successful business in the global economy, it is quite important for the multinational companies to assess all the available exchange rates and understand the impacts of such rate on the strategic decision-making process of such companies. However, any fluctuation or volatility in the exchange rate could affect the overall financial performance of a company and hence, mitigating such risk is of utter importance for the multinational organisations. There are certain International Financial Management (IFM) theories that help the companies getting a proper framework and manage or mitigate the risks properly. In this report, a brief evaluation will be made of how such theories help a company to manage their exposure to foreign exchange risks.</w:t>
      </w:r>
    </w:p>
    <w:p w14:paraId="0061C163" w14:textId="77777777" w:rsidR="00454D9E" w:rsidRDefault="00454D9E" w:rsidP="00454D9E">
      <w:pPr>
        <w:pStyle w:val="Heading1"/>
      </w:pPr>
      <w:bookmarkStart w:id="2" w:name="_Toc171457198"/>
      <w:bookmarkStart w:id="3" w:name="_Hlk171883835"/>
      <w:r>
        <w:t>Discussion</w:t>
      </w:r>
      <w:bookmarkEnd w:id="2"/>
    </w:p>
    <w:p w14:paraId="4144B5A7" w14:textId="77777777" w:rsidR="00454D9E" w:rsidRDefault="00454D9E" w:rsidP="00454D9E">
      <w:pPr>
        <w:pStyle w:val="Heading2"/>
      </w:pPr>
      <w:bookmarkStart w:id="4" w:name="_Toc171457199"/>
      <w:bookmarkStart w:id="5" w:name="_Hlk171883868"/>
      <w:bookmarkEnd w:id="3"/>
      <w:r>
        <w:t>Understanding Foreign Exchange Risks</w:t>
      </w:r>
      <w:bookmarkEnd w:id="4"/>
    </w:p>
    <w:bookmarkEnd w:id="5"/>
    <w:p w14:paraId="03F9947A" w14:textId="77777777" w:rsidR="00454D9E" w:rsidRDefault="00454D9E" w:rsidP="00454D9E">
      <w:r>
        <w:t>The term foreign exchange risk is widely known as the currency risk and every multinational companies should understand such rate properly and identify all the potential risks associated with it (Ding, Huang and Chen, 2021). When the price of the currency is changing from one country to another, risks are cropped up and a multinational company has to face such risks through following processes:</w:t>
      </w:r>
    </w:p>
    <w:p w14:paraId="18C1AECA" w14:textId="77777777" w:rsidR="00454D9E" w:rsidRDefault="00454D9E" w:rsidP="00454D9E">
      <w:r>
        <w:t xml:space="preserve">A multinational company can face foreign exchange risks through </w:t>
      </w:r>
      <w:r w:rsidRPr="00AA7B35">
        <w:rPr>
          <w:i/>
        </w:rPr>
        <w:t>transaction exposure</w:t>
      </w:r>
      <w:r>
        <w:t xml:space="preserve">. During the export or import process, companies are required to secure future cash flows from an individual and even each transaction could commence exchange rate movement due to this (McDowell, 2021). </w:t>
      </w:r>
      <w:r w:rsidRPr="00AA7B35">
        <w:t>A multinational company can face foreign exchange risks through</w:t>
      </w:r>
      <w:r>
        <w:t xml:space="preserve"> </w:t>
      </w:r>
      <w:r w:rsidRPr="00AA7B35">
        <w:rPr>
          <w:i/>
        </w:rPr>
        <w:t>translation exposure</w:t>
      </w:r>
      <w:r>
        <w:t xml:space="preserve">, where the fluctuated rate of exchange can be reported on the financial statement of a company. </w:t>
      </w:r>
      <w:r w:rsidRPr="00AA7B35">
        <w:t>A multinational company can face foreign exchange risks through</w:t>
      </w:r>
      <w:r>
        <w:t xml:space="preserve"> </w:t>
      </w:r>
      <w:r w:rsidRPr="00AA7B35">
        <w:rPr>
          <w:i/>
        </w:rPr>
        <w:t>economic exposure</w:t>
      </w:r>
      <w:r>
        <w:t xml:space="preserve">, where the exchange rate fluctuation affect the market value and cash flow of a company.  </w:t>
      </w:r>
    </w:p>
    <w:p w14:paraId="595B4423" w14:textId="77777777" w:rsidR="00454D9E" w:rsidRDefault="00454D9E" w:rsidP="00454D9E">
      <w:pPr>
        <w:pStyle w:val="Heading2"/>
      </w:pPr>
      <w:bookmarkStart w:id="6" w:name="_Toc171457200"/>
      <w:bookmarkStart w:id="7" w:name="_Hlk171883879"/>
      <w:r w:rsidRPr="00AA7B35">
        <w:t>International Financial Management (IFM) theories</w:t>
      </w:r>
      <w:bookmarkEnd w:id="6"/>
    </w:p>
    <w:bookmarkEnd w:id="7"/>
    <w:p w14:paraId="1D51DADE" w14:textId="77777777" w:rsidR="00454D9E" w:rsidRDefault="00454D9E" w:rsidP="00454D9E">
      <w:r>
        <w:t>There are various international financial management theories that help the companies understand exchange rate movement and below, a brief analysis has been made of this:</w:t>
      </w:r>
    </w:p>
    <w:p w14:paraId="68463C8E" w14:textId="77777777" w:rsidR="00454D9E" w:rsidRDefault="00454D9E" w:rsidP="00454D9E">
      <w:r>
        <w:t xml:space="preserve">One of the first theories is </w:t>
      </w:r>
      <w:r w:rsidRPr="00315930">
        <w:rPr>
          <w:i/>
        </w:rPr>
        <w:t>Purchasing Power Parity</w:t>
      </w:r>
      <w:r>
        <w:t xml:space="preserve">. According to this theory, exchange rate helps to connect the purchasing power of different currencies and under this theory, it has been mentioned that the depreciation chance of currencies with higher inflation rate is broader than the currencies with lower inflation rate (Rabe, and Waddle, </w:t>
      </w:r>
      <w:r>
        <w:lastRenderedPageBreak/>
        <w:t xml:space="preserve">2020). Another theory of IFM is </w:t>
      </w:r>
      <w:r w:rsidRPr="00315930">
        <w:rPr>
          <w:i/>
        </w:rPr>
        <w:t>Interest rate parity</w:t>
      </w:r>
      <w:r>
        <w:t xml:space="preserve">, where it has been stated that if the rate of interest of two or more country’s currency rate is different, the exchange rate of such country’s currency rate will be changed accordingly. Another important theory in this case is </w:t>
      </w:r>
      <w:r w:rsidRPr="00812686">
        <w:rPr>
          <w:i/>
        </w:rPr>
        <w:t>International Fisher Effect</w:t>
      </w:r>
      <w:r>
        <w:t>, where it has been suggested that the h</w:t>
      </w:r>
      <w:r w:rsidRPr="00315930">
        <w:t>igher nominal interest rates will cause currencies to lose value since they represent anticipated inflation.</w:t>
      </w:r>
      <w:r>
        <w:t xml:space="preserve"> The last theory is </w:t>
      </w:r>
      <w:r w:rsidRPr="00812686">
        <w:rPr>
          <w:i/>
        </w:rPr>
        <w:t>Balance of Payment</w:t>
      </w:r>
      <w:r>
        <w:t xml:space="preserve"> and under this theory, it has been stated that the exchange rates of currencies are mainly depended on the supply and demand for such currencies and it has been influenced by the capital account balance of a country (Amador et al., 2020). </w:t>
      </w:r>
    </w:p>
    <w:p w14:paraId="698DFF7B" w14:textId="77777777" w:rsidR="00454D9E" w:rsidRDefault="00454D9E" w:rsidP="00454D9E">
      <w:pPr>
        <w:pStyle w:val="Heading2"/>
      </w:pPr>
      <w:bookmarkStart w:id="8" w:name="_Toc171457201"/>
      <w:r>
        <w:t>Strategies for Managing Foreign Exchange Risk</w:t>
      </w:r>
      <w:bookmarkEnd w:id="8"/>
    </w:p>
    <w:p w14:paraId="078F011B" w14:textId="77777777" w:rsidR="00454D9E" w:rsidRDefault="00454D9E" w:rsidP="00454D9E">
      <w:r>
        <w:t xml:space="preserve">There are various strategies that a multinational company may follow to curb or mitigate adverse currency movements. One of the first strategies is hedging. </w:t>
      </w:r>
      <w:r w:rsidRPr="00C35D86">
        <w:rPr>
          <w:i/>
        </w:rPr>
        <w:t>Hedging</w:t>
      </w:r>
      <w:r>
        <w:t xml:space="preserve"> is a financial instrument where four elements are there such as forward contract, future contract, option contract and swaps (</w:t>
      </w:r>
      <w:r w:rsidRPr="00B6252A">
        <w:t>Arenas-Falótico, and Scudiero</w:t>
      </w:r>
      <w:r>
        <w:t xml:space="preserve">, 2023). Forward contract is a piece of agreement enters between two or more parties, where they are coming to a conclusion that, whatever the rate of currency will become in any future date, their transaction will be done with a predetermined rate. For example, A and B has entered into an agreement that they will exchange USD dollar at the price of 75 Indian Rupees. Now, if the rate of Dollar can extend such price, the parties (A and B) have to exchange USD Dollar at the predetermined rate i.e. </w:t>
      </w:r>
      <w:r w:rsidRPr="00C35D86">
        <w:t>75 Indian Rupees</w:t>
      </w:r>
      <w:r>
        <w:t xml:space="preserve">. One of the main benefits of this strategy is that it helps to lock the price of the exchange rate and it gives certainties to the future cash flow. Future contract is also similar to the forward contract and it is applied on the trade exchange. One of the main advantages of this process is that it offers less counterparty risks and great form of liquidity. Options contract is a process where the parties are getting different options while transacting something and they are at ease to choose the most suitable option for exchange currency. Under this contract, parties are getting an option to exchange the currency at a predetermined price before certain date and it helps to make the exchange transaction more flexible. Swaps is an agreement where parties are allowed to swap cash flows till a predetermined time in several currencies. It is quite beneficial in long-term exposure. </w:t>
      </w:r>
    </w:p>
    <w:p w14:paraId="142A201C" w14:textId="77777777" w:rsidR="00454D9E" w:rsidRDefault="00454D9E" w:rsidP="00454D9E">
      <w:r>
        <w:t xml:space="preserve">Apart from hedging, there is another strategy that companies can follow and that is natural hedging. It helps to offset the currency risks naturally. This strategy has three stages. Diversification of operation is the first stage, where supply chain management and sales operations of different countries are assessed to maintain balance between currency exposures (Alfaro, Calani, and Varela, 2021). Invoicing in home currency is a process where the companies are requested the foreign customers pay money at the rate of home currency of the company and this helps to avoid transaction exposure. Matching revenues and costs is a procedure where revenue and cost of a currency is getting aligned for preventing potential losses. </w:t>
      </w:r>
    </w:p>
    <w:p w14:paraId="2F1E8799" w14:textId="77777777" w:rsidR="00454D9E" w:rsidRDefault="00454D9E" w:rsidP="00454D9E">
      <w:r>
        <w:lastRenderedPageBreak/>
        <w:t xml:space="preserve">Another important strategy to </w:t>
      </w:r>
      <w:r w:rsidRPr="00D61180">
        <w:t>mitigate adverse currency movements</w:t>
      </w:r>
      <w:r>
        <w:t xml:space="preserve"> is leading and lagging. In this process, time is specified for settlement of transaction and favourable currency movements are recorded through this. Leading helps to accelerate the payment process to deal with adverse currency movement and lagging helps to delays the transaction process (Gupta and Chatterjee, 2020). For managing the transaction exposure in the short-term process, leading and lagging is an effective method. However, to obtain great benefit from this process, the companies need to assess and forecast the rate of exchange movement correctly and lagging could weaken the relationship between the companies and their stakeholders to certain extent. </w:t>
      </w:r>
    </w:p>
    <w:p w14:paraId="4144BF9D" w14:textId="77777777" w:rsidR="00454D9E" w:rsidRDefault="00454D9E" w:rsidP="00454D9E">
      <w:r>
        <w:t xml:space="preserve">Currency diversification is one of the main strategies that the multinational companies are followed to deal with adverse currency movement. According to this strategy, a multinational corporation should maintain a diverse currency portfolio and it will help them to avoid any risks if they follow a single currency portfolio (Qarni and Gulzar, 2021). This strategy suggests that a multinational corporation should spread or widen its investment segments and should hold the cash in multiple currencies. If evaluated properly, it is to be stated that currency diversification helps to reduce overall risk relating to any currency transaction and it further helps to secure the cash flow of the companies. However, to get maximum benefit of this strategy, companies should maintain an active management process and execution of planning is quite important in this case. </w:t>
      </w:r>
    </w:p>
    <w:p w14:paraId="0577CB5F" w14:textId="77777777" w:rsidR="00454D9E" w:rsidRDefault="00454D9E" w:rsidP="00454D9E">
      <w:r>
        <w:t xml:space="preserve">The last strategy in this case is operational strategies. To manage foreign exchange risks, this strategy is quite effective. This strategy suggests that an international company should relocate its business operations in a country from where it can obtain favourable currency environment. Further, this strategy suggests that a multinational corporation can follow an appropriate pricing strategy to protect its margin and this will help the companies to maintain a proper currency movement. Further, it has also been suggested that multinational corporations should develop and maintain a proper supply chain management so that it can replace the distribution sources properly after assessing the currency conditions. One of the main benefits of this strategy is that it helps the companies to adopt a holistic approach for manging economic exposure. It does not want the companies to follow rigid or complicated processes. Rather, it helps the companies to make certain effective changes to the operational processes of a company. However, effectiveness of this strategy is depending on the long-term planning process of the companies and the company management should invest much resources to make this strategy successful.  </w:t>
      </w:r>
    </w:p>
    <w:p w14:paraId="5FC1AD1D" w14:textId="77777777" w:rsidR="00454D9E" w:rsidRDefault="00454D9E" w:rsidP="00454D9E">
      <w:pPr>
        <w:pStyle w:val="Heading1"/>
      </w:pPr>
      <w:bookmarkStart w:id="9" w:name="_Toc171457202"/>
      <w:r>
        <w:t>Conclusion</w:t>
      </w:r>
      <w:bookmarkEnd w:id="9"/>
    </w:p>
    <w:p w14:paraId="3DFA6341" w14:textId="034779B6" w:rsidR="00454D9E" w:rsidRDefault="00454D9E" w:rsidP="001A76D7">
      <w:r>
        <w:t xml:space="preserve">From this analysis, it has been observed that managing foreign exchange risk is quite important for the multinational companies and it is an important element of the </w:t>
      </w:r>
      <w:r>
        <w:lastRenderedPageBreak/>
        <w:t xml:space="preserve">financial strategy of a company. In this report, it has been shown that by following strategies like hedging, natural hedging, operational strategies and currency diversification, a company can avoid or mitigate the currency movement risks and in this report, a brief analysis has been made of how such strategies are helping the companies to secure its future cash flows properly. The evaluation part of this report has assessed the merits and demerits of each strategy and suggests that what techniques can be followed by the companies to obtain maximum effectiveness of such strategies. This report will help to understand foreign exchange risks and different </w:t>
      </w:r>
      <w:r w:rsidRPr="008E3CF9">
        <w:t>various international financial management theories that help the companies understand exchange rate movement</w:t>
      </w:r>
      <w:r>
        <w:t>.</w:t>
      </w:r>
    </w:p>
    <w:p w14:paraId="0745A10F" w14:textId="77777777" w:rsidR="001A76D7" w:rsidRDefault="001A76D7" w:rsidP="001A76D7"/>
    <w:p w14:paraId="51406BE6" w14:textId="77777777" w:rsidR="001A76D7" w:rsidRDefault="001A76D7" w:rsidP="001A76D7"/>
    <w:p w14:paraId="102F0A4C" w14:textId="77777777" w:rsidR="001A76D7" w:rsidRDefault="001A76D7" w:rsidP="001A76D7"/>
    <w:p w14:paraId="12A32BF5" w14:textId="77777777" w:rsidR="001A76D7" w:rsidRDefault="001A76D7" w:rsidP="001A76D7"/>
    <w:p w14:paraId="04D743A2" w14:textId="77777777" w:rsidR="001A76D7" w:rsidRDefault="001A76D7" w:rsidP="001A76D7"/>
    <w:p w14:paraId="43890942" w14:textId="77777777" w:rsidR="001653FA" w:rsidRDefault="001653FA" w:rsidP="001A76D7"/>
    <w:p w14:paraId="3E044337" w14:textId="77777777" w:rsidR="001653FA" w:rsidRDefault="001653FA" w:rsidP="001A76D7"/>
    <w:p w14:paraId="67823AC9" w14:textId="77777777" w:rsidR="001653FA" w:rsidRDefault="001653FA" w:rsidP="001A76D7"/>
    <w:p w14:paraId="0EA4FDD1" w14:textId="77777777" w:rsidR="001653FA" w:rsidRDefault="001653FA" w:rsidP="001A76D7"/>
    <w:p w14:paraId="13F239AE" w14:textId="77777777" w:rsidR="001653FA" w:rsidRDefault="001653FA" w:rsidP="001A76D7"/>
    <w:p w14:paraId="3EAE178F" w14:textId="77777777" w:rsidR="001653FA" w:rsidRDefault="001653FA" w:rsidP="001A76D7"/>
    <w:p w14:paraId="4A90FEA7" w14:textId="77777777" w:rsidR="001A76D7" w:rsidRDefault="001A76D7" w:rsidP="001A76D7"/>
    <w:p w14:paraId="49BE7979" w14:textId="77777777" w:rsidR="00454D9E" w:rsidRDefault="00454D9E" w:rsidP="00454D9E">
      <w:pPr>
        <w:pStyle w:val="Heading1"/>
      </w:pPr>
      <w:bookmarkStart w:id="10" w:name="_Toc171457203"/>
      <w:r>
        <w:t>Reference</w:t>
      </w:r>
      <w:bookmarkEnd w:id="10"/>
    </w:p>
    <w:p w14:paraId="2B46EE06" w14:textId="77777777" w:rsidR="00454D9E" w:rsidRPr="008E3CF9" w:rsidRDefault="00454D9E" w:rsidP="00454D9E">
      <w:r w:rsidRPr="008E3CF9">
        <w:t>Alfaro, L., Calani, M. and Varela, L., (2021). Currency hedging: Managing cash flow exposure.</w:t>
      </w:r>
    </w:p>
    <w:p w14:paraId="5B263891" w14:textId="77777777" w:rsidR="00454D9E" w:rsidRPr="008E3CF9" w:rsidRDefault="00454D9E" w:rsidP="00454D9E">
      <w:r w:rsidRPr="008E3CF9">
        <w:t>Amador, M., Bianchi, J., Bocola, L. and Perri, F., (2020). Exchange rate policies at the zero lower bound. The Review of Economic Studies, 87(4), pp.1605-1645.</w:t>
      </w:r>
    </w:p>
    <w:p w14:paraId="6454EB17" w14:textId="77777777" w:rsidR="00454D9E" w:rsidRPr="008E3CF9" w:rsidRDefault="00454D9E" w:rsidP="00454D9E">
      <w:r w:rsidRPr="008E3CF9">
        <w:t>Arenas-Falótico, A.J. and Scudiero, E., (2023). Futures contracts as a means of hedging market risks. AiBi Revista de Investigación, Administración e Ingeniería, 11(3), pp.42-51.</w:t>
      </w:r>
    </w:p>
    <w:p w14:paraId="28CBB815" w14:textId="77777777" w:rsidR="00454D9E" w:rsidRPr="008E3CF9" w:rsidRDefault="00454D9E" w:rsidP="00454D9E">
      <w:r w:rsidRPr="008E3CF9">
        <w:t>Ding, Q., Huang, J. and Chen, J., (2021). Dynamic and frequency-domain risk spillovers among oil, gold, and foreign exchange markets: Evidence from implied volatility. Energy Economics, 102, p.105514.</w:t>
      </w:r>
    </w:p>
    <w:p w14:paraId="2A61D898" w14:textId="77777777" w:rsidR="00454D9E" w:rsidRPr="008E3CF9" w:rsidRDefault="00454D9E" w:rsidP="00454D9E">
      <w:r w:rsidRPr="008E3CF9">
        <w:lastRenderedPageBreak/>
        <w:t>Gupta, K. and Chatterjee, N., (2020). Selecting stock pairs for pairs trading while incorporating lead–lag relationship. Physica A: Statistical Mechanics and its Applications, 551, p.124103.</w:t>
      </w:r>
    </w:p>
    <w:p w14:paraId="06BF0654" w14:textId="77777777" w:rsidR="00454D9E" w:rsidRPr="008E3CF9" w:rsidRDefault="00454D9E" w:rsidP="00454D9E">
      <w:r w:rsidRPr="008E3CF9">
        <w:t>McDowell, D., (2021). Financial sanctions and political risk in the international currency system. Review of International Political Economy, 28(3), pp.635-661.</w:t>
      </w:r>
    </w:p>
    <w:p w14:paraId="69628673" w14:textId="77777777" w:rsidR="00454D9E" w:rsidRPr="008E3CF9" w:rsidRDefault="00454D9E" w:rsidP="00454D9E">
      <w:r w:rsidRPr="008E3CF9">
        <w:t>Qarni, M.O. and Gulzar, S., (2021). Portfolio diversification benefits of alternative currency investment in Bitcoin and foreign exchange markets. Financial Innovation, 7, pp.1-37.</w:t>
      </w:r>
    </w:p>
    <w:p w14:paraId="03CCE3FD" w14:textId="77777777" w:rsidR="00454D9E" w:rsidRDefault="00454D9E" w:rsidP="00454D9E">
      <w:r w:rsidRPr="008E3CF9">
        <w:t>Rabe, C. and Waddle, A., (2020). The evolution of purchasing power parity. Journal of International Money and Finance, 109, p.102237.</w:t>
      </w:r>
    </w:p>
    <w:p w14:paraId="66531E33" w14:textId="77777777" w:rsidR="00454D9E" w:rsidRDefault="00454D9E" w:rsidP="00454D9E">
      <w:r>
        <w:t xml:space="preserve"> </w:t>
      </w:r>
    </w:p>
    <w:p w14:paraId="1DBA7AB3" w14:textId="77777777" w:rsidR="00454D9E" w:rsidRDefault="00454D9E" w:rsidP="00454D9E"/>
    <w:p w14:paraId="1601D549" w14:textId="77777777" w:rsidR="00454D9E" w:rsidRDefault="00454D9E" w:rsidP="00454D9E"/>
    <w:p w14:paraId="5F600418" w14:textId="77777777" w:rsidR="00454D9E" w:rsidRPr="00550FC9" w:rsidRDefault="00454D9E" w:rsidP="00454D9E"/>
    <w:p w14:paraId="3073CA58" w14:textId="77777777" w:rsidR="00AE1D8F" w:rsidRDefault="00AE1D8F" w:rsidP="001B3AD8">
      <w:pPr>
        <w:pStyle w:val="NoSpacing"/>
        <w:rPr>
          <w:rFonts w:ascii="Arial" w:hAnsi="Arial" w:cs="Arial"/>
          <w:sz w:val="36"/>
          <w:szCs w:val="36"/>
        </w:rPr>
      </w:pPr>
    </w:p>
    <w:p w14:paraId="09A7680E" w14:textId="77777777" w:rsidR="00AE1D8F" w:rsidRDefault="00AE1D8F" w:rsidP="001B3AD8">
      <w:pPr>
        <w:pStyle w:val="NoSpacing"/>
        <w:rPr>
          <w:rFonts w:ascii="Arial" w:hAnsi="Arial" w:cs="Arial"/>
          <w:sz w:val="36"/>
          <w:szCs w:val="36"/>
        </w:rPr>
      </w:pPr>
    </w:p>
    <w:p w14:paraId="38A7F6AD" w14:textId="77777777" w:rsidR="003701F8" w:rsidRDefault="003701F8"/>
    <w:sectPr w:rsidR="003701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5F7440"/>
    <w:multiLevelType w:val="hybridMultilevel"/>
    <w:tmpl w:val="3D74D8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455040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5C53"/>
    <w:rsid w:val="000D5252"/>
    <w:rsid w:val="001653FA"/>
    <w:rsid w:val="001A76D7"/>
    <w:rsid w:val="001B3AD8"/>
    <w:rsid w:val="002D08E2"/>
    <w:rsid w:val="003701F8"/>
    <w:rsid w:val="00454D9E"/>
    <w:rsid w:val="00622AAC"/>
    <w:rsid w:val="00743420"/>
    <w:rsid w:val="00906E2B"/>
    <w:rsid w:val="00AE1D8F"/>
    <w:rsid w:val="00C13A8F"/>
    <w:rsid w:val="00F35C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9B65D"/>
  <w15:chartTrackingRefBased/>
  <w15:docId w15:val="{B49C5AB8-A046-4354-A966-6FB2DB1798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5C5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35C5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35C5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5C5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35C5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35C5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5C5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5C5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5C5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5C5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35C5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35C5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5C5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35C5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35C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5C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5C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5C53"/>
    <w:rPr>
      <w:rFonts w:eastAsiaTheme="majorEastAsia" w:cstheme="majorBidi"/>
      <w:color w:val="272727" w:themeColor="text1" w:themeTint="D8"/>
    </w:rPr>
  </w:style>
  <w:style w:type="paragraph" w:styleId="Title">
    <w:name w:val="Title"/>
    <w:basedOn w:val="Normal"/>
    <w:next w:val="Normal"/>
    <w:link w:val="TitleChar"/>
    <w:uiPriority w:val="10"/>
    <w:qFormat/>
    <w:rsid w:val="00F35C5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5C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5C5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5C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5C53"/>
    <w:pPr>
      <w:spacing w:before="160"/>
      <w:jc w:val="center"/>
    </w:pPr>
    <w:rPr>
      <w:i/>
      <w:iCs/>
      <w:color w:val="404040" w:themeColor="text1" w:themeTint="BF"/>
    </w:rPr>
  </w:style>
  <w:style w:type="character" w:customStyle="1" w:styleId="QuoteChar">
    <w:name w:val="Quote Char"/>
    <w:basedOn w:val="DefaultParagraphFont"/>
    <w:link w:val="Quote"/>
    <w:uiPriority w:val="29"/>
    <w:rsid w:val="00F35C53"/>
    <w:rPr>
      <w:i/>
      <w:iCs/>
      <w:color w:val="404040" w:themeColor="text1" w:themeTint="BF"/>
    </w:rPr>
  </w:style>
  <w:style w:type="paragraph" w:styleId="ListParagraph">
    <w:name w:val="List Paragraph"/>
    <w:basedOn w:val="Normal"/>
    <w:uiPriority w:val="34"/>
    <w:qFormat/>
    <w:rsid w:val="00F35C53"/>
    <w:pPr>
      <w:ind w:left="720"/>
      <w:contextualSpacing/>
    </w:pPr>
  </w:style>
  <w:style w:type="character" w:styleId="IntenseEmphasis">
    <w:name w:val="Intense Emphasis"/>
    <w:basedOn w:val="DefaultParagraphFont"/>
    <w:uiPriority w:val="21"/>
    <w:qFormat/>
    <w:rsid w:val="00F35C53"/>
    <w:rPr>
      <w:i/>
      <w:iCs/>
      <w:color w:val="0F4761" w:themeColor="accent1" w:themeShade="BF"/>
    </w:rPr>
  </w:style>
  <w:style w:type="paragraph" w:styleId="IntenseQuote">
    <w:name w:val="Intense Quote"/>
    <w:basedOn w:val="Normal"/>
    <w:next w:val="Normal"/>
    <w:link w:val="IntenseQuoteChar"/>
    <w:uiPriority w:val="30"/>
    <w:qFormat/>
    <w:rsid w:val="00F35C5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5C53"/>
    <w:rPr>
      <w:i/>
      <w:iCs/>
      <w:color w:val="0F4761" w:themeColor="accent1" w:themeShade="BF"/>
    </w:rPr>
  </w:style>
  <w:style w:type="character" w:styleId="IntenseReference">
    <w:name w:val="Intense Reference"/>
    <w:basedOn w:val="DefaultParagraphFont"/>
    <w:uiPriority w:val="32"/>
    <w:qFormat/>
    <w:rsid w:val="00F35C53"/>
    <w:rPr>
      <w:b/>
      <w:bCs/>
      <w:smallCaps/>
      <w:color w:val="0F4761" w:themeColor="accent1" w:themeShade="BF"/>
      <w:spacing w:val="5"/>
    </w:rPr>
  </w:style>
  <w:style w:type="character" w:customStyle="1" w:styleId="NoSpacingChar">
    <w:name w:val="No Spacing Char"/>
    <w:basedOn w:val="DefaultParagraphFont"/>
    <w:link w:val="NoSpacing"/>
    <w:uiPriority w:val="1"/>
    <w:locked/>
    <w:rsid w:val="001B3AD8"/>
    <w:rPr>
      <w:rFonts w:ascii="Times New Roman" w:eastAsiaTheme="minorEastAsia" w:hAnsi="Times New Roman" w:cs="Times New Roman"/>
      <w:lang w:eastAsia="ja-JP"/>
    </w:rPr>
  </w:style>
  <w:style w:type="paragraph" w:styleId="NoSpacing">
    <w:name w:val="No Spacing"/>
    <w:link w:val="NoSpacingChar"/>
    <w:uiPriority w:val="1"/>
    <w:qFormat/>
    <w:rsid w:val="001B3AD8"/>
    <w:pPr>
      <w:spacing w:after="0" w:line="240" w:lineRule="auto"/>
    </w:pPr>
    <w:rPr>
      <w:rFonts w:ascii="Times New Roman" w:eastAsiaTheme="minorEastAsia" w:hAnsi="Times New Roman" w:cs="Times New Roman"/>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16299F-908A-4ACB-BA79-6AB79AB3EF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6</Pages>
  <Words>1704</Words>
  <Characters>9714</Characters>
  <Application>Microsoft Office Word</Application>
  <DocSecurity>0</DocSecurity>
  <Lines>80</Lines>
  <Paragraphs>22</Paragraphs>
  <ScaleCrop>false</ScaleCrop>
  <Company/>
  <LinksUpToDate>false</LinksUpToDate>
  <CharactersWithSpaces>11396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Nikol Stoyanova</dc:creator>
  <cp:keywords/>
  <dc:description/>
  <cp:lastModifiedBy>Nikol Stoyanova</cp:lastModifiedBy>
  <cp:revision>12</cp:revision>
  <dcterms:created xsi:type="dcterms:W3CDTF">2024-07-14T19:58:00Z</dcterms:created>
  <dcterms:modified xsi:type="dcterms:W3CDTF">2024-07-14T20:13:00Z</dcterms:modified>
</cp:coreProperties>
</file>