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0C0EA88" w14:paraId="2C078E63" wp14:textId="25F9A1D4">
      <w:pPr>
        <w:jc w:val="center"/>
        <w:rPr>
          <w:b w:val="1"/>
          <w:bCs w:val="1"/>
          <w:i w:val="1"/>
          <w:iCs w:val="1"/>
          <w:sz w:val="36"/>
          <w:szCs w:val="36"/>
        </w:rPr>
      </w:pPr>
      <w:bookmarkStart w:name="_GoBack" w:id="0"/>
      <w:bookmarkEnd w:id="0"/>
      <w:r w:rsidRPr="00C0EA88" w:rsidR="14F56FAD">
        <w:rPr>
          <w:b w:val="1"/>
          <w:bCs w:val="1"/>
          <w:i w:val="1"/>
          <w:iCs w:val="1"/>
          <w:sz w:val="36"/>
          <w:szCs w:val="36"/>
        </w:rPr>
        <w:t>Reform of Homicide</w:t>
      </w:r>
    </w:p>
    <w:p w:rsidR="7859D6D1" w:rsidP="00C0EA88" w:rsidRDefault="7859D6D1" w14:paraId="5E968F24" w14:textId="54AD9DC6">
      <w:pPr>
        <w:pStyle w:val="Normal"/>
        <w:jc w:val="left"/>
        <w:rPr>
          <w:b w:val="0"/>
          <w:bCs w:val="0"/>
          <w:i w:val="0"/>
          <w:iCs w:val="0"/>
          <w:sz w:val="24"/>
          <w:szCs w:val="24"/>
        </w:rPr>
      </w:pPr>
      <w:r w:rsidRPr="00C0EA88" w:rsidR="7859D6D1">
        <w:rPr>
          <w:b w:val="0"/>
          <w:bCs w:val="0"/>
          <w:i w:val="0"/>
          <w:iCs w:val="0"/>
          <w:sz w:val="24"/>
          <w:szCs w:val="24"/>
        </w:rPr>
        <w:t xml:space="preserve">The statement by the Law Commission of 2005 highlights the </w:t>
      </w:r>
      <w:r w:rsidRPr="00C0EA88" w:rsidR="7859D6D1">
        <w:rPr>
          <w:b w:val="0"/>
          <w:bCs w:val="0"/>
          <w:i w:val="0"/>
          <w:iCs w:val="0"/>
          <w:sz w:val="24"/>
          <w:szCs w:val="24"/>
        </w:rPr>
        <w:t>perception</w:t>
      </w:r>
      <w:r w:rsidRPr="00C0EA88" w:rsidR="7859D6D1">
        <w:rPr>
          <w:b w:val="0"/>
          <w:bCs w:val="0"/>
          <w:i w:val="0"/>
          <w:iCs w:val="0"/>
          <w:sz w:val="24"/>
          <w:szCs w:val="24"/>
        </w:rPr>
        <w:t xml:space="preserve"> that the law governing homicide in England and Wales is outdated and in need of reform</w:t>
      </w:r>
      <w:r w:rsidRPr="00C0EA88" w:rsidR="7859D6D1">
        <w:rPr>
          <w:b w:val="0"/>
          <w:bCs w:val="0"/>
          <w:i w:val="0"/>
          <w:iCs w:val="0"/>
          <w:sz w:val="24"/>
          <w:szCs w:val="24"/>
        </w:rPr>
        <w:t xml:space="preserve">.  </w:t>
      </w:r>
      <w:r w:rsidRPr="00C0EA88" w:rsidR="7859D6D1">
        <w:rPr>
          <w:b w:val="0"/>
          <w:bCs w:val="0"/>
          <w:i w:val="0"/>
          <w:iCs w:val="0"/>
          <w:sz w:val="24"/>
          <w:szCs w:val="24"/>
        </w:rPr>
        <w:t xml:space="preserve">Through a comprehensive analysis, it is argued that indeed, the law governing homicide in England and Wales requires substantial reform to address its inherent deficiencies.                                                                                                                                </w:t>
      </w:r>
      <w:r w:rsidRPr="00C0EA88" w:rsidR="7859D6D1">
        <w:rPr>
          <w:b w:val="0"/>
          <w:bCs w:val="0"/>
          <w:i w:val="0"/>
          <w:iCs w:val="0"/>
          <w:sz w:val="24"/>
          <w:szCs w:val="24"/>
        </w:rPr>
        <w:t xml:space="preserve">The assertion that some rules of homicide law have remained unchanged since the seventeenth </w:t>
      </w:r>
      <w:r w:rsidRPr="00C0EA88" w:rsidR="7859D6D1">
        <w:rPr>
          <w:b w:val="0"/>
          <w:bCs w:val="0"/>
          <w:i w:val="0"/>
          <w:iCs w:val="0"/>
          <w:sz w:val="24"/>
          <w:szCs w:val="24"/>
        </w:rPr>
        <w:t>century</w:t>
      </w:r>
      <w:r w:rsidRPr="00C0EA88" w:rsidR="3098259F">
        <w:rPr>
          <w:b w:val="0"/>
          <w:bCs w:val="0"/>
          <w:i w:val="0"/>
          <w:iCs w:val="0"/>
          <w:sz w:val="24"/>
          <w:szCs w:val="24"/>
        </w:rPr>
        <w:t xml:space="preserve"> </w:t>
      </w:r>
      <w:r w:rsidRPr="00C0EA88" w:rsidR="7859D6D1">
        <w:rPr>
          <w:b w:val="0"/>
          <w:bCs w:val="0"/>
          <w:i w:val="0"/>
          <w:iCs w:val="0"/>
          <w:sz w:val="24"/>
          <w:szCs w:val="24"/>
        </w:rPr>
        <w:t>h</w:t>
      </w:r>
      <w:r w:rsidRPr="00C0EA88" w:rsidR="7859D6D1">
        <w:rPr>
          <w:b w:val="0"/>
          <w:bCs w:val="0"/>
          <w:i w:val="0"/>
          <w:iCs w:val="0"/>
          <w:sz w:val="24"/>
          <w:szCs w:val="24"/>
        </w:rPr>
        <w:t xml:space="preserve">ighlights the stagnant nature of the legal framework. These archaic rules, such as the distinction between murder and manslaughter, </w:t>
      </w:r>
      <w:r w:rsidRPr="00C0EA88" w:rsidR="7859D6D1">
        <w:rPr>
          <w:b w:val="0"/>
          <w:bCs w:val="0"/>
          <w:i w:val="0"/>
          <w:iCs w:val="0"/>
          <w:sz w:val="24"/>
          <w:szCs w:val="24"/>
        </w:rPr>
        <w:t>fa</w:t>
      </w:r>
      <w:r w:rsidRPr="00C0EA88" w:rsidR="7859D6D1">
        <w:rPr>
          <w:b w:val="0"/>
          <w:bCs w:val="0"/>
          <w:i w:val="0"/>
          <w:iCs w:val="0"/>
          <w:sz w:val="24"/>
          <w:szCs w:val="24"/>
        </w:rPr>
        <w:t>il to</w:t>
      </w:r>
      <w:r w:rsidRPr="00C0EA88" w:rsidR="7859D6D1">
        <w:rPr>
          <w:b w:val="0"/>
          <w:bCs w:val="0"/>
          <w:i w:val="0"/>
          <w:iCs w:val="0"/>
          <w:sz w:val="24"/>
          <w:szCs w:val="24"/>
        </w:rPr>
        <w:t xml:space="preserve"> r</w:t>
      </w:r>
      <w:r w:rsidRPr="00C0EA88" w:rsidR="7859D6D1">
        <w:rPr>
          <w:b w:val="0"/>
          <w:bCs w:val="0"/>
          <w:i w:val="0"/>
          <w:iCs w:val="0"/>
          <w:sz w:val="24"/>
          <w:szCs w:val="24"/>
        </w:rPr>
        <w:t xml:space="preserve">eflect the complexity of modern societal contexts and often lead to inconsistencies in the application of justice. The lack of clarity and outdated definitions within the law </w:t>
      </w:r>
      <w:r w:rsidRPr="00C0EA88" w:rsidR="7859D6D1">
        <w:rPr>
          <w:b w:val="0"/>
          <w:bCs w:val="0"/>
          <w:i w:val="0"/>
          <w:iCs w:val="0"/>
          <w:sz w:val="24"/>
          <w:szCs w:val="24"/>
        </w:rPr>
        <w:t>ne</w:t>
      </w:r>
      <w:r w:rsidRPr="00C0EA88" w:rsidR="7859D6D1">
        <w:rPr>
          <w:b w:val="0"/>
          <w:bCs w:val="0"/>
          <w:i w:val="0"/>
          <w:iCs w:val="0"/>
          <w:sz w:val="24"/>
          <w:szCs w:val="24"/>
        </w:rPr>
        <w:t>cessitate</w:t>
      </w:r>
      <w:r w:rsidRPr="00C0EA88" w:rsidR="7859D6D1">
        <w:rPr>
          <w:b w:val="0"/>
          <w:bCs w:val="0"/>
          <w:i w:val="0"/>
          <w:iCs w:val="0"/>
          <w:sz w:val="24"/>
          <w:szCs w:val="24"/>
        </w:rPr>
        <w:t xml:space="preserve"> r</w:t>
      </w:r>
      <w:r w:rsidRPr="00C0EA88" w:rsidR="7859D6D1">
        <w:rPr>
          <w:b w:val="0"/>
          <w:bCs w:val="0"/>
          <w:i w:val="0"/>
          <w:iCs w:val="0"/>
          <w:sz w:val="24"/>
          <w:szCs w:val="24"/>
        </w:rPr>
        <w:t xml:space="preserve">eform to ensure a more </w:t>
      </w:r>
      <w:r w:rsidRPr="00C0EA88" w:rsidR="7859D6D1">
        <w:rPr>
          <w:b w:val="0"/>
          <w:bCs w:val="0"/>
          <w:i w:val="0"/>
          <w:iCs w:val="0"/>
          <w:sz w:val="24"/>
          <w:szCs w:val="24"/>
        </w:rPr>
        <w:t>eq</w:t>
      </w:r>
      <w:r w:rsidRPr="00C0EA88" w:rsidR="7859D6D1">
        <w:rPr>
          <w:b w:val="0"/>
          <w:bCs w:val="0"/>
          <w:i w:val="0"/>
          <w:iCs w:val="0"/>
          <w:sz w:val="24"/>
          <w:szCs w:val="24"/>
        </w:rPr>
        <w:t>uitable</w:t>
      </w:r>
      <w:r w:rsidRPr="00C0EA88" w:rsidR="7859D6D1">
        <w:rPr>
          <w:b w:val="0"/>
          <w:bCs w:val="0"/>
          <w:i w:val="0"/>
          <w:iCs w:val="0"/>
          <w:sz w:val="24"/>
          <w:szCs w:val="24"/>
        </w:rPr>
        <w:t xml:space="preserve"> a</w:t>
      </w:r>
      <w:r w:rsidRPr="00C0EA88" w:rsidR="7859D6D1">
        <w:rPr>
          <w:b w:val="0"/>
          <w:bCs w:val="0"/>
          <w:i w:val="0"/>
          <w:iCs w:val="0"/>
          <w:sz w:val="24"/>
          <w:szCs w:val="24"/>
        </w:rPr>
        <w:t>nd fair system.</w:t>
      </w:r>
    </w:p>
    <w:p w:rsidR="2E6DA899" w:rsidP="00C0EA88" w:rsidRDefault="2E6DA899" w14:paraId="252DD1F9" w14:textId="5654B416">
      <w:pPr>
        <w:pStyle w:val="Normal"/>
        <w:jc w:val="left"/>
        <w:rPr>
          <w:b w:val="0"/>
          <w:bCs w:val="0"/>
          <w:i w:val="0"/>
          <w:iCs w:val="0"/>
          <w:sz w:val="24"/>
          <w:szCs w:val="24"/>
        </w:rPr>
      </w:pPr>
      <w:r w:rsidRPr="00C0EA88" w:rsidR="2E6DA899">
        <w:rPr>
          <w:b w:val="0"/>
          <w:bCs w:val="0"/>
          <w:i w:val="0"/>
          <w:iCs w:val="0"/>
          <w:sz w:val="24"/>
          <w:szCs w:val="24"/>
        </w:rPr>
        <w:t xml:space="preserve">The current law governing homicide in England and Wales is primarily outlined in </w:t>
      </w:r>
      <w:r w:rsidRPr="00C0EA88" w:rsidR="2E6DA899">
        <w:rPr>
          <w:b w:val="0"/>
          <w:bCs w:val="0"/>
          <w:i w:val="0"/>
          <w:iCs w:val="0"/>
          <w:sz w:val="24"/>
          <w:szCs w:val="24"/>
        </w:rPr>
        <w:t>the common</w:t>
      </w:r>
      <w:r w:rsidRPr="00C0EA88" w:rsidR="2E6DA899">
        <w:rPr>
          <w:b w:val="0"/>
          <w:bCs w:val="0"/>
          <w:i w:val="0"/>
          <w:iCs w:val="0"/>
          <w:sz w:val="24"/>
          <w:szCs w:val="24"/>
        </w:rPr>
        <w:t xml:space="preserve"> law, which consists of legal principles developed through judicial decisions over time. The key legislation that governs homicide includes the Offences Against the Person Act 1861 and the Coroners and Justice Act 2009.</w:t>
      </w:r>
    </w:p>
    <w:p w:rsidR="2E6DA899" w:rsidP="00C0EA88" w:rsidRDefault="2E6DA899" w14:paraId="13A7C2E3" w14:textId="38872EEF">
      <w:pPr>
        <w:pStyle w:val="Normal"/>
        <w:jc w:val="left"/>
      </w:pPr>
      <w:r w:rsidRPr="00C0EA88" w:rsidR="2E6DA899">
        <w:rPr>
          <w:b w:val="0"/>
          <w:bCs w:val="0"/>
          <w:i w:val="0"/>
          <w:iCs w:val="0"/>
          <w:sz w:val="24"/>
          <w:szCs w:val="24"/>
        </w:rPr>
        <w:t xml:space="preserve"> </w:t>
      </w:r>
      <w:r w:rsidRPr="00C0EA88" w:rsidR="2E6DA899">
        <w:rPr>
          <w:b w:val="0"/>
          <w:bCs w:val="0"/>
          <w:i w:val="0"/>
          <w:iCs w:val="0"/>
          <w:sz w:val="24"/>
          <w:szCs w:val="24"/>
        </w:rPr>
        <w:t xml:space="preserve">Murder:                                                                                                                                                        </w:t>
      </w:r>
      <w:r w:rsidRPr="00C0EA88" w:rsidR="2E6DA899">
        <w:rPr>
          <w:b w:val="0"/>
          <w:bCs w:val="0"/>
          <w:i w:val="0"/>
          <w:iCs w:val="0"/>
          <w:sz w:val="24"/>
          <w:szCs w:val="24"/>
        </w:rPr>
        <w:t xml:space="preserve">Murder is the most serious form of unlawful killing and is defined as the intentional and unlawful causing of the death of another person. The essential elements of murder include the actus reus (the physical act of causing death) and the </w:t>
      </w:r>
      <w:r w:rsidRPr="00C0EA88" w:rsidR="2E6DA899">
        <w:rPr>
          <w:b w:val="0"/>
          <w:bCs w:val="0"/>
          <w:i w:val="0"/>
          <w:iCs w:val="0"/>
          <w:sz w:val="24"/>
          <w:szCs w:val="24"/>
        </w:rPr>
        <w:t>mens</w:t>
      </w:r>
      <w:r w:rsidRPr="00C0EA88" w:rsidR="2E6DA899">
        <w:rPr>
          <w:b w:val="0"/>
          <w:bCs w:val="0"/>
          <w:i w:val="0"/>
          <w:iCs w:val="0"/>
          <w:sz w:val="24"/>
          <w:szCs w:val="24"/>
        </w:rPr>
        <w:t xml:space="preserve"> rea (the intention to cause serious harm or to kill). The penalty for murder is life imprisonment.</w:t>
      </w:r>
    </w:p>
    <w:p w:rsidR="2E6DA899" w:rsidP="00C0EA88" w:rsidRDefault="2E6DA899" w14:paraId="7620671E" w14:textId="69887FA2">
      <w:pPr>
        <w:pStyle w:val="Normal"/>
        <w:jc w:val="left"/>
      </w:pPr>
      <w:r w:rsidRPr="00C0EA88" w:rsidR="2E6DA899">
        <w:rPr>
          <w:b w:val="0"/>
          <w:bCs w:val="0"/>
          <w:i w:val="0"/>
          <w:iCs w:val="0"/>
          <w:sz w:val="24"/>
          <w:szCs w:val="24"/>
        </w:rPr>
        <w:t xml:space="preserve"> Manslaughter:                                                                                                                                           </w:t>
      </w:r>
      <w:r w:rsidRPr="00C0EA88" w:rsidR="2E6DA899">
        <w:rPr>
          <w:b w:val="0"/>
          <w:bCs w:val="0"/>
          <w:i w:val="0"/>
          <w:iCs w:val="0"/>
          <w:sz w:val="24"/>
          <w:szCs w:val="24"/>
        </w:rPr>
        <w:t>Manslaughter is a lesser offense compared to murder. It is divided into two main categories:</w:t>
      </w:r>
      <w:r w:rsidRPr="00C0EA88" w:rsidR="0DC01B32">
        <w:rPr>
          <w:b w:val="0"/>
          <w:bCs w:val="0"/>
          <w:i w:val="0"/>
          <w:iCs w:val="0"/>
          <w:sz w:val="24"/>
          <w:szCs w:val="24"/>
        </w:rPr>
        <w:t xml:space="preserve">      </w:t>
      </w:r>
      <w:r w:rsidRPr="00C0EA88" w:rsidR="2E6DA899">
        <w:rPr>
          <w:b w:val="0"/>
          <w:bCs w:val="0"/>
          <w:i w:val="0"/>
          <w:iCs w:val="0"/>
          <w:sz w:val="24"/>
          <w:szCs w:val="24"/>
        </w:rPr>
        <w:t xml:space="preserve">a. Voluntary Manslaughter: This occurs when a person kills another person with the required </w:t>
      </w:r>
      <w:r w:rsidRPr="00C0EA88" w:rsidR="2E6DA899">
        <w:rPr>
          <w:b w:val="0"/>
          <w:bCs w:val="0"/>
          <w:i w:val="0"/>
          <w:iCs w:val="0"/>
          <w:sz w:val="24"/>
          <w:szCs w:val="24"/>
        </w:rPr>
        <w:t>mens</w:t>
      </w:r>
      <w:r w:rsidRPr="00C0EA88" w:rsidR="2E6DA899">
        <w:rPr>
          <w:b w:val="0"/>
          <w:bCs w:val="0"/>
          <w:i w:val="0"/>
          <w:iCs w:val="0"/>
          <w:sz w:val="24"/>
          <w:szCs w:val="24"/>
        </w:rPr>
        <w:t xml:space="preserve"> rea, but certain factors such as provocation, loss of control, or diminished responsibility lessen their culpability. The Coroners and Justice Act 2009 introduced the partial defense of loss of control, which replaced the former defense of provocation.</w:t>
      </w:r>
      <w:r w:rsidRPr="00C0EA88" w:rsidR="7ADE9A32">
        <w:rPr>
          <w:b w:val="0"/>
          <w:bCs w:val="0"/>
          <w:i w:val="0"/>
          <w:iCs w:val="0"/>
          <w:sz w:val="24"/>
          <w:szCs w:val="24"/>
        </w:rPr>
        <w:t xml:space="preserve">                                                                             </w:t>
      </w:r>
      <w:r w:rsidRPr="00C0EA88" w:rsidR="2E6DA899">
        <w:rPr>
          <w:b w:val="0"/>
          <w:bCs w:val="0"/>
          <w:i w:val="0"/>
          <w:iCs w:val="0"/>
          <w:sz w:val="24"/>
          <w:szCs w:val="24"/>
        </w:rPr>
        <w:t>b. Involuntary Manslaughter: Involuntary manslaughter refers to cases where a person causes another person's death without the intention to kill or cause serious harm. It includes cases of gross negligence manslaughter, where a person's negligence leads to the death of another, and unlawful act manslaughter, where a person commits an unlawful act that is dangerous and results in another person's death.</w:t>
      </w:r>
      <w:r w:rsidRPr="00C0EA88" w:rsidR="2550DC98">
        <w:rPr>
          <w:b w:val="0"/>
          <w:bCs w:val="0"/>
          <w:i w:val="0"/>
          <w:iCs w:val="0"/>
          <w:sz w:val="24"/>
          <w:szCs w:val="24"/>
        </w:rPr>
        <w:t xml:space="preserve">                                                                                                           </w:t>
      </w:r>
      <w:r w:rsidRPr="00C0EA88" w:rsidR="2E6DA899">
        <w:rPr>
          <w:b w:val="0"/>
          <w:bCs w:val="0"/>
          <w:i w:val="0"/>
          <w:iCs w:val="0"/>
          <w:sz w:val="24"/>
          <w:szCs w:val="24"/>
        </w:rPr>
        <w:t>Infanticide:</w:t>
      </w:r>
    </w:p>
    <w:p w:rsidR="2E6DA899" w:rsidP="00C0EA88" w:rsidRDefault="2E6DA899" w14:paraId="67D0C735" w14:textId="0FB1CFBC">
      <w:pPr>
        <w:pStyle w:val="Normal"/>
        <w:jc w:val="left"/>
      </w:pPr>
      <w:r w:rsidRPr="00C0EA88" w:rsidR="2E6DA899">
        <w:rPr>
          <w:b w:val="0"/>
          <w:bCs w:val="0"/>
          <w:i w:val="0"/>
          <w:iCs w:val="0"/>
          <w:sz w:val="24"/>
          <w:szCs w:val="24"/>
        </w:rPr>
        <w:t xml:space="preserve">Infanticide is a specific offense that applies to the killing of a child under the age of 1 by their mother, who at the time of the act, suffers from a disturbed balance of mind due to giving birth or lactation. Infanticide is a partial defense that reduces the charge from murder to infanticide, carrying a </w:t>
      </w:r>
      <w:r w:rsidRPr="00C0EA88" w:rsidR="2E6DA899">
        <w:rPr>
          <w:b w:val="0"/>
          <w:bCs w:val="0"/>
          <w:i w:val="0"/>
          <w:iCs w:val="0"/>
          <w:sz w:val="24"/>
          <w:szCs w:val="24"/>
        </w:rPr>
        <w:t>maximum</w:t>
      </w:r>
      <w:r w:rsidRPr="00C0EA88" w:rsidR="2E6DA899">
        <w:rPr>
          <w:b w:val="0"/>
          <w:bCs w:val="0"/>
          <w:i w:val="0"/>
          <w:iCs w:val="0"/>
          <w:sz w:val="24"/>
          <w:szCs w:val="24"/>
        </w:rPr>
        <w:t xml:space="preserve"> sentence of life imprisonment.</w:t>
      </w:r>
      <w:r w:rsidRPr="00C0EA88" w:rsidR="176B601D">
        <w:rPr>
          <w:b w:val="0"/>
          <w:bCs w:val="0"/>
          <w:i w:val="0"/>
          <w:iCs w:val="0"/>
          <w:sz w:val="24"/>
          <w:szCs w:val="24"/>
        </w:rPr>
        <w:t xml:space="preserve">                                                                     </w:t>
      </w:r>
      <w:r w:rsidRPr="00C0EA88" w:rsidR="2E6DA899">
        <w:rPr>
          <w:b w:val="0"/>
          <w:bCs w:val="0"/>
          <w:i w:val="0"/>
          <w:iCs w:val="0"/>
          <w:sz w:val="24"/>
          <w:szCs w:val="24"/>
        </w:rPr>
        <w:t>Defenses:</w:t>
      </w:r>
      <w:r w:rsidRPr="00C0EA88" w:rsidR="1E689C78">
        <w:rPr>
          <w:b w:val="0"/>
          <w:bCs w:val="0"/>
          <w:i w:val="0"/>
          <w:iCs w:val="0"/>
          <w:sz w:val="24"/>
          <w:szCs w:val="24"/>
        </w:rPr>
        <w:t xml:space="preserve">                                                                                                                                                     </w:t>
      </w:r>
      <w:r w:rsidRPr="00C0EA88" w:rsidR="2E6DA899">
        <w:rPr>
          <w:b w:val="0"/>
          <w:bCs w:val="0"/>
          <w:i w:val="0"/>
          <w:iCs w:val="0"/>
          <w:sz w:val="24"/>
          <w:szCs w:val="24"/>
        </w:rPr>
        <w:t xml:space="preserve">The law recognizes various defenses in homicide cases, such as self-defense, duress, necessity, and diminished responsibility. These defenses aim to </w:t>
      </w:r>
      <w:r w:rsidRPr="00C0EA88" w:rsidR="2E6DA899">
        <w:rPr>
          <w:b w:val="0"/>
          <w:bCs w:val="0"/>
          <w:i w:val="0"/>
          <w:iCs w:val="0"/>
          <w:sz w:val="24"/>
          <w:szCs w:val="24"/>
        </w:rPr>
        <w:t>provide</w:t>
      </w:r>
      <w:r w:rsidRPr="00C0EA88" w:rsidR="2E6DA899">
        <w:rPr>
          <w:b w:val="0"/>
          <w:bCs w:val="0"/>
          <w:i w:val="0"/>
          <w:iCs w:val="0"/>
          <w:sz w:val="24"/>
          <w:szCs w:val="24"/>
        </w:rPr>
        <w:t xml:space="preserve"> justifications or excuses for the actions of the accused and can result in a reduction in charges or acquittal.</w:t>
      </w:r>
    </w:p>
    <w:p w:rsidR="2E6DA899" w:rsidP="00C0EA88" w:rsidRDefault="2E6DA899" w14:paraId="6C735857" w14:textId="42D533FD">
      <w:pPr>
        <w:pStyle w:val="Normal"/>
        <w:jc w:val="left"/>
        <w:rPr>
          <w:b w:val="0"/>
          <w:bCs w:val="0"/>
          <w:i w:val="0"/>
          <w:iCs w:val="0"/>
          <w:sz w:val="24"/>
          <w:szCs w:val="24"/>
        </w:rPr>
      </w:pPr>
      <w:r w:rsidRPr="00C0EA88" w:rsidR="2E6DA899">
        <w:rPr>
          <w:b w:val="0"/>
          <w:bCs w:val="0"/>
          <w:i w:val="0"/>
          <w:iCs w:val="0"/>
          <w:sz w:val="24"/>
          <w:szCs w:val="24"/>
        </w:rPr>
        <w:t xml:space="preserve"> </w:t>
      </w:r>
      <w:r w:rsidRPr="00C0EA88" w:rsidR="2E6DA899">
        <w:rPr>
          <w:b w:val="0"/>
          <w:bCs w:val="0"/>
          <w:i w:val="0"/>
          <w:iCs w:val="0"/>
          <w:sz w:val="24"/>
          <w:szCs w:val="24"/>
        </w:rPr>
        <w:t xml:space="preserve">It is important to note that the law surrounding homicide is complex and subject to interpretation through judicial decisions. The statutes and principles mentioned here </w:t>
      </w:r>
      <w:r w:rsidRPr="00C0EA88" w:rsidR="2E6DA899">
        <w:rPr>
          <w:b w:val="0"/>
          <w:bCs w:val="0"/>
          <w:i w:val="0"/>
          <w:iCs w:val="0"/>
          <w:sz w:val="24"/>
          <w:szCs w:val="24"/>
        </w:rPr>
        <w:t>provide</w:t>
      </w:r>
      <w:r w:rsidRPr="00C0EA88" w:rsidR="2E6DA899">
        <w:rPr>
          <w:b w:val="0"/>
          <w:bCs w:val="0"/>
          <w:i w:val="0"/>
          <w:iCs w:val="0"/>
          <w:sz w:val="24"/>
          <w:szCs w:val="24"/>
        </w:rPr>
        <w:t xml:space="preserve"> a general overview of the current legal framework governing homicide in England and Wales, but specific circumstances and cases may have further nuances and considerations.</w:t>
      </w:r>
      <w:r w:rsidRPr="00C0EA88" w:rsidR="76515B3C">
        <w:rPr>
          <w:b w:val="0"/>
          <w:bCs w:val="0"/>
          <w:i w:val="0"/>
          <w:iCs w:val="0"/>
          <w:sz w:val="24"/>
          <w:szCs w:val="24"/>
        </w:rPr>
        <w:t xml:space="preserve"> </w:t>
      </w:r>
      <w:r w:rsidRPr="00C0EA88" w:rsidR="0278D22B">
        <w:rPr>
          <w:b w:val="0"/>
          <w:bCs w:val="0"/>
          <w:i w:val="0"/>
          <w:iCs w:val="0"/>
          <w:sz w:val="24"/>
          <w:szCs w:val="24"/>
        </w:rPr>
        <w:t xml:space="preserve">                   </w:t>
      </w:r>
      <w:r w:rsidRPr="00C0EA88" w:rsidR="76515B3C">
        <w:rPr>
          <w:b w:val="0"/>
          <w:bCs w:val="0"/>
          <w:i w:val="0"/>
          <w:iCs w:val="0"/>
          <w:sz w:val="24"/>
          <w:szCs w:val="24"/>
        </w:rPr>
        <w:t xml:space="preserve">Partial </w:t>
      </w:r>
      <w:r w:rsidRPr="00C0EA88" w:rsidR="76515B3C">
        <w:rPr>
          <w:b w:val="0"/>
          <w:bCs w:val="0"/>
          <w:i w:val="0"/>
          <w:iCs w:val="0"/>
          <w:sz w:val="24"/>
          <w:szCs w:val="24"/>
        </w:rPr>
        <w:t>Defenses to Murder:</w:t>
      </w:r>
    </w:p>
    <w:p w:rsidR="76515B3C" w:rsidP="00C0EA88" w:rsidRDefault="76515B3C" w14:paraId="76548B6B" w14:textId="1D5EBFE8">
      <w:pPr>
        <w:pStyle w:val="Normal"/>
        <w:jc w:val="left"/>
      </w:pPr>
      <w:r w:rsidRPr="00C0EA88" w:rsidR="76515B3C">
        <w:rPr>
          <w:b w:val="0"/>
          <w:bCs w:val="0"/>
          <w:i w:val="0"/>
          <w:iCs w:val="0"/>
          <w:sz w:val="24"/>
          <w:szCs w:val="24"/>
        </w:rPr>
        <w:t>One key issue in the law governing homicide in England and Wales is the partial defenses to murder. These defenses, such as diminished responsibility and loss of control, aim to reduce the charge from murder to manslaughter. However, there have been debates about their effectiveness and the criteria for their application. Critics argue that the criteria for these defenses are too restrictive and may not adequately capture the circumstances and mental states of defendants. There have been calls for a review of these partial defenses to ensure a more just and nuanced approach to the categorization of offenses.</w:t>
      </w:r>
    </w:p>
    <w:p w:rsidR="76515B3C" w:rsidP="00C0EA88" w:rsidRDefault="76515B3C" w14:paraId="57C0EA5E" w14:textId="1E38566B">
      <w:pPr>
        <w:pStyle w:val="Normal"/>
        <w:jc w:val="left"/>
      </w:pPr>
      <w:r w:rsidRPr="00C0EA88" w:rsidR="76515B3C">
        <w:rPr>
          <w:b w:val="0"/>
          <w:bCs w:val="0"/>
          <w:i w:val="0"/>
          <w:iCs w:val="0"/>
          <w:sz w:val="24"/>
          <w:szCs w:val="24"/>
        </w:rPr>
        <w:t>Controversy Surrounding Intent for Murder:</w:t>
      </w:r>
    </w:p>
    <w:p w:rsidR="76515B3C" w:rsidP="00C0EA88" w:rsidRDefault="76515B3C" w14:paraId="04A6258A" w14:textId="6E74DC78">
      <w:pPr>
        <w:pStyle w:val="Normal"/>
        <w:jc w:val="left"/>
      </w:pPr>
      <w:r w:rsidRPr="00C0EA88" w:rsidR="76515B3C">
        <w:rPr>
          <w:b w:val="0"/>
          <w:bCs w:val="0"/>
          <w:i w:val="0"/>
          <w:iCs w:val="0"/>
          <w:sz w:val="24"/>
          <w:szCs w:val="24"/>
        </w:rPr>
        <w:t>The intent required for murder is another area of controversy. Under the current law, the mens rea for murder is the intention to cause serious harm or to kill. Critics argue that this high threshold of intent may be difficult to prove in certain cases, resulting in charges being reduced to manslaughter. There have been discussions about whether the law should adopt a more flexible approach, considering a broader range of mental states or recklessness as sufficient for a murder conviction. However, others contend that maintaining a high threshold for intent is crucial to uphold the seriousness and gravity associated with the offense of murder.</w:t>
      </w:r>
    </w:p>
    <w:p w:rsidR="76515B3C" w:rsidP="00C0EA88" w:rsidRDefault="76515B3C" w14:paraId="601A86B3" w14:textId="5EFB0FE6">
      <w:pPr>
        <w:pStyle w:val="Normal"/>
        <w:jc w:val="left"/>
      </w:pPr>
      <w:r w:rsidRPr="00C0EA88" w:rsidR="76515B3C">
        <w:rPr>
          <w:b w:val="0"/>
          <w:bCs w:val="0"/>
          <w:i w:val="0"/>
          <w:iCs w:val="0"/>
          <w:sz w:val="24"/>
          <w:szCs w:val="24"/>
        </w:rPr>
        <w:t>Breadth of Manslaughter:</w:t>
      </w:r>
    </w:p>
    <w:p w:rsidR="76515B3C" w:rsidP="00C0EA88" w:rsidRDefault="76515B3C" w14:paraId="67EBEB78" w14:textId="5687E7A7">
      <w:pPr>
        <w:pStyle w:val="Normal"/>
        <w:jc w:val="left"/>
      </w:pPr>
      <w:r w:rsidRPr="00C0EA88" w:rsidR="76515B3C">
        <w:rPr>
          <w:b w:val="0"/>
          <w:bCs w:val="0"/>
          <w:i w:val="0"/>
          <w:iCs w:val="0"/>
          <w:sz w:val="24"/>
          <w:szCs w:val="24"/>
        </w:rPr>
        <w:t>Another key issue is the breadth of manslaughter as a category. Some argue that the category of manslaughter is too broad and encompasses a wide range of offenses, leading to inconsistencies in sentencing. The lack of clear guidelines for different types of manslaughter, such as gross negligence manslaughter or unlawful act manslaughter, has resulted in varying outcomes and perceptions of fairness. There have been suggestions to introduce more distinct categories within manslaughter and provide clearer guidelines for sentencing, ensuring a more consistent and transparent approach.</w:t>
      </w:r>
    </w:p>
    <w:p w:rsidR="76515B3C" w:rsidP="00C0EA88" w:rsidRDefault="76515B3C" w14:paraId="6D7DA16D" w14:textId="02F57F07">
      <w:pPr>
        <w:pStyle w:val="Normal"/>
        <w:jc w:val="left"/>
      </w:pPr>
      <w:r w:rsidRPr="00C0EA88" w:rsidR="76515B3C">
        <w:rPr>
          <w:b w:val="0"/>
          <w:bCs w:val="0"/>
          <w:i w:val="0"/>
          <w:iCs w:val="0"/>
          <w:sz w:val="24"/>
          <w:szCs w:val="24"/>
        </w:rPr>
        <w:t xml:space="preserve">These key issues surrounding partial defenses to murder, the intent </w:t>
      </w:r>
      <w:r w:rsidRPr="00C0EA88" w:rsidR="76515B3C">
        <w:rPr>
          <w:b w:val="0"/>
          <w:bCs w:val="0"/>
          <w:i w:val="0"/>
          <w:iCs w:val="0"/>
          <w:sz w:val="24"/>
          <w:szCs w:val="24"/>
        </w:rPr>
        <w:t>required</w:t>
      </w:r>
      <w:r w:rsidRPr="00C0EA88" w:rsidR="76515B3C">
        <w:rPr>
          <w:b w:val="0"/>
          <w:bCs w:val="0"/>
          <w:i w:val="0"/>
          <w:iCs w:val="0"/>
          <w:sz w:val="24"/>
          <w:szCs w:val="24"/>
        </w:rPr>
        <w:t xml:space="preserve"> for murder, and the breadth of manslaughter highlight the need for a critical examination and potential reform of the law governing homicide in England and Wales. The complexities and ambiguities within these areas have sparked debates about fairness, consistency, and the need for a legal framework that better reflects the nuances and circumstances of individual cases. Any reform efforts should strive to strike a balance between upholding the principles of justice and ensuring a clear and consistent approach to the classification and punishment of homicide offenses.</w:t>
      </w:r>
      <w:r w:rsidRPr="00C0EA88" w:rsidR="048C2A1E">
        <w:rPr>
          <w:b w:val="0"/>
          <w:bCs w:val="0"/>
          <w:i w:val="0"/>
          <w:iCs w:val="0"/>
          <w:sz w:val="24"/>
          <w:szCs w:val="24"/>
        </w:rPr>
        <w:t xml:space="preserve"> </w:t>
      </w:r>
    </w:p>
    <w:p w:rsidR="048C2A1E" w:rsidP="00C0EA88" w:rsidRDefault="048C2A1E" w14:paraId="0DC280BD" w14:textId="6CD9DEFE">
      <w:pPr>
        <w:pStyle w:val="Normal"/>
        <w:jc w:val="left"/>
      </w:pPr>
      <w:r w:rsidRPr="00C0EA88" w:rsidR="048C2A1E">
        <w:rPr>
          <w:b w:val="0"/>
          <w:bCs w:val="0"/>
          <w:i w:val="0"/>
          <w:iCs w:val="0"/>
          <w:sz w:val="24"/>
          <w:szCs w:val="24"/>
        </w:rPr>
        <w:t xml:space="preserve">The Law Commission is an independent body in the UK responsible for reviewing and making recommendations on areas of law that require reform. Its purpose is to ensure that the law </w:t>
      </w:r>
      <w:r w:rsidRPr="00C0EA88" w:rsidR="048C2A1E">
        <w:rPr>
          <w:b w:val="0"/>
          <w:bCs w:val="0"/>
          <w:i w:val="0"/>
          <w:iCs w:val="0"/>
          <w:sz w:val="24"/>
          <w:szCs w:val="24"/>
        </w:rPr>
        <w:t>remains</w:t>
      </w:r>
      <w:r w:rsidRPr="00C0EA88" w:rsidR="048C2A1E">
        <w:rPr>
          <w:b w:val="0"/>
          <w:bCs w:val="0"/>
          <w:i w:val="0"/>
          <w:iCs w:val="0"/>
          <w:sz w:val="24"/>
          <w:szCs w:val="24"/>
        </w:rPr>
        <w:t xml:space="preserve"> fair, modern, and effective. The Commission conducts research, consults stakeholders, and produces reports with proposed reforms for consideration by the government.</w:t>
      </w:r>
    </w:p>
    <w:p w:rsidR="048C2A1E" w:rsidP="00C0EA88" w:rsidRDefault="048C2A1E" w14:paraId="0D318010" w14:textId="46743EC3">
      <w:pPr>
        <w:pStyle w:val="Normal"/>
        <w:jc w:val="left"/>
      </w:pPr>
      <w:r w:rsidRPr="00C0EA88" w:rsidR="048C2A1E">
        <w:rPr>
          <w:b w:val="0"/>
          <w:bCs w:val="0"/>
          <w:i w:val="0"/>
          <w:iCs w:val="0"/>
          <w:sz w:val="24"/>
          <w:szCs w:val="24"/>
        </w:rPr>
        <w:t xml:space="preserve"> </w:t>
      </w:r>
      <w:r w:rsidRPr="00C0EA88" w:rsidR="048C2A1E">
        <w:rPr>
          <w:b w:val="0"/>
          <w:bCs w:val="0"/>
          <w:i w:val="0"/>
          <w:iCs w:val="0"/>
          <w:sz w:val="24"/>
          <w:szCs w:val="24"/>
        </w:rPr>
        <w:t xml:space="preserve">Over the years, the Law Commission has made </w:t>
      </w:r>
      <w:r w:rsidRPr="00C0EA88" w:rsidR="048C2A1E">
        <w:rPr>
          <w:b w:val="0"/>
          <w:bCs w:val="0"/>
          <w:i w:val="0"/>
          <w:iCs w:val="0"/>
          <w:sz w:val="24"/>
          <w:szCs w:val="24"/>
        </w:rPr>
        <w:t>numerous</w:t>
      </w:r>
      <w:r w:rsidRPr="00C0EA88" w:rsidR="048C2A1E">
        <w:rPr>
          <w:b w:val="0"/>
          <w:bCs w:val="0"/>
          <w:i w:val="0"/>
          <w:iCs w:val="0"/>
          <w:sz w:val="24"/>
          <w:szCs w:val="24"/>
        </w:rPr>
        <w:t xml:space="preserve"> proposals covering a wide range of legal areas, including contract law, criminal law, family law, property law, and more. These proposals aim to address identified problems, </w:t>
      </w:r>
      <w:r w:rsidRPr="00C0EA88" w:rsidR="048C2A1E">
        <w:rPr>
          <w:b w:val="0"/>
          <w:bCs w:val="0"/>
          <w:i w:val="0"/>
          <w:iCs w:val="0"/>
          <w:sz w:val="24"/>
          <w:szCs w:val="24"/>
        </w:rPr>
        <w:t>simplify</w:t>
      </w:r>
      <w:r w:rsidRPr="00C0EA88" w:rsidR="048C2A1E">
        <w:rPr>
          <w:b w:val="0"/>
          <w:bCs w:val="0"/>
          <w:i w:val="0"/>
          <w:iCs w:val="0"/>
          <w:sz w:val="24"/>
          <w:szCs w:val="24"/>
        </w:rPr>
        <w:t xml:space="preserve"> and modernize the law, and improve access to justice. </w:t>
      </w:r>
      <w:r w:rsidRPr="00C0EA88" w:rsidR="13D0C2C7">
        <w:rPr>
          <w:b w:val="0"/>
          <w:bCs w:val="0"/>
          <w:i w:val="0"/>
          <w:iCs w:val="0"/>
          <w:sz w:val="24"/>
          <w:szCs w:val="24"/>
        </w:rPr>
        <w:t xml:space="preserve">                                                                                                                                         When the government considers proposals for legal reform, the decision to accept or reject them can be influenced by several factors. These factors may include political considerations, public opinion, practicality of implementation, and alignment with the government's policy priorities.                                                                                                                                                    </w:t>
      </w:r>
      <w:r w:rsidRPr="00C0EA88" w:rsidR="13D0C2C7">
        <w:rPr>
          <w:b w:val="0"/>
          <w:bCs w:val="0"/>
          <w:i w:val="0"/>
          <w:iCs w:val="0"/>
          <w:sz w:val="24"/>
          <w:szCs w:val="24"/>
        </w:rPr>
        <w:t xml:space="preserve">Accepting a proposal may be seen as the right decision if it aligns with the government's vision and addresses a recognized problem or societal need. It could be viewed as a step toward enhancing justice, efficiency, or public welfare. On the other hand, rejecting a proposal might be justified if it conflicts with the government's policy agenda, poses practical challenges, or has potential negative consequences that outweigh the benefits.                                                         </w:t>
      </w:r>
      <w:r w:rsidRPr="00C0EA88" w:rsidR="13D0C2C7">
        <w:rPr>
          <w:b w:val="0"/>
          <w:bCs w:val="0"/>
          <w:i w:val="0"/>
          <w:iCs w:val="0"/>
          <w:sz w:val="24"/>
          <w:szCs w:val="24"/>
        </w:rPr>
        <w:t>Assessing the correctness of the government's decisions on accepting or rejecting proposals is subjective. Different people may have diverse perspectives on what is right or wrong based on their values, experiences, and priorities. Ideally, the government engages in a transparent and consultative process involving various stakeholders to ensure that decisions reflect a broad range of interests and concerns.</w:t>
      </w:r>
    </w:p>
    <w:p w:rsidR="4488D75F" w:rsidP="00C0EA88" w:rsidRDefault="4488D75F" w14:paraId="2A044657" w14:textId="32658D1B">
      <w:pPr>
        <w:pStyle w:val="Normal"/>
        <w:jc w:val="left"/>
        <w:rPr>
          <w:b w:val="0"/>
          <w:bCs w:val="0"/>
          <w:i w:val="0"/>
          <w:iCs w:val="0"/>
          <w:sz w:val="24"/>
          <w:szCs w:val="24"/>
        </w:rPr>
      </w:pPr>
      <w:r w:rsidRPr="00C0EA88" w:rsidR="4488D75F">
        <w:rPr>
          <w:b w:val="0"/>
          <w:bCs w:val="0"/>
          <w:i w:val="0"/>
          <w:iCs w:val="0"/>
          <w:sz w:val="24"/>
          <w:szCs w:val="24"/>
        </w:rPr>
        <w:t>Here are a few arguments against reform of homicide laws:</w:t>
      </w:r>
    </w:p>
    <w:p w:rsidR="4488D75F" w:rsidP="00C0EA88" w:rsidRDefault="4488D75F" w14:paraId="2791C7E2" w14:textId="728D06BB">
      <w:pPr>
        <w:pStyle w:val="Normal"/>
        <w:jc w:val="left"/>
      </w:pPr>
      <w:r w:rsidRPr="00C0EA88" w:rsidR="4488D75F">
        <w:rPr>
          <w:b w:val="0"/>
          <w:bCs w:val="0"/>
          <w:i w:val="0"/>
          <w:iCs w:val="0"/>
          <w:sz w:val="24"/>
          <w:szCs w:val="24"/>
        </w:rPr>
        <w:t xml:space="preserve"> </w:t>
      </w:r>
      <w:r w:rsidRPr="00C0EA88" w:rsidR="4488D75F">
        <w:rPr>
          <w:b w:val="0"/>
          <w:bCs w:val="0"/>
          <w:i w:val="0"/>
          <w:iCs w:val="0"/>
          <w:sz w:val="24"/>
          <w:szCs w:val="24"/>
        </w:rPr>
        <w:t xml:space="preserve">1. Protection of Victims: Opponents of homicide law reform may argue that </w:t>
      </w:r>
      <w:r w:rsidRPr="00C0EA88" w:rsidR="4488D75F">
        <w:rPr>
          <w:b w:val="0"/>
          <w:bCs w:val="0"/>
          <w:i w:val="0"/>
          <w:iCs w:val="0"/>
          <w:sz w:val="24"/>
          <w:szCs w:val="24"/>
        </w:rPr>
        <w:t>maintaining</w:t>
      </w:r>
      <w:r w:rsidRPr="00C0EA88" w:rsidR="4488D75F">
        <w:rPr>
          <w:b w:val="0"/>
          <w:bCs w:val="0"/>
          <w:i w:val="0"/>
          <w:iCs w:val="0"/>
          <w:sz w:val="24"/>
          <w:szCs w:val="24"/>
        </w:rPr>
        <w:t xml:space="preserve"> strict laws and punishments for homicide is necessary to protect the rights and interests of victims and their families. They believe that strong deterrents and severe penalties can </w:t>
      </w:r>
      <w:r w:rsidRPr="00C0EA88" w:rsidR="4488D75F">
        <w:rPr>
          <w:b w:val="0"/>
          <w:bCs w:val="0"/>
          <w:i w:val="0"/>
          <w:iCs w:val="0"/>
          <w:sz w:val="24"/>
          <w:szCs w:val="24"/>
        </w:rPr>
        <w:t>provide</w:t>
      </w:r>
      <w:r w:rsidRPr="00C0EA88" w:rsidR="4488D75F">
        <w:rPr>
          <w:b w:val="0"/>
          <w:bCs w:val="0"/>
          <w:i w:val="0"/>
          <w:iCs w:val="0"/>
          <w:sz w:val="24"/>
          <w:szCs w:val="24"/>
        </w:rPr>
        <w:t xml:space="preserve"> a sense of justice and deter potential offenders.</w:t>
      </w:r>
    </w:p>
    <w:p w:rsidR="4488D75F" w:rsidP="00C0EA88" w:rsidRDefault="4488D75F" w14:paraId="7AD50498" w14:textId="7BC20ED6">
      <w:pPr>
        <w:pStyle w:val="Normal"/>
        <w:jc w:val="left"/>
      </w:pPr>
      <w:r w:rsidRPr="00C0EA88" w:rsidR="4488D75F">
        <w:rPr>
          <w:b w:val="0"/>
          <w:bCs w:val="0"/>
          <w:i w:val="0"/>
          <w:iCs w:val="0"/>
          <w:sz w:val="24"/>
          <w:szCs w:val="24"/>
        </w:rPr>
        <w:t xml:space="preserve"> </w:t>
      </w:r>
      <w:r w:rsidRPr="00C0EA88" w:rsidR="4488D75F">
        <w:rPr>
          <w:b w:val="0"/>
          <w:bCs w:val="0"/>
          <w:i w:val="0"/>
          <w:iCs w:val="0"/>
          <w:sz w:val="24"/>
          <w:szCs w:val="24"/>
        </w:rPr>
        <w:t xml:space="preserve">2. Preservation of Moral and Ethical Boundaries: Some individuals argue that homicide laws reflect society's fundamental moral and ethical values. They contend that these laws should remain intact to </w:t>
      </w:r>
      <w:r w:rsidRPr="00C0EA88" w:rsidR="4488D75F">
        <w:rPr>
          <w:b w:val="0"/>
          <w:bCs w:val="0"/>
          <w:i w:val="0"/>
          <w:iCs w:val="0"/>
          <w:sz w:val="24"/>
          <w:szCs w:val="24"/>
        </w:rPr>
        <w:t>maintain</w:t>
      </w:r>
      <w:r w:rsidRPr="00C0EA88" w:rsidR="4488D75F">
        <w:rPr>
          <w:b w:val="0"/>
          <w:bCs w:val="0"/>
          <w:i w:val="0"/>
          <w:iCs w:val="0"/>
          <w:sz w:val="24"/>
          <w:szCs w:val="24"/>
        </w:rPr>
        <w:t xml:space="preserve"> the sanctity of life and uphold a shared sense of right and wrong.</w:t>
      </w:r>
    </w:p>
    <w:p w:rsidR="4488D75F" w:rsidP="00C0EA88" w:rsidRDefault="4488D75F" w14:paraId="068D877C" w14:textId="190EC26D">
      <w:pPr>
        <w:pStyle w:val="Normal"/>
        <w:jc w:val="left"/>
      </w:pPr>
      <w:r w:rsidRPr="00C0EA88" w:rsidR="4488D75F">
        <w:rPr>
          <w:b w:val="0"/>
          <w:bCs w:val="0"/>
          <w:i w:val="0"/>
          <w:iCs w:val="0"/>
          <w:sz w:val="24"/>
          <w:szCs w:val="24"/>
        </w:rPr>
        <w:t xml:space="preserve"> </w:t>
      </w:r>
      <w:r w:rsidRPr="00C0EA88" w:rsidR="4488D75F">
        <w:rPr>
          <w:b w:val="0"/>
          <w:bCs w:val="0"/>
          <w:i w:val="0"/>
          <w:iCs w:val="0"/>
          <w:sz w:val="24"/>
          <w:szCs w:val="24"/>
        </w:rPr>
        <w:t xml:space="preserve">3. Clarity and Certainty: Critics of reform may assert that current homicide laws </w:t>
      </w:r>
      <w:r w:rsidRPr="00C0EA88" w:rsidR="4488D75F">
        <w:rPr>
          <w:b w:val="0"/>
          <w:bCs w:val="0"/>
          <w:i w:val="0"/>
          <w:iCs w:val="0"/>
          <w:sz w:val="24"/>
          <w:szCs w:val="24"/>
        </w:rPr>
        <w:t>provide</w:t>
      </w:r>
      <w:r w:rsidRPr="00C0EA88" w:rsidR="4488D75F">
        <w:rPr>
          <w:b w:val="0"/>
          <w:bCs w:val="0"/>
          <w:i w:val="0"/>
          <w:iCs w:val="0"/>
          <w:sz w:val="24"/>
          <w:szCs w:val="24"/>
        </w:rPr>
        <w:t xml:space="preserve"> clarity and certainty in defining criminal responsibility and </w:t>
      </w:r>
      <w:r w:rsidRPr="00C0EA88" w:rsidR="4488D75F">
        <w:rPr>
          <w:b w:val="0"/>
          <w:bCs w:val="0"/>
          <w:i w:val="0"/>
          <w:iCs w:val="0"/>
          <w:sz w:val="24"/>
          <w:szCs w:val="24"/>
        </w:rPr>
        <w:t>appropriate punishments</w:t>
      </w:r>
      <w:r w:rsidRPr="00C0EA88" w:rsidR="4488D75F">
        <w:rPr>
          <w:b w:val="0"/>
          <w:bCs w:val="0"/>
          <w:i w:val="0"/>
          <w:iCs w:val="0"/>
          <w:sz w:val="24"/>
          <w:szCs w:val="24"/>
        </w:rPr>
        <w:t>. They argue that changes to the laws could introduce ambiguity and lead to inconsistencies in the legal system.</w:t>
      </w:r>
    </w:p>
    <w:p w:rsidR="4488D75F" w:rsidP="00C0EA88" w:rsidRDefault="4488D75F" w14:paraId="3E49CE70" w14:textId="086B992B">
      <w:pPr>
        <w:pStyle w:val="Normal"/>
        <w:jc w:val="left"/>
      </w:pPr>
      <w:r w:rsidRPr="00C0EA88" w:rsidR="4488D75F">
        <w:rPr>
          <w:b w:val="0"/>
          <w:bCs w:val="0"/>
          <w:i w:val="0"/>
          <w:iCs w:val="0"/>
          <w:sz w:val="24"/>
          <w:szCs w:val="24"/>
        </w:rPr>
        <w:t>4. Protection of Innocent Life: Opponents of reform might emphasize the importance of preserving the value placed on innocent human life. They contend that stricter homicide laws help protect individuals who may be vulnerable to violence or exploitation.</w:t>
      </w:r>
    </w:p>
    <w:p w:rsidR="4488D75F" w:rsidP="00C0EA88" w:rsidRDefault="4488D75F" w14:paraId="550B2852" w14:textId="1EA8D696">
      <w:pPr>
        <w:pStyle w:val="Normal"/>
        <w:jc w:val="left"/>
      </w:pPr>
      <w:r w:rsidRPr="00C0EA88" w:rsidR="4488D75F">
        <w:rPr>
          <w:b w:val="0"/>
          <w:bCs w:val="0"/>
          <w:i w:val="0"/>
          <w:iCs w:val="0"/>
          <w:sz w:val="24"/>
          <w:szCs w:val="24"/>
        </w:rPr>
        <w:t xml:space="preserve"> </w:t>
      </w:r>
      <w:r w:rsidRPr="00C0EA88" w:rsidR="4488D75F">
        <w:rPr>
          <w:b w:val="0"/>
          <w:bCs w:val="0"/>
          <w:i w:val="0"/>
          <w:iCs w:val="0"/>
          <w:sz w:val="24"/>
          <w:szCs w:val="24"/>
        </w:rPr>
        <w:t xml:space="preserve">5. Public Safety: Some argue that </w:t>
      </w:r>
      <w:r w:rsidRPr="00C0EA88" w:rsidR="4488D75F">
        <w:rPr>
          <w:b w:val="0"/>
          <w:bCs w:val="0"/>
          <w:i w:val="0"/>
          <w:iCs w:val="0"/>
          <w:sz w:val="24"/>
          <w:szCs w:val="24"/>
        </w:rPr>
        <w:t>maintaining</w:t>
      </w:r>
      <w:r w:rsidRPr="00C0EA88" w:rsidR="4488D75F">
        <w:rPr>
          <w:b w:val="0"/>
          <w:bCs w:val="0"/>
          <w:i w:val="0"/>
          <w:iCs w:val="0"/>
          <w:sz w:val="24"/>
          <w:szCs w:val="24"/>
        </w:rPr>
        <w:t xml:space="preserve"> stringent homicide laws helps ensure public safety by </w:t>
      </w:r>
      <w:r w:rsidRPr="00C0EA88" w:rsidR="4488D75F">
        <w:rPr>
          <w:b w:val="0"/>
          <w:bCs w:val="0"/>
          <w:i w:val="0"/>
          <w:iCs w:val="0"/>
          <w:sz w:val="24"/>
          <w:szCs w:val="24"/>
        </w:rPr>
        <w:t>providing</w:t>
      </w:r>
      <w:r w:rsidRPr="00C0EA88" w:rsidR="4488D75F">
        <w:rPr>
          <w:b w:val="0"/>
          <w:bCs w:val="0"/>
          <w:i w:val="0"/>
          <w:iCs w:val="0"/>
          <w:sz w:val="24"/>
          <w:szCs w:val="24"/>
        </w:rPr>
        <w:t xml:space="preserve"> a strong deterrent against violent acts. They contend that relaxing these laws could potentially compromise public security and create an environment of increased risk.</w:t>
      </w:r>
    </w:p>
    <w:p w:rsidR="4488D75F" w:rsidP="00C0EA88" w:rsidRDefault="4488D75F" w14:paraId="79E5D349" w14:textId="131DE4A3">
      <w:pPr>
        <w:pStyle w:val="Normal"/>
        <w:jc w:val="left"/>
      </w:pPr>
      <w:r w:rsidRPr="00C0EA88" w:rsidR="4488D75F">
        <w:rPr>
          <w:b w:val="0"/>
          <w:bCs w:val="0"/>
          <w:i w:val="0"/>
          <w:iCs w:val="0"/>
          <w:sz w:val="24"/>
          <w:szCs w:val="24"/>
        </w:rPr>
        <w:t xml:space="preserve"> </w:t>
      </w:r>
      <w:r w:rsidRPr="00C0EA88" w:rsidR="4488D75F">
        <w:rPr>
          <w:b w:val="0"/>
          <w:bCs w:val="0"/>
          <w:i w:val="0"/>
          <w:iCs w:val="0"/>
          <w:sz w:val="24"/>
          <w:szCs w:val="24"/>
        </w:rPr>
        <w:t>It's</w:t>
      </w:r>
      <w:r w:rsidRPr="00C0EA88" w:rsidR="4488D75F">
        <w:rPr>
          <w:b w:val="0"/>
          <w:bCs w:val="0"/>
          <w:i w:val="0"/>
          <w:iCs w:val="0"/>
          <w:sz w:val="24"/>
          <w:szCs w:val="24"/>
        </w:rPr>
        <w:t xml:space="preserve"> worth noting that these arguments against reforming homicide laws </w:t>
      </w:r>
      <w:r w:rsidRPr="00C0EA88" w:rsidR="4488D75F">
        <w:rPr>
          <w:b w:val="0"/>
          <w:bCs w:val="0"/>
          <w:i w:val="0"/>
          <w:iCs w:val="0"/>
          <w:sz w:val="24"/>
          <w:szCs w:val="24"/>
        </w:rPr>
        <w:t>represent</w:t>
      </w:r>
      <w:r w:rsidRPr="00C0EA88" w:rsidR="4488D75F">
        <w:rPr>
          <w:b w:val="0"/>
          <w:bCs w:val="0"/>
          <w:i w:val="0"/>
          <w:iCs w:val="0"/>
          <w:sz w:val="24"/>
          <w:szCs w:val="24"/>
        </w:rPr>
        <w:t xml:space="preserve"> common viewpoints, but there are also arguments in favor of reform that promote considerations such as proportionality, individual circumstances, rehabilitation, and restorative justice. The debate surrounding homicide law reform involves a careful balance between protecting societal interests, ensuring justice, and addressing evolving societal values.</w:t>
      </w:r>
    </w:p>
    <w:p w:rsidR="1D7F8FF2" w:rsidP="00C0EA88" w:rsidRDefault="1D7F8FF2" w14:paraId="3E1654F3" w14:textId="02964E7A">
      <w:pPr>
        <w:pStyle w:val="Normal"/>
        <w:jc w:val="left"/>
        <w:rPr>
          <w:b w:val="0"/>
          <w:bCs w:val="0"/>
          <w:i w:val="0"/>
          <w:iCs w:val="0"/>
          <w:sz w:val="24"/>
          <w:szCs w:val="24"/>
        </w:rPr>
      </w:pPr>
      <w:r w:rsidRPr="00C0EA88" w:rsidR="1D7F8FF2">
        <w:rPr>
          <w:rFonts w:ascii="Arial Nova" w:hAnsi="Arial Nova" w:eastAsia="Arial Nova" w:cs="Arial Nova"/>
          <w:b w:val="1"/>
          <w:bCs w:val="1"/>
          <w:i w:val="1"/>
          <w:iCs w:val="1"/>
          <w:sz w:val="28"/>
          <w:szCs w:val="28"/>
        </w:rPr>
        <w:t>Bibliography</w:t>
      </w:r>
    </w:p>
    <w:p w:rsidR="5F145C25" w:rsidP="00C0EA88" w:rsidRDefault="5F145C25" w14:paraId="3F9EF858" w14:textId="4CF2B1C2">
      <w:pPr>
        <w:pStyle w:val="Normal"/>
        <w:rPr>
          <w:rFonts w:ascii="Calibri" w:hAnsi="Calibri" w:eastAsia="Calibri" w:cs="Calibri"/>
          <w:b w:val="0"/>
          <w:bCs w:val="0"/>
          <w:i w:val="0"/>
          <w:iCs w:val="0"/>
          <w:sz w:val="24"/>
          <w:szCs w:val="24"/>
        </w:rPr>
      </w:pPr>
      <w:r w:rsidR="5F145C25">
        <w:rPr/>
        <w:t xml:space="preserve">Frank R. Baumgartner, (2018), Deadly Justice: A Statistical </w:t>
      </w:r>
      <w:r w:rsidR="5F145C25">
        <w:rPr/>
        <w:t>Portait</w:t>
      </w:r>
      <w:r w:rsidR="5F145C25">
        <w:rPr/>
        <w:t xml:space="preserve"> of the Death Penalty”</w:t>
      </w:r>
      <w:r w:rsidR="5F145C25">
        <w:rPr/>
        <w:t xml:space="preserve"> </w:t>
      </w:r>
    </w:p>
    <w:p w:rsidR="5F145C25" w:rsidP="00C0EA88" w:rsidRDefault="5F145C25" w14:paraId="31EC4C3C" w14:textId="62A07D75">
      <w:pPr>
        <w:pStyle w:val="Normal"/>
        <w:jc w:val="left"/>
        <w:rPr>
          <w:rFonts w:ascii="Calibri" w:hAnsi="Calibri" w:eastAsia="Calibri" w:cs="Calibri"/>
          <w:b w:val="0"/>
          <w:bCs w:val="0"/>
          <w:i w:val="0"/>
          <w:iCs w:val="0"/>
          <w:sz w:val="24"/>
          <w:szCs w:val="24"/>
        </w:rPr>
      </w:pPr>
      <w:r w:rsidRPr="00C0EA88" w:rsidR="5F145C25">
        <w:rPr>
          <w:rFonts w:ascii="Calibri" w:hAnsi="Calibri" w:eastAsia="Calibri" w:cs="Calibri"/>
          <w:b w:val="0"/>
          <w:bCs w:val="0"/>
          <w:i w:val="0"/>
          <w:iCs w:val="0"/>
          <w:sz w:val="24"/>
          <w:szCs w:val="24"/>
        </w:rPr>
        <w:t>John M., (2019), 3</w:t>
      </w:r>
      <w:r w:rsidRPr="00C0EA88" w:rsidR="5F145C25">
        <w:rPr>
          <w:rFonts w:ascii="Calibri" w:hAnsi="Calibri" w:eastAsia="Calibri" w:cs="Calibri"/>
          <w:b w:val="0"/>
          <w:bCs w:val="0"/>
          <w:i w:val="0"/>
          <w:iCs w:val="0"/>
          <w:sz w:val="24"/>
          <w:szCs w:val="24"/>
          <w:vertAlign w:val="superscript"/>
        </w:rPr>
        <w:t>rd</w:t>
      </w:r>
      <w:r w:rsidRPr="00C0EA88" w:rsidR="5F145C25">
        <w:rPr>
          <w:rFonts w:ascii="Calibri" w:hAnsi="Calibri" w:eastAsia="Calibri" w:cs="Calibri"/>
          <w:b w:val="0"/>
          <w:bCs w:val="0"/>
          <w:i w:val="0"/>
          <w:iCs w:val="0"/>
          <w:sz w:val="24"/>
          <w:szCs w:val="24"/>
        </w:rPr>
        <w:t xml:space="preserve"> edition, Cengage Learning</w:t>
      </w:r>
      <w:r w:rsidRPr="00C0EA88" w:rsidR="5F145C25">
        <w:rPr>
          <w:rFonts w:ascii="Calibri" w:hAnsi="Calibri" w:eastAsia="Calibri" w:cs="Calibri"/>
          <w:b w:val="0"/>
          <w:bCs w:val="0"/>
          <w:i w:val="0"/>
          <w:iCs w:val="0"/>
          <w:sz w:val="24"/>
          <w:szCs w:val="24"/>
        </w:rPr>
        <w:t xml:space="preserve"> </w:t>
      </w:r>
    </w:p>
    <w:p w:rsidR="43AE0A40" w:rsidP="00C0EA88" w:rsidRDefault="43AE0A40" w14:paraId="26908811" w14:textId="5360A7F0">
      <w:pPr>
        <w:pStyle w:val="Normal"/>
        <w:jc w:val="left"/>
        <w:rPr>
          <w:rFonts w:ascii="Arial Nova" w:hAnsi="Arial Nova" w:eastAsia="Arial Nova" w:cs="Arial Nova"/>
          <w:b w:val="0"/>
          <w:bCs w:val="0"/>
          <w:i w:val="0"/>
          <w:iCs w:val="0"/>
          <w:sz w:val="22"/>
          <w:szCs w:val="22"/>
        </w:rPr>
      </w:pPr>
      <w:r w:rsidRPr="00C0EA88" w:rsidR="43AE0A40">
        <w:rPr>
          <w:rFonts w:ascii="Arial Nova" w:hAnsi="Arial Nova" w:eastAsia="Arial Nova" w:cs="Arial Nova"/>
          <w:b w:val="0"/>
          <w:bCs w:val="0"/>
          <w:i w:val="0"/>
          <w:iCs w:val="0"/>
          <w:sz w:val="22"/>
          <w:szCs w:val="22"/>
        </w:rPr>
        <w:t>Stuart Banner, (2016</w:t>
      </w:r>
      <w:r w:rsidRPr="00C0EA88" w:rsidR="2E675260">
        <w:rPr>
          <w:rFonts w:ascii="Arial Nova" w:hAnsi="Arial Nova" w:eastAsia="Arial Nova" w:cs="Arial Nova"/>
          <w:b w:val="0"/>
          <w:bCs w:val="0"/>
          <w:i w:val="0"/>
          <w:iCs w:val="0"/>
          <w:sz w:val="22"/>
          <w:szCs w:val="22"/>
        </w:rPr>
        <w:t>), The</w:t>
      </w:r>
      <w:r w:rsidRPr="00C0EA88" w:rsidR="1D7F8FF2">
        <w:rPr>
          <w:rFonts w:ascii="Arial Nova" w:hAnsi="Arial Nova" w:eastAsia="Arial Nova" w:cs="Arial Nova"/>
          <w:b w:val="0"/>
          <w:bCs w:val="0"/>
          <w:i w:val="0"/>
          <w:iCs w:val="0"/>
          <w:sz w:val="22"/>
          <w:szCs w:val="22"/>
        </w:rPr>
        <w:t xml:space="preserve"> Death Penalty: An American History"</w:t>
      </w:r>
      <w:r w:rsidRPr="00C0EA88" w:rsidR="1D7F8FF2">
        <w:rPr>
          <w:rFonts w:ascii="Arial Nova" w:hAnsi="Arial Nova" w:eastAsia="Arial Nova" w:cs="Arial Nova"/>
          <w:b w:val="0"/>
          <w:bCs w:val="0"/>
          <w:i w:val="0"/>
          <w:iCs w:val="0"/>
          <w:sz w:val="22"/>
          <w:szCs w:val="22"/>
        </w:rPr>
        <w:t xml:space="preserve"> Harvard University Press,</w:t>
      </w:r>
      <w:r w:rsidRPr="00C0EA88" w:rsidR="66A5A12D">
        <w:rPr>
          <w:rFonts w:ascii="Arial Nova" w:hAnsi="Arial Nova" w:eastAsia="Arial Nova" w:cs="Arial Nova"/>
          <w:b w:val="0"/>
          <w:bCs w:val="0"/>
          <w:i w:val="0"/>
          <w:iCs w:val="0"/>
          <w:sz w:val="22"/>
          <w:szCs w:val="22"/>
        </w:rPr>
        <w:t xml:space="preserve"> </w:t>
      </w:r>
      <w:r w:rsidRPr="00C0EA88" w:rsidR="1D7F8FF2">
        <w:rPr>
          <w:rFonts w:ascii="Arial Nova" w:hAnsi="Arial Nova" w:eastAsia="Arial Nova" w:cs="Arial Nova"/>
          <w:b w:val="0"/>
          <w:bCs w:val="0"/>
          <w:i w:val="0"/>
          <w:iCs w:val="0"/>
          <w:sz w:val="22"/>
          <w:szCs w:val="22"/>
        </w:rPr>
        <w:t>Chapter 3: "Homicide and the Death Penalty"</w:t>
      </w:r>
    </w:p>
    <w:p w:rsidR="3199A1F6" w:rsidP="00C0EA88" w:rsidRDefault="3199A1F6" w14:paraId="1C97F27D" w14:textId="5A26D0B2">
      <w:pPr>
        <w:spacing w:line="259" w:lineRule="auto"/>
        <w:jc w:val="left"/>
        <w:rPr>
          <w:rFonts w:ascii="Arial Nova" w:hAnsi="Arial Nova" w:eastAsia="Arial Nova" w:cs="Arial Nova"/>
          <w:b w:val="1"/>
          <w:bCs w:val="1"/>
          <w:i w:val="1"/>
          <w:iCs w:val="1"/>
          <w:noProof w:val="0"/>
          <w:sz w:val="28"/>
          <w:szCs w:val="28"/>
          <w:lang w:val="en-US"/>
        </w:rPr>
      </w:pPr>
      <w:r w:rsidRPr="00C0EA88" w:rsidR="3199A1F6">
        <w:rPr>
          <w:rFonts w:ascii="Arial Nova" w:hAnsi="Arial Nova" w:eastAsia="Arial Nova" w:cs="Arial Nova"/>
          <w:b w:val="1"/>
          <w:bCs w:val="1"/>
          <w:i w:val="1"/>
          <w:iCs w:val="1"/>
          <w:noProof w:val="0"/>
          <w:sz w:val="28"/>
          <w:szCs w:val="28"/>
          <w:lang w:val="en-US"/>
        </w:rPr>
        <w:t>Legislation</w:t>
      </w:r>
    </w:p>
    <w:p w:rsidR="3199A1F6" w:rsidP="00C0EA88" w:rsidRDefault="3199A1F6" w14:paraId="251C89E7" w14:textId="2509DE83">
      <w:pPr>
        <w:spacing w:line="257" w:lineRule="auto"/>
        <w:jc w:val="left"/>
      </w:pPr>
      <w:r w:rsidRPr="00C0EA88" w:rsidR="3199A1F6">
        <w:rPr>
          <w:rFonts w:ascii="Calibri" w:hAnsi="Calibri" w:eastAsia="Calibri" w:cs="Calibri"/>
          <w:noProof w:val="0"/>
          <w:sz w:val="24"/>
          <w:szCs w:val="24"/>
          <w:lang w:val="en-US"/>
        </w:rPr>
        <w:t>Coroners and Justice Act 2009</w:t>
      </w:r>
    </w:p>
    <w:p w:rsidR="3199A1F6" w:rsidP="00C0EA88" w:rsidRDefault="3199A1F6" w14:paraId="227CD21E" w14:textId="249A069B">
      <w:pPr>
        <w:spacing w:line="259" w:lineRule="auto"/>
        <w:jc w:val="left"/>
        <w:rPr>
          <w:rFonts w:ascii="Calibri" w:hAnsi="Calibri" w:eastAsia="Calibri" w:cs="Calibri"/>
          <w:noProof w:val="0"/>
          <w:sz w:val="24"/>
          <w:szCs w:val="24"/>
          <w:lang w:val="en-US"/>
        </w:rPr>
      </w:pPr>
      <w:r w:rsidRPr="00C0EA88" w:rsidR="3199A1F6">
        <w:rPr>
          <w:rFonts w:ascii="Calibri" w:hAnsi="Calibri" w:eastAsia="Calibri" w:cs="Calibri"/>
          <w:noProof w:val="0"/>
          <w:sz w:val="24"/>
          <w:szCs w:val="24"/>
          <w:lang w:val="en-US"/>
        </w:rPr>
        <w:t>Homicide Act 1957</w:t>
      </w:r>
    </w:p>
    <w:p w:rsidR="1752AAF3" w:rsidP="00C0EA88" w:rsidRDefault="1752AAF3" w14:paraId="60BC835D" w14:textId="2F48F731">
      <w:pPr>
        <w:pStyle w:val="Normal"/>
        <w:spacing w:line="257" w:lineRule="auto"/>
        <w:jc w:val="left"/>
        <w:rPr>
          <w:rFonts w:ascii="Calibri" w:hAnsi="Calibri" w:eastAsia="Calibri" w:cs="Calibri"/>
          <w:b w:val="1"/>
          <w:bCs w:val="1"/>
          <w:noProof w:val="0"/>
          <w:sz w:val="28"/>
          <w:szCs w:val="28"/>
          <w:lang w:val="en-US"/>
        </w:rPr>
      </w:pPr>
      <w:r w:rsidRPr="00C0EA88" w:rsidR="1752AAF3">
        <w:rPr>
          <w:rFonts w:ascii="Calibri" w:hAnsi="Calibri" w:eastAsia="Calibri" w:cs="Calibri"/>
          <w:b w:val="1"/>
          <w:bCs w:val="1"/>
          <w:noProof w:val="0"/>
          <w:sz w:val="28"/>
          <w:szCs w:val="28"/>
          <w:lang w:val="en-US"/>
        </w:rPr>
        <w:t>Websites:</w:t>
      </w:r>
    </w:p>
    <w:p w:rsidR="1752AAF3" w:rsidP="00C0EA88" w:rsidRDefault="1752AAF3" w14:paraId="6DD2C383" w14:textId="50F9EEC1">
      <w:pPr>
        <w:pStyle w:val="Normal"/>
        <w:spacing w:line="259" w:lineRule="auto"/>
        <w:jc w:val="left"/>
        <w:rPr>
          <w:rFonts w:ascii="Calibri" w:hAnsi="Calibri" w:eastAsia="Calibri" w:cs="Calibri"/>
          <w:b w:val="0"/>
          <w:bCs w:val="0"/>
          <w:noProof w:val="0"/>
          <w:sz w:val="24"/>
          <w:szCs w:val="24"/>
          <w:lang w:val="en-US"/>
        </w:rPr>
      </w:pPr>
      <w:r w:rsidRPr="00C0EA88" w:rsidR="1752AAF3">
        <w:rPr>
          <w:rFonts w:ascii="Calibri" w:hAnsi="Calibri" w:eastAsia="Calibri" w:cs="Calibri"/>
          <w:b w:val="0"/>
          <w:bCs w:val="0"/>
          <w:noProof w:val="0"/>
          <w:sz w:val="24"/>
          <w:szCs w:val="24"/>
          <w:lang w:val="en-US"/>
        </w:rPr>
        <w:t>"Bureau of Justice Statistics - Homicide"</w:t>
      </w:r>
    </w:p>
    <w:p w:rsidR="1752AAF3" w:rsidP="00C0EA88" w:rsidRDefault="1752AAF3" w14:paraId="62CB55F4" w14:textId="46D7A122">
      <w:pPr>
        <w:pStyle w:val="Normal"/>
        <w:spacing w:line="259" w:lineRule="auto"/>
        <w:jc w:val="left"/>
        <w:rPr>
          <w:rStyle w:val="Hyperlink"/>
          <w:rFonts w:ascii="Calibri" w:hAnsi="Calibri" w:eastAsia="Calibri" w:cs="Calibri"/>
          <w:b w:val="0"/>
          <w:bCs w:val="0"/>
          <w:noProof w:val="0"/>
          <w:color w:val="000000" w:themeColor="text1" w:themeTint="FF" w:themeShade="FF"/>
          <w:sz w:val="24"/>
          <w:szCs w:val="24"/>
          <w:lang w:val="en-US"/>
        </w:rPr>
      </w:pPr>
      <w:r w:rsidRPr="00C0EA88" w:rsidR="1752AAF3">
        <w:rPr>
          <w:rFonts w:ascii="Calibri" w:hAnsi="Calibri" w:eastAsia="Calibri" w:cs="Calibri"/>
          <w:b w:val="0"/>
          <w:bCs w:val="0"/>
          <w:noProof w:val="0"/>
          <w:color w:val="000000" w:themeColor="text1" w:themeTint="FF" w:themeShade="FF"/>
          <w:sz w:val="24"/>
          <w:szCs w:val="24"/>
          <w:lang w:val="en-US"/>
        </w:rPr>
        <w:t xml:space="preserve">    </w:t>
      </w:r>
      <w:hyperlink r:id="R301c22509e69429b">
        <w:r w:rsidRPr="00C0EA88" w:rsidR="1752AAF3">
          <w:rPr>
            <w:rStyle w:val="Hyperlink"/>
            <w:rFonts w:ascii="Calibri" w:hAnsi="Calibri" w:eastAsia="Calibri" w:cs="Calibri"/>
            <w:b w:val="0"/>
            <w:bCs w:val="0"/>
            <w:noProof w:val="0"/>
            <w:color w:val="000000" w:themeColor="text1" w:themeTint="FF" w:themeShade="FF"/>
            <w:sz w:val="24"/>
            <w:szCs w:val="24"/>
            <w:lang w:val="en-US"/>
          </w:rPr>
          <w:t>www.bjs.gov/index.cfm?ty=tp&amp;tid=31</w:t>
        </w:r>
      </w:hyperlink>
    </w:p>
    <w:p w:rsidR="1752AAF3" w:rsidP="00C0EA88" w:rsidRDefault="1752AAF3" w14:paraId="5E7C6CB8" w14:textId="2F698629">
      <w:pPr>
        <w:pStyle w:val="Normal"/>
        <w:spacing w:line="259" w:lineRule="auto"/>
        <w:jc w:val="left"/>
        <w:rPr>
          <w:rFonts w:ascii="Calibri" w:hAnsi="Calibri" w:eastAsia="Calibri" w:cs="Calibri"/>
          <w:b w:val="0"/>
          <w:bCs w:val="0"/>
          <w:noProof w:val="0"/>
          <w:sz w:val="24"/>
          <w:szCs w:val="24"/>
          <w:lang w:val="en-US"/>
        </w:rPr>
      </w:pPr>
      <w:r w:rsidRPr="00C0EA88" w:rsidR="1752AAF3">
        <w:rPr>
          <w:rFonts w:ascii="Calibri" w:hAnsi="Calibri" w:eastAsia="Calibri" w:cs="Calibri"/>
          <w:b w:val="0"/>
          <w:bCs w:val="0"/>
          <w:noProof w:val="0"/>
          <w:sz w:val="24"/>
          <w:szCs w:val="24"/>
          <w:lang w:val="en-US"/>
        </w:rPr>
        <w:t>"Innocence Project"</w:t>
      </w:r>
    </w:p>
    <w:p w:rsidR="1752AAF3" w:rsidP="00C0EA88" w:rsidRDefault="1752AAF3" w14:paraId="4830F08F" w14:textId="2EBF3E41">
      <w:pPr>
        <w:pStyle w:val="Normal"/>
        <w:spacing w:line="257" w:lineRule="auto"/>
        <w:jc w:val="left"/>
        <w:rPr>
          <w:rFonts w:ascii="Calibri" w:hAnsi="Calibri" w:eastAsia="Calibri" w:cs="Calibri"/>
          <w:b w:val="0"/>
          <w:bCs w:val="0"/>
          <w:noProof w:val="0"/>
          <w:sz w:val="24"/>
          <w:szCs w:val="24"/>
          <w:lang w:val="en-US"/>
        </w:rPr>
      </w:pPr>
      <w:r w:rsidRPr="00C0EA88" w:rsidR="1752AAF3">
        <w:rPr>
          <w:rFonts w:ascii="Calibri" w:hAnsi="Calibri" w:eastAsia="Calibri" w:cs="Calibri"/>
          <w:b w:val="0"/>
          <w:bCs w:val="0"/>
          <w:noProof w:val="0"/>
          <w:sz w:val="24"/>
          <w:szCs w:val="24"/>
          <w:lang w:val="en-US"/>
        </w:rPr>
        <w:t xml:space="preserve">   </w:t>
      </w:r>
      <w:hyperlink r:id="R3863d81e8d8242c1">
        <w:r w:rsidRPr="00C0EA88" w:rsidR="1752AAF3">
          <w:rPr>
            <w:rStyle w:val="Hyperlink"/>
            <w:rFonts w:ascii="Calibri" w:hAnsi="Calibri" w:eastAsia="Calibri" w:cs="Calibri"/>
            <w:b w:val="0"/>
            <w:bCs w:val="0"/>
            <w:noProof w:val="0"/>
            <w:sz w:val="24"/>
            <w:szCs w:val="24"/>
            <w:lang w:val="en-US"/>
          </w:rPr>
          <w:t>www.innocenceproject.org</w:t>
        </w:r>
      </w:hyperlink>
    </w:p>
    <w:p w:rsidR="1752AAF3" w:rsidP="00C0EA88" w:rsidRDefault="1752AAF3" w14:paraId="3AE1BEA3" w14:textId="711981EB">
      <w:pPr>
        <w:pStyle w:val="Normal"/>
        <w:spacing w:line="259" w:lineRule="auto"/>
        <w:jc w:val="left"/>
        <w:rPr>
          <w:rFonts w:ascii="Calibri" w:hAnsi="Calibri" w:eastAsia="Calibri" w:cs="Calibri"/>
          <w:b w:val="0"/>
          <w:bCs w:val="0"/>
          <w:noProof w:val="0"/>
          <w:sz w:val="24"/>
          <w:szCs w:val="24"/>
          <w:lang w:val="en-US"/>
        </w:rPr>
      </w:pPr>
      <w:r w:rsidRPr="00C0EA88" w:rsidR="1752AAF3">
        <w:rPr>
          <w:rFonts w:ascii="Calibri" w:hAnsi="Calibri" w:eastAsia="Calibri" w:cs="Calibri"/>
          <w:b w:val="0"/>
          <w:bCs w:val="0"/>
          <w:noProof w:val="0"/>
          <w:sz w:val="24"/>
          <w:szCs w:val="24"/>
          <w:lang w:val="en-US"/>
        </w:rPr>
        <w:t>The Sentencing Project - Homicide"</w:t>
      </w:r>
    </w:p>
    <w:p w:rsidR="1752AAF3" w:rsidP="00C0EA88" w:rsidRDefault="1752AAF3" w14:paraId="1E4D68F7" w14:textId="05DF2DD1">
      <w:pPr>
        <w:pStyle w:val="Normal"/>
        <w:spacing w:line="257" w:lineRule="auto"/>
        <w:jc w:val="left"/>
        <w:rPr>
          <w:rFonts w:ascii="Calibri" w:hAnsi="Calibri" w:eastAsia="Calibri" w:cs="Calibri"/>
          <w:b w:val="0"/>
          <w:bCs w:val="0"/>
          <w:noProof w:val="0"/>
          <w:sz w:val="24"/>
          <w:szCs w:val="24"/>
          <w:lang w:val="en-US"/>
        </w:rPr>
      </w:pPr>
      <w:r w:rsidRPr="00C0EA88" w:rsidR="1752AAF3">
        <w:rPr>
          <w:rFonts w:ascii="Calibri" w:hAnsi="Calibri" w:eastAsia="Calibri" w:cs="Calibri"/>
          <w:b w:val="0"/>
          <w:bCs w:val="0"/>
          <w:noProof w:val="0"/>
          <w:sz w:val="24"/>
          <w:szCs w:val="24"/>
          <w:lang w:val="en-US"/>
        </w:rPr>
        <w:t xml:space="preserve">   </w:t>
      </w:r>
      <w:r w:rsidRPr="00C0EA88" w:rsidR="1752AAF3">
        <w:rPr>
          <w:rFonts w:ascii="Calibri" w:hAnsi="Calibri" w:eastAsia="Calibri" w:cs="Calibri"/>
          <w:b w:val="0"/>
          <w:bCs w:val="0"/>
          <w:noProof w:val="0"/>
          <w:sz w:val="24"/>
          <w:szCs w:val="24"/>
          <w:lang w:val="en-US"/>
        </w:rPr>
        <w:t>www.sentencingproject.org/issues/homicide</w:t>
      </w:r>
    </w:p>
    <w:p w:rsidR="00C0EA88" w:rsidP="00C0EA88" w:rsidRDefault="00C0EA88" w14:paraId="4A253F9A" w14:textId="351F8C1C">
      <w:pPr>
        <w:pStyle w:val="Normal"/>
        <w:spacing w:line="257" w:lineRule="auto"/>
        <w:jc w:val="left"/>
        <w:rPr>
          <w:rFonts w:ascii="Calibri" w:hAnsi="Calibri" w:eastAsia="Calibri" w:cs="Calibri"/>
          <w:b w:val="0"/>
          <w:bCs w:val="0"/>
          <w:noProof w:val="0"/>
          <w:sz w:val="24"/>
          <w:szCs w:val="24"/>
          <w:lang w:val="en-US"/>
        </w:rPr>
      </w:pPr>
    </w:p>
    <w:p w:rsidR="00C0EA88" w:rsidP="00C0EA88" w:rsidRDefault="00C0EA88" w14:paraId="594093ED" w14:textId="498C07E5">
      <w:pPr>
        <w:pStyle w:val="Normal"/>
        <w:spacing w:line="257" w:lineRule="auto"/>
        <w:jc w:val="left"/>
        <w:rPr>
          <w:rFonts w:ascii="Calibri" w:hAnsi="Calibri" w:eastAsia="Calibri" w:cs="Calibri"/>
          <w:b w:val="0"/>
          <w:bCs w:val="0"/>
          <w:noProof w:val="0"/>
          <w:sz w:val="24"/>
          <w:szCs w:val="24"/>
          <w:lang w:val="en-US"/>
        </w:rPr>
      </w:pPr>
    </w:p>
    <w:p w:rsidR="00C0EA88" w:rsidP="00C0EA88" w:rsidRDefault="00C0EA88" w14:paraId="3E1254C2" w14:textId="6ED4959C">
      <w:pPr>
        <w:pStyle w:val="Normal"/>
        <w:jc w:val="left"/>
        <w:rPr>
          <w:rFonts w:ascii="Arial Nova" w:hAnsi="Arial Nova" w:eastAsia="Arial Nova" w:cs="Arial Nova"/>
          <w:b w:val="0"/>
          <w:bCs w:val="0"/>
          <w:i w:val="0"/>
          <w:iCs w:val="0"/>
          <w:sz w:val="22"/>
          <w:szCs w:val="22"/>
        </w:rPr>
      </w:pPr>
    </w:p>
    <w:p w:rsidR="00C0EA88" w:rsidP="00C0EA88" w:rsidRDefault="00C0EA88" w14:paraId="32DDD080" w14:textId="284A48D4">
      <w:pPr>
        <w:pStyle w:val="Normal"/>
        <w:jc w:val="left"/>
        <w:rPr>
          <w:b w:val="0"/>
          <w:bCs w:val="0"/>
          <w:i w:val="0"/>
          <w:iCs w:val="0"/>
          <w:sz w:val="24"/>
          <w:szCs w:val="24"/>
        </w:rPr>
      </w:pPr>
    </w:p>
    <w:p w:rsidR="00C0EA88" w:rsidP="00C0EA88" w:rsidRDefault="00C0EA88" w14:paraId="7AEEA285" w14:textId="13848AD8">
      <w:pPr>
        <w:pStyle w:val="Normal"/>
        <w:jc w:val="left"/>
        <w:rPr>
          <w:b w:val="0"/>
          <w:bCs w:val="0"/>
          <w:i w:val="0"/>
          <w:i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A7909B"/>
    <w:rsid w:val="00C0EA88"/>
    <w:rsid w:val="0278D22B"/>
    <w:rsid w:val="048C2A1E"/>
    <w:rsid w:val="0BBA1D51"/>
    <w:rsid w:val="0C6CE6ED"/>
    <w:rsid w:val="0DC01B32"/>
    <w:rsid w:val="0E05E8A6"/>
    <w:rsid w:val="0F3F6BD6"/>
    <w:rsid w:val="113D8968"/>
    <w:rsid w:val="12770C98"/>
    <w:rsid w:val="13D0C2C7"/>
    <w:rsid w:val="14F56FAD"/>
    <w:rsid w:val="16A7909B"/>
    <w:rsid w:val="1752AAF3"/>
    <w:rsid w:val="176B601D"/>
    <w:rsid w:val="1BB5217B"/>
    <w:rsid w:val="1CE18D21"/>
    <w:rsid w:val="1D7F8FF2"/>
    <w:rsid w:val="1E689C78"/>
    <w:rsid w:val="2512DDF2"/>
    <w:rsid w:val="2550DC98"/>
    <w:rsid w:val="2E05D4C8"/>
    <w:rsid w:val="2E675260"/>
    <w:rsid w:val="2E6DA899"/>
    <w:rsid w:val="3098259F"/>
    <w:rsid w:val="3199A1F6"/>
    <w:rsid w:val="35121001"/>
    <w:rsid w:val="36ADE062"/>
    <w:rsid w:val="371A77FE"/>
    <w:rsid w:val="37DD1927"/>
    <w:rsid w:val="39F51DCC"/>
    <w:rsid w:val="3A576AFD"/>
    <w:rsid w:val="3AFEEB8B"/>
    <w:rsid w:val="3D8F0BBF"/>
    <w:rsid w:val="42627CE2"/>
    <w:rsid w:val="43AE0A40"/>
    <w:rsid w:val="4488D75F"/>
    <w:rsid w:val="4C851124"/>
    <w:rsid w:val="4F489266"/>
    <w:rsid w:val="5870CD58"/>
    <w:rsid w:val="5E80C19B"/>
    <w:rsid w:val="5F145C25"/>
    <w:rsid w:val="5FB648BC"/>
    <w:rsid w:val="622EDFBD"/>
    <w:rsid w:val="633AFFC9"/>
    <w:rsid w:val="66258A40"/>
    <w:rsid w:val="6637037B"/>
    <w:rsid w:val="6672A08B"/>
    <w:rsid w:val="66A5A12D"/>
    <w:rsid w:val="67663C40"/>
    <w:rsid w:val="67D2D3DC"/>
    <w:rsid w:val="6A880EA4"/>
    <w:rsid w:val="6BC67F6A"/>
    <w:rsid w:val="71D673AD"/>
    <w:rsid w:val="76515B3C"/>
    <w:rsid w:val="77DF6BF1"/>
    <w:rsid w:val="7859D6D1"/>
    <w:rsid w:val="79C8529D"/>
    <w:rsid w:val="7ADE9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7909B"/>
  <w15:chartTrackingRefBased/>
  <w15:docId w15:val="{6A9E93CB-B6AB-440C-8013-7105FAAA87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bjs.gov/index.cfm?ty=tp&amp;tid=31" TargetMode="External" Id="R301c22509e69429b" /><Relationship Type="http://schemas.openxmlformats.org/officeDocument/2006/relationships/hyperlink" Target="http://www.innocenceproject.org" TargetMode="External" Id="R3863d81e8d8242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2023-07-07T20:21:02.6403205Z</dcterms:created>
  <dcterms:modified xsi:type="dcterms:W3CDTF">2023-07-07T21:21:29.4564246Z</dcterms:modified>
  <dc:creator>Andrei Coman (2244459)</dc:creator>
  <lastModifiedBy>Andrei Coman (2244459)</lastModifiedBy>
</coreProperties>
</file>