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4483100" cy="18796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483100" cy="18796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rPr>
      </w:pPr>
      <w:r w:rsidDel="00000000" w:rsidR="00000000" w:rsidRPr="00000000">
        <w:rPr>
          <w:b w:val="1"/>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Lecturer Name: Faizu Edu</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Student Name: Varzari Cristina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Student ID: 211095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Module code : LCBB4002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48"/>
          <w:szCs w:val="48"/>
          <w:rtl w:val="0"/>
        </w:rPr>
        <w:t xml:space="preserve">Module Title: Community Engagement</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Difference between two projects</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Impactful Consultation</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Effective Communication</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Involvement of Stakeholders</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Incorporation of Future Perspective</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 of Project</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Community Mapping</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Engagement of community</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Explication of activities</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Theoretical estimation</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Quality Practices</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spacing w:line="360" w:lineRule="auto"/>
        <w:jc w:val="both"/>
        <w:rPr>
          <w:rFonts w:ascii="Times New Roman" w:cs="Times New Roman" w:eastAsia="Times New Roman" w:hAnsi="Times New Roman"/>
          <w:b w:val="1"/>
          <w:sz w:val="24"/>
          <w:szCs w:val="24"/>
        </w:rPr>
      </w:pPr>
      <w:bookmarkStart w:colFirst="0" w:colLast="0" w:name="_heading=h.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r w:rsidDel="00000000" w:rsidR="00000000" w:rsidRPr="00000000">
        <w:rPr>
          <w:rtl w:val="0"/>
        </w:rPr>
        <w:t xml:space="preserve">Introduction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concept of community engagement is derived from collaborative working in a certain geographic proximity. With faith and trust among each other in a group along with a common and noble perspective, the beginning of community engagement takes place. In simple words, community engagement includes a large number of people together under the roof of the same organisation with a common goal of serving people for social and economic upliftment (Ramsbottom et al., 2018). It can be in many forms such as creating awareness about different diseases, bringing specially-abled people into the mainstream of society, awareness camps on diabetes and many others. In the background of community engagement, two events are chosen for the eventual discussion and analysis. The first one is on the patients of Alzheimer's and the second one is on women empowerment and education. The Alzheimer's Society formed this event in the pattern of conferences in Northern Ireland. The motive of this event was to understand the future of Alzheimer's and dementia patients. For making a better tomorrow for them this conference was arranged with the support of speakers from different backgrounds. On the other hand, a programme on women empowerment and education was held in December 2021 with a newly formed charitable organisation (Firestone et al., 2018). This organisation has been working for the last 3 years on women empowerment in the UK though they are mainly looking for the upliftment of women's society across the world. In this report, the discussion will take place in a comparison of both the projects in different segments to understand both the events in detail.</w:t>
      </w:r>
    </w:p>
    <w:p w:rsidR="00000000" w:rsidDel="00000000" w:rsidP="00000000" w:rsidRDefault="00000000" w:rsidRPr="00000000" w14:paraId="0000001D">
      <w:pPr>
        <w:pStyle w:val="Heading1"/>
        <w:rPr/>
      </w:pPr>
      <w:bookmarkStart w:colFirst="0" w:colLast="0" w:name="_heading=h.30j0zll" w:id="1"/>
      <w:bookmarkEnd w:id="1"/>
      <w:r w:rsidDel="00000000" w:rsidR="00000000" w:rsidRPr="00000000">
        <w:rPr>
          <w:rtl w:val="0"/>
        </w:rPr>
        <w:t xml:space="preserve">Discussion </w:t>
      </w:r>
    </w:p>
    <w:p w:rsidR="00000000" w:rsidDel="00000000" w:rsidP="00000000" w:rsidRDefault="00000000" w:rsidRPr="00000000" w14:paraId="0000001E">
      <w:pPr>
        <w:pStyle w:val="Heading2"/>
        <w:rPr/>
      </w:pPr>
      <w:bookmarkStart w:colFirst="0" w:colLast="0" w:name="_heading=h.1fob9te" w:id="2"/>
      <w:bookmarkEnd w:id="2"/>
      <w:r w:rsidDel="00000000" w:rsidR="00000000" w:rsidRPr="00000000">
        <w:rPr>
          <w:rtl w:val="0"/>
        </w:rPr>
        <w:t xml:space="preserve">Difference between two projects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discussion about the two projects will take place based on one project from assessment 1 and the other project has a direct entry in this assessment 2. The first project was conducted on patients with Alzheimer's. Alzheimer’s Society is one of the renowned and leading charity organisations that work in favour of dementia and Alzheimer's patients. The organisation has Corley researched that it is one of the biggest killers of UK residents and can be developed by an individual within three minutes (Rodríguez‐Gómez et al., 2019). Therefore, the organisation explored a conference in Northern Ireland to discuss the upcoming future of such patients with the local communities. On the other hand, programmes on women empowerment and education were held in Greater London to pursue the message of the essentiality of education and empowerment within the women's community. As per the survey of the organisation, it has been found that many dependent women in the UK are the victims of domestic violence. The charitable organisation works for them to give a sustainable platform to those women. </w:t>
      </w:r>
    </w:p>
    <w:p w:rsidR="00000000" w:rsidDel="00000000" w:rsidP="00000000" w:rsidRDefault="00000000" w:rsidRPr="00000000" w14:paraId="00000020">
      <w:pPr>
        <w:pStyle w:val="Heading2"/>
        <w:rPr/>
      </w:pPr>
      <w:bookmarkStart w:colFirst="0" w:colLast="0" w:name="_heading=h.3znysh7" w:id="3"/>
      <w:bookmarkEnd w:id="3"/>
      <w:r w:rsidDel="00000000" w:rsidR="00000000" w:rsidRPr="00000000">
        <w:rPr>
          <w:rtl w:val="0"/>
        </w:rPr>
        <w:t xml:space="preserve">Impactful Consultation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phase of impactful consultation, focus on the rules and principles of the programme will be given. In the programme by Alzheimer’s society, one conference was arranged in Northern Ireland to communicate with the people with all sorts of necessary data related to sufferers of Dementia and Alzheimer's. The backdrop of arranging such a program was the survey on Dementia as a cause of death. It was found that one-third covid the patients in Northern Ireland and Scotland died because they had dementia from a previous age. Therefore to give a better shape of their future, a conference was arranged. Similarly, nearly 8% of women are victims of domestic violence in the UK (Cislaghi et al., 2019). During covid, cases have rapidly increased because men were all at home throughout the day and they were frustrated with the financial crunch. Therefore the volume of domestic violence became excessively high. To protect women, the new charitable organisation has arranged the women empowerment program. </w:t>
      </w:r>
    </w:p>
    <w:p w:rsidR="00000000" w:rsidDel="00000000" w:rsidP="00000000" w:rsidRDefault="00000000" w:rsidRPr="00000000" w14:paraId="00000022">
      <w:pPr>
        <w:pStyle w:val="Heading2"/>
        <w:rPr/>
      </w:pPr>
      <w:bookmarkStart w:colFirst="0" w:colLast="0" w:name="_heading=h.2et92p0" w:id="4"/>
      <w:bookmarkEnd w:id="4"/>
      <w:r w:rsidDel="00000000" w:rsidR="00000000" w:rsidRPr="00000000">
        <w:rPr>
          <w:rtl w:val="0"/>
        </w:rPr>
        <w:t xml:space="preserve">Effective Communication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Without communication, community engagement does not find its way to flow. Involving people in prestigious and noble social work is only possible when powerful communication is expanded from ground Zero level to the top ministry level. The Alzheimer’s Society involved people from different backgrounds to share their views on Alzheimer's and Dementia patients' future. The health minister, Social Care Commissioning Lead, Planners from the health department, researchers and country director of the Alzheimer’s Society were present at the conference along with professors from different universities (Li et al., 2019). The listeners of the conference were part of the ground zero society level. Similarly, the new charitable organisation arranges the programme in the support of the violated women and communicated to people through social media. The Family Welfare department of the UK Government, many protagonists, famous authors and socio-economic researchers were invited to participate in this programme. Mass people were communicated about social engagement by spreading advertisements all over the city. </w:t>
      </w:r>
    </w:p>
    <w:p w:rsidR="00000000" w:rsidDel="00000000" w:rsidP="00000000" w:rsidRDefault="00000000" w:rsidRPr="00000000" w14:paraId="00000024">
      <w:pPr>
        <w:pStyle w:val="Heading2"/>
        <w:rPr/>
      </w:pPr>
      <w:bookmarkStart w:colFirst="0" w:colLast="0" w:name="_heading=h.tyjcwt" w:id="5"/>
      <w:bookmarkEnd w:id="5"/>
      <w:r w:rsidDel="00000000" w:rsidR="00000000" w:rsidRPr="00000000">
        <w:rPr>
          <w:rtl w:val="0"/>
        </w:rPr>
        <w:t xml:space="preserve">Involvement of Stakeholders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Stakeholders are a very important part of any social assignment. The Alzheimer’s society maintains a sustainable relationship with its high profile stakeholders. Being a charitable organisation, the Alzheimer's society has included many Government officials in its stakeholder panel. Professors from different universities who deliver speeches regularly in different conferences arranged by the organisation are also being considered the stakeholders. The visitors on their websites and donors are also counted as one of the prime stakeholders by the Alzheimer’s society. Along with this the people of the larger community, patients and their family members are also given the respective position of stakeholders in this organisation. At the same time, the new organisation is also focused on the maintenance of good and professional relationships with its stakeholders (Haldane et al., 2019). Sponsors and donors are considered in the first position on their stakeholders’ list. Those noble workers of the organisation who are working hard and soul for women's empowerment and education, also hold the prestigious position of stakeholders in this organisation. Stakeholders participate in all the forms such as financially and physically to complete the organisation while a programme is arranged. </w:t>
      </w:r>
    </w:p>
    <w:p w:rsidR="00000000" w:rsidDel="00000000" w:rsidP="00000000" w:rsidRDefault="00000000" w:rsidRPr="00000000" w14:paraId="00000026">
      <w:pPr>
        <w:pStyle w:val="Heading2"/>
        <w:rPr/>
      </w:pPr>
      <w:bookmarkStart w:colFirst="0" w:colLast="0" w:name="_heading=h.3dy6vkm" w:id="6"/>
      <w:bookmarkEnd w:id="6"/>
      <w:r w:rsidDel="00000000" w:rsidR="00000000" w:rsidRPr="00000000">
        <w:rPr>
          <w:rtl w:val="0"/>
        </w:rPr>
        <w:t xml:space="preserve">Incorporation of Future Perspective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Alzheimer's society is found to be an efficient organisation with a mission of various assignments in future. They have a constructive plan to secure the patients and their family members from any legal aspect. They are working together to find a suitable solution for Alzheimer's patients in property claiming, and wealth distribution in a legal way. They are also working to build a care team that will be solely involved to take care of the patients at the home or hospital. Similarly, the newly formed organisation also has lots of future projects in hand. They want to start an education campaign for women and children where they will create awareness amongst the women regarding the necessity of studies and economic independence (DeMatthews, 2018). The organisation is also trying to connect with several eminent persons in support of women empowerment and education which will help them further to create brand value faster. </w:t>
      </w:r>
    </w:p>
    <w:p w:rsidR="00000000" w:rsidDel="00000000" w:rsidP="00000000" w:rsidRDefault="00000000" w:rsidRPr="00000000" w14:paraId="00000028">
      <w:pPr>
        <w:pStyle w:val="Heading1"/>
        <w:rPr/>
      </w:pPr>
      <w:bookmarkStart w:colFirst="0" w:colLast="0" w:name="_heading=h.1t3h5sf" w:id="7"/>
      <w:bookmarkEnd w:id="7"/>
      <w:r w:rsidDel="00000000" w:rsidR="00000000" w:rsidRPr="00000000">
        <w:rPr>
          <w:rtl w:val="0"/>
        </w:rPr>
        <w:t xml:space="preserve">Analysis of Project</w:t>
      </w:r>
    </w:p>
    <w:p w:rsidR="00000000" w:rsidDel="00000000" w:rsidP="00000000" w:rsidRDefault="00000000" w:rsidRPr="00000000" w14:paraId="00000029">
      <w:pPr>
        <w:pStyle w:val="Heading2"/>
        <w:rPr/>
      </w:pPr>
      <w:bookmarkStart w:colFirst="0" w:colLast="0" w:name="_heading=h.4d34og8" w:id="8"/>
      <w:bookmarkEnd w:id="8"/>
      <w:r w:rsidDel="00000000" w:rsidR="00000000" w:rsidRPr="00000000">
        <w:rPr>
          <w:rtl w:val="0"/>
        </w:rPr>
        <w:t xml:space="preserve">Community Mapping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an essential execution \ that is performed by the organisation before launching any project. In the case of Alzheimer’s society, they have done a thorough survey of the patients with Dementia and Alzheimers. It has been from the survey that 51% of the covid 19 patients faced death challenges because of suffering from dementia. At the same time, the survey has also brought a threatening figure of mental depression patients in the UK which may create a procession of dementia and Alzheimer's patients (Boada et al., 2018). Therefore, the organisation has thought deeply about launching the conference for social awareness. Similarly, the new charity organisation has also done a door to door survey to figure out the status of women in respect of their family members and friends. The organisation also expanded the survey to collect reviews from the local police stations, and socio-economic researchers and found that 7.9% of women are sufferers of domestic violence. Accordingly, they arranged such community engagement for societal development. </w:t>
      </w:r>
    </w:p>
    <w:p w:rsidR="00000000" w:rsidDel="00000000" w:rsidP="00000000" w:rsidRDefault="00000000" w:rsidRPr="00000000" w14:paraId="0000002B">
      <w:pPr>
        <w:pStyle w:val="Heading2"/>
        <w:rPr/>
      </w:pPr>
      <w:bookmarkStart w:colFirst="0" w:colLast="0" w:name="_heading=h.2s8eyo1" w:id="9"/>
      <w:bookmarkEnd w:id="9"/>
      <w:r w:rsidDel="00000000" w:rsidR="00000000" w:rsidRPr="00000000">
        <w:rPr>
          <w:rtl w:val="0"/>
        </w:rPr>
        <w:t xml:space="preserve">Engagement of community</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digital age, community engagement on a social level has become easier to reciprocate. Active participation from the different levels of society enriches the platform of community engagement. The programme launched by Alzheimer’s society has focused on social media promotions to make people aware of their conference. Choosing social media as the main point of contact is because of all the levels of people that can be connected on this platform (Questa et al., 2020). On the other hand, the brand new organisation has connected a maximum of the people with an on-street campaign and procession in favour of supporting women's empowerment and highlighting education. They have also taken the help of social media for communicating with people across the world to make others understand that the financial independence of women has got a new strength. </w:t>
      </w:r>
    </w:p>
    <w:p w:rsidR="00000000" w:rsidDel="00000000" w:rsidP="00000000" w:rsidRDefault="00000000" w:rsidRPr="00000000" w14:paraId="0000002D">
      <w:pPr>
        <w:pStyle w:val="Heading2"/>
        <w:rPr/>
      </w:pPr>
      <w:bookmarkStart w:colFirst="0" w:colLast="0" w:name="_heading=h.17dp8vu" w:id="10"/>
      <w:bookmarkEnd w:id="10"/>
      <w:r w:rsidDel="00000000" w:rsidR="00000000" w:rsidRPr="00000000">
        <w:rPr>
          <w:rtl w:val="0"/>
        </w:rPr>
        <w:t xml:space="preserve">Explication of activities</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phase, a critical evaluation of the performance will be justified. This evaluation is performed by the local communities. The conference arranged by Alzheimer’s society is widely accepted not only by the health ministry or the professors but also by the general public. They have understood the scariness of Dementia and Alzheimers through this conference. Therefore, suggestive remedies have been taken in the pipeline. Similarly, the community engagement programme on women empowerment has been equally granted by the people, especially socio-economic revolutionists, home ministry, family welfare ministry and of course, the entire women section of the society. Acceptance of the programme by the general public determines the success of the campaign which is sustained in both cases. Employees too have happily participated in this activity to give it a platform of grand success (Budig et al., 2018). Overall, the new organisation has promised to come up with a new campaign as early as possible.</w:t>
      </w:r>
    </w:p>
    <w:p w:rsidR="00000000" w:rsidDel="00000000" w:rsidP="00000000" w:rsidRDefault="00000000" w:rsidRPr="00000000" w14:paraId="0000002F">
      <w:pPr>
        <w:pStyle w:val="Heading2"/>
        <w:rPr/>
      </w:pPr>
      <w:bookmarkStart w:colFirst="0" w:colLast="0" w:name="_heading=h.3rdcrjn" w:id="11"/>
      <w:bookmarkEnd w:id="11"/>
      <w:r w:rsidDel="00000000" w:rsidR="00000000" w:rsidRPr="00000000">
        <w:rPr>
          <w:rtl w:val="0"/>
        </w:rPr>
        <w:t xml:space="preserve">Theoretical estimation</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a theoretical estimation of any project takes place, the organisation needs to understand the mentality of the local community in respect of their participation. Many times it has been seen that the local communities do not accept any external involvement in their compound in a good way. Hence, a thorough survey is essential to be performed at the beginning of the noble project. The Alzheimer’s society continues the survey for a few months to understand the pulse of the local community and also to get accurate figures for the patients (Striley et al., 2019). To get it accepted, by the local territory, they have involved the government diplomats which will create the authenticity of the programme and the people will feel safe and secure. Similarly, the same rule has been followed by the new age organisation. After going through the surveys in different forms and sources, the charity house has taken the feedback at first from the victim or non-victim women to find out if they are looking for any such platform to express their views (Liebenberg, 2018). Based on those theories, the organisation stepped ahead to form this campaign and led it towards success. </w:t>
      </w:r>
    </w:p>
    <w:p w:rsidR="00000000" w:rsidDel="00000000" w:rsidP="00000000" w:rsidRDefault="00000000" w:rsidRPr="00000000" w14:paraId="00000031">
      <w:pPr>
        <w:pStyle w:val="Heading2"/>
        <w:rPr/>
      </w:pPr>
      <w:bookmarkStart w:colFirst="0" w:colLast="0" w:name="_heading=h.26in1rg" w:id="12"/>
      <w:bookmarkEnd w:id="12"/>
      <w:r w:rsidDel="00000000" w:rsidR="00000000" w:rsidRPr="00000000">
        <w:rPr>
          <w:rtl w:val="0"/>
        </w:rPr>
        <w:t xml:space="preserve">Quality Practices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To shape the programme, ethically and professionally, some quality practices are needed to be duly involved in it. Below are the such mentioned components:</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Efficiency in communication:</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Meaningful communication leads the projecting the right track. No matter how big or small the programme is, without inserting efficiency in communication, the project cannot be successful (David-Chavez et al., 2018). Therefore, to reciprocate all the information and messages to the larger platform, communication is highly needed.</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Transparency in work format:</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The audiences keep trust and faith in the organisations of social activities when they find transparency in their work module (Wong et al., 2018). The clarity in the different stages of work enhances confidence not only among the workers but also convinces the mass of people to take part in the program. </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Branding:</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In the age of digitalisation, branding is needed for everything. Therefore, social activists may apply the endorsement rule of their projects keeping famous personalities in front whose face value will add extra mileage to the programme. </w:t>
      </w:r>
      <w:r w:rsidDel="00000000" w:rsidR="00000000" w:rsidRPr="00000000">
        <w:rPr>
          <w:rtl w:val="0"/>
        </w:rPr>
      </w:r>
    </w:p>
    <w:p w:rsidR="00000000" w:rsidDel="00000000" w:rsidP="00000000" w:rsidRDefault="00000000" w:rsidRPr="00000000" w14:paraId="00000036">
      <w:pPr>
        <w:pStyle w:val="Heading1"/>
        <w:rPr/>
      </w:pPr>
      <w:bookmarkStart w:colFirst="0" w:colLast="0" w:name="_heading=h.lnxbz9" w:id="13"/>
      <w:bookmarkEnd w:id="13"/>
      <w:r w:rsidDel="00000000" w:rsidR="00000000" w:rsidRPr="00000000">
        <w:rPr>
          <w:rtl w:val="0"/>
        </w:rPr>
        <w:t xml:space="preserve">Conclusion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Lastly, in conclusion, it is to be mentioned that community engagement is an essential and powerful strategy for social development as well as eradicating the integral issues within the society and keeping a sustained environment for financial, social and individual development. An enormous number of organisations are following community engagement. For instance, the case of Alzheimer’s society and the other newly formed organisation has been texted. In support of community engagement, several theories are generated. Therefore, from the aforesaid report, it has been justified that without community engagement programmes, socio-economic development remains impossible to reach.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rPr/>
      </w:pPr>
      <w:bookmarkStart w:colFirst="0" w:colLast="0" w:name="_heading=h.35nkun2" w:id="14"/>
      <w:bookmarkEnd w:id="14"/>
      <w:r w:rsidDel="00000000" w:rsidR="00000000" w:rsidRPr="00000000">
        <w:rPr>
          <w:rtl w:val="0"/>
        </w:rPr>
        <w:t xml:space="preserve">References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Boada, M., Santos-Santos, M.A., Rodríguez-Gómez, O., Alegret, M., Cañabate, P., Lafuente, A., Abdelnour, C., Buendía, M., de Dios, M.J., Morera, A. and Sanabria, Á., 2018. Patient engagement: the Fundació ACE framework for improving recruitment and retention in Alzheimer’s disease research. Journal of Alzheimer's Disease, 62(3), pp.1079-1090. Available at: </w:t>
      </w:r>
      <w:hyperlink r:id="rId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https://content.iospress.com/articles/journal-of-alzheimers-disease/jad170866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Budig, K., Diez, J., Conde, P., Sastre, M., Hernán, M. and Franco, M., 2018. Photovoice and empowerment: evaluating the transformative potential of a participatory action research project. BMC public health, 18(1), pp.1-9. Available at: </w:t>
      </w:r>
      <w:hyperlink r:id="rId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https://bmcpublichealth.biomedcentral.com/articles/10.1186/s12889-018-5335-7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Cislaghi, B., Denny, E.K., Cissé, M., Gueye, P., Shrestha, B., Shrestha, P.N., Ferguson, G., Hughes, C. and Clark, C.J., 2019. Changing social norms: the importance of “organized diffusion” for scaling up community health promotion and women empowerment interventions. Prevention Science, 20(6), pp.936-946. Available at: </w:t>
      </w:r>
      <w:hyperlink r:id="rId1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https://link.springer.com/article/10.1007/s11121-019-00998-3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David-Chavez, D.M. and Gavin, M.C., 2018. A global assessment of Indigenous community engagement in climate research. Environmental Research Letters, 13(12), p.123005. Available at: </w:t>
      </w:r>
      <w:hyperlink r:id="rId1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https://iopscience.iop.org/article/10.1088/1748-9326/aaf300/meta</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DeMatthews, D., 2018. School Leadership, Social Capital, and Community Engagement: A Case Study of an Elementary School in Ciudad Juárez, Mexico. School Community Journal, 28(1), pp.167-194. Available at: </w:t>
      </w:r>
      <w:hyperlink r:id="rId1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https://files.eric.ed.gov/fulltext/EJ1184928.pdf</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Firestone, J., Hoen, B., Rand, J., Elliott, D., Hübner, G. and Pohl, J., 2018. Reconsidering barriers to wind power projects: community engagement, developer transparency and place. Journal of environmental policy &amp; planning, 20(3), pp.370-386. Available at: </w:t>
      </w:r>
      <w:hyperlink r:id="rId1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https://www.tandfonline.com/doi/pdf/10.1080/1523908X.2017.1418656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Haldane, V., Chuah, F.L., Srivastava, A., Singh, S.R., Koh, G.C., Seng, C.K. and Legido-Quigley, H., 2019. Community participation in health services development, implementation, and evaluation: A systematic review of empowerment, health, community, and process outcomes. PloS one, 14(5), p.e0216112. Available at: </w:t>
      </w:r>
      <w:hyperlink r:id="rId1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https://journals.plos.org/plosone/article?id=10.1371/journal.pone.0216112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 J., Wang, Z., Lian, Z., Zhu, Z. and Liu, Y., 2019. Social networks, community engagement, and cognitive impairment among community-dwelling Chinese older adults. Dementia and Geriatric Cognitive Disorders Extra, 9(3), pp.330-337. Available at: </w:t>
      </w:r>
      <w:hyperlink r:id="rId1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https://www.karger.com/Article/FullText/502090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Liebenberg, L., 2018. Thinking critically about photovoice: Achieving empowerment and social change. International Journal of Qualitative Methods, 17(1), p.1609406918757631. Available at: </w:t>
      </w:r>
      <w:hyperlink r:id="rId1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https://journals.sagepub.com/doi/pdf/10.1177/1609406918757631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Questa, K., Das, M., King, R., Everitt, M., Rassi, C., Cartwright, C., Ferdous, T., Barua, D., Putnis, N., Snell, A.C. and Huque, R., 2020. Community engagement interventions for communicable disease control in low-and lower-middle-income countries: evidence from a review of systematic reviews. International journal for equity in health, 19(1), pp.1-20. Available at: </w:t>
      </w:r>
      <w:hyperlink r:id="rId1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https://link.springer.com/article/10.1186/s12939-020-01169-5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Ramsbottom, A., O’Brien, E., Ciotti, L. and Takacs, J., 2018. Enablers and barriers to community engagement in public health emergency preparedness: a literature review. Journal of community health, 43(2), pp.412-420. Available at: </w:t>
      </w:r>
      <w:hyperlink r:id="rId1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https://link.springer.com/article/10.1007/s10900-017-0415-7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Rodríguez‐Gómez, O., Rodrigo, A., Iradier, F., Santos‐Santos, M.A., Hundemer, H., Ciudin, A., Sannemann, L., Zwan, M., Glaysher, B., Wimo, A. and Bonn, J., 2019. The MOPEAD project: advancing patient engagement for the detection of “hidden” undiagnosed cases of Alzheimer's disease in the community. Alzheimer's &amp; Dementia, 15(6), pp.828-839. Available at: </w:t>
      </w:r>
      <w:hyperlink r:id="rId1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https://www.sciencedirect.com/science/article/pii/S155252601930072X</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Striley, C.W., Milani, S.A., Kwiatkowski, E., DeKosky, S.T. and Cottler, L.B., 2019. Community perceptions related to brain donation: evidence for intervention. Alzheimer's &amp; Dementia, 15(2), pp.267-272. Available at: </w:t>
      </w:r>
      <w:hyperlink r:id="rId2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https://www.ncbi.nlm.nih.gov/pmc/articles/PMC7224447/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Wong, M., Bejarano, E., Carvlin, G., Fellows, K., King, G., Lugo, H., Jerrett, M., Meltzer, D., Northcross, A., Olmedo, L. and Seto, E., 2018. Combining community engagement and scientific approaches in next-generation monitor siting: the case of the imperial county community air network. International journal of environmental research and public health, 15(3), p.523. Available at: </w:t>
      </w:r>
      <w:hyperlink r:id="rId2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https://www.mdpi.com/1660-4601/15/3/523/pdf</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sectPr>
      <w:footerReference r:id="rId22"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360" w:lineRule="auto"/>
      <w:ind w:left="0" w:right="0" w:firstLine="0"/>
      <w:jc w:val="both"/>
    </w:pPr>
    <w:rPr>
      <w:rFonts w:ascii="Times New Roman" w:cs="Times New Roman" w:eastAsia="Times New Roman" w:hAnsi="Times New Roman"/>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360" w:lineRule="auto"/>
      <w:ind w:left="0" w:right="0" w:firstLine="0"/>
      <w:jc w:val="both"/>
    </w:pPr>
    <w:rPr>
      <w:rFonts w:ascii="Times New Roman" w:cs="Times New Roman" w:eastAsia="Times New Roman" w:hAnsi="Times New Roman"/>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360" w:lineRule="auto"/>
      <w:ind w:left="0" w:right="0" w:firstLine="0"/>
      <w:jc w:val="both"/>
    </w:pPr>
    <w:rPr>
      <w:rFonts w:ascii="Times New Roman" w:cs="Times New Roman" w:eastAsia="Times New Roman" w:hAnsi="Times New Roman"/>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360" w:lineRule="auto"/>
      <w:ind w:left="0" w:right="0" w:firstLine="0"/>
      <w:jc w:val="both"/>
    </w:pPr>
    <w:rPr>
      <w:rFonts w:ascii="Times New Roman" w:cs="Times New Roman" w:eastAsia="Times New Roman" w:hAnsi="Times New Roman"/>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both"/>
    </w:pPr>
    <w:rPr>
      <w:rFonts w:ascii="Times New Roman" w:cs="Times New Roman" w:eastAsia="Times New Roman" w:hAnsi="Times New Roman"/>
      <w:b w:val="0"/>
      <w:i w:val="0"/>
      <w:smallCaps w:val="0"/>
      <w:strike w:val="0"/>
      <w:color w:val="000000"/>
      <w:sz w:val="52"/>
      <w:szCs w:val="52"/>
      <w:u w:val="none"/>
      <w:shd w:fill="auto" w:val="clear"/>
      <w:vertAlign w:val="baseline"/>
    </w:rPr>
  </w:style>
  <w:style w:type="paragraph" w:styleId="Normal" w:default="1">
    <w:name w:val="Normal"/>
    <w:qFormat w:val="1"/>
  </w:style>
  <w:style w:type="paragraph" w:styleId="Heading1">
    <w:name w:val="heading 1"/>
    <w:basedOn w:val="Normal1"/>
    <w:next w:val="Normal1"/>
    <w:rsid w:val="007B09B7"/>
    <w:pPr>
      <w:keepNext w:val="1"/>
      <w:keepLines w:val="1"/>
      <w:spacing w:after="120" w:before="400"/>
      <w:outlineLvl w:val="0"/>
    </w:pPr>
    <w:rPr>
      <w:b w:val="1"/>
      <w:sz w:val="28"/>
      <w:szCs w:val="40"/>
    </w:rPr>
  </w:style>
  <w:style w:type="paragraph" w:styleId="Heading2">
    <w:name w:val="heading 2"/>
    <w:basedOn w:val="Normal1"/>
    <w:next w:val="Normal1"/>
    <w:rsid w:val="007B09B7"/>
    <w:pPr>
      <w:keepNext w:val="1"/>
      <w:keepLines w:val="1"/>
      <w:spacing w:after="120" w:before="360"/>
      <w:outlineLvl w:val="1"/>
    </w:pPr>
    <w:rPr>
      <w:b w:val="1"/>
      <w:szCs w:val="32"/>
    </w:rPr>
  </w:style>
  <w:style w:type="paragraph" w:styleId="Heading3">
    <w:name w:val="heading 3"/>
    <w:basedOn w:val="Normal1"/>
    <w:next w:val="Normal1"/>
    <w:rsid w:val="004D41FB"/>
    <w:pPr>
      <w:keepNext w:val="1"/>
      <w:keepLines w:val="1"/>
      <w:spacing w:after="80" w:before="320"/>
      <w:outlineLvl w:val="2"/>
    </w:pPr>
    <w:rPr>
      <w:color w:val="434343"/>
      <w:sz w:val="28"/>
      <w:szCs w:val="28"/>
    </w:rPr>
  </w:style>
  <w:style w:type="paragraph" w:styleId="Heading4">
    <w:name w:val="heading 4"/>
    <w:basedOn w:val="Normal1"/>
    <w:next w:val="Normal1"/>
    <w:rsid w:val="004D41FB"/>
    <w:pPr>
      <w:keepNext w:val="1"/>
      <w:keepLines w:val="1"/>
      <w:spacing w:after="80" w:before="280"/>
      <w:outlineLvl w:val="3"/>
    </w:pPr>
    <w:rPr>
      <w:color w:val="666666"/>
      <w:szCs w:val="24"/>
    </w:rPr>
  </w:style>
  <w:style w:type="paragraph" w:styleId="Heading5">
    <w:name w:val="heading 5"/>
    <w:basedOn w:val="Normal1"/>
    <w:next w:val="Normal1"/>
    <w:rsid w:val="004D41FB"/>
    <w:pPr>
      <w:keepNext w:val="1"/>
      <w:keepLines w:val="1"/>
      <w:spacing w:after="80" w:before="240"/>
      <w:outlineLvl w:val="4"/>
    </w:pPr>
    <w:rPr>
      <w:color w:val="666666"/>
      <w:sz w:val="22"/>
    </w:rPr>
  </w:style>
  <w:style w:type="paragraph" w:styleId="Heading6">
    <w:name w:val="heading 6"/>
    <w:basedOn w:val="Normal1"/>
    <w:next w:val="Normal1"/>
    <w:rsid w:val="004D41FB"/>
    <w:pPr>
      <w:keepNext w:val="1"/>
      <w:keepLines w:val="1"/>
      <w:spacing w:after="80" w:before="240"/>
      <w:outlineLvl w:val="5"/>
    </w:pPr>
    <w:rPr>
      <w:i w:val="1"/>
      <w:color w:val="666666"/>
      <w:sz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1" w:customStyle="1">
    <w:name w:val="Normal1"/>
    <w:rsid w:val="007B09B7"/>
    <w:pPr>
      <w:spacing w:line="360" w:lineRule="auto"/>
      <w:jc w:val="both"/>
    </w:pPr>
    <w:rPr>
      <w:rFonts w:ascii="Times New Roman" w:hAnsi="Times New Roman"/>
      <w:sz w:val="24"/>
    </w:rPr>
  </w:style>
  <w:style w:type="paragraph" w:styleId="Title">
    <w:name w:val="Title"/>
    <w:basedOn w:val="Normal1"/>
    <w:next w:val="Normal1"/>
    <w:rsid w:val="004D41FB"/>
    <w:pPr>
      <w:keepNext w:val="1"/>
      <w:keepLines w:val="1"/>
      <w:spacing w:after="60"/>
    </w:pPr>
    <w:rPr>
      <w:sz w:val="52"/>
      <w:szCs w:val="52"/>
    </w:rPr>
  </w:style>
  <w:style w:type="paragraph" w:styleId="Subtitle">
    <w:name w:val="Subtitle"/>
    <w:basedOn w:val="Normal1"/>
    <w:next w:val="Normal1"/>
    <w:rsid w:val="004D41FB"/>
    <w:pPr>
      <w:keepNext w:val="1"/>
      <w:keepLines w:val="1"/>
      <w:spacing w:after="320"/>
    </w:pPr>
    <w:rPr>
      <w:rFonts w:ascii="Arial" w:hAnsi="Arial"/>
      <w:color w:val="666666"/>
      <w:sz w:val="30"/>
      <w:szCs w:val="30"/>
    </w:rPr>
  </w:style>
  <w:style w:type="paragraph" w:styleId="TOCHeading">
    <w:name w:val="TOC Heading"/>
    <w:basedOn w:val="Heading1"/>
    <w:next w:val="Normal"/>
    <w:uiPriority w:val="39"/>
    <w:semiHidden w:val="1"/>
    <w:unhideWhenUsed w:val="1"/>
    <w:qFormat w:val="1"/>
    <w:rsid w:val="007B09B7"/>
    <w:pPr>
      <w:spacing w:after="0" w:before="480" w:line="276" w:lineRule="auto"/>
      <w:jc w:val="left"/>
      <w:outlineLvl w:val="9"/>
    </w:pPr>
    <w:rPr>
      <w:rFonts w:asciiTheme="majorHAnsi" w:cstheme="majorBidi" w:eastAsiaTheme="majorEastAsia" w:hAnsiTheme="majorHAnsi"/>
      <w:bCs w:val="1"/>
      <w:color w:val="365f91" w:themeColor="accent1" w:themeShade="0000BF"/>
      <w:szCs w:val="28"/>
    </w:rPr>
  </w:style>
  <w:style w:type="paragraph" w:styleId="TOC1">
    <w:name w:val="toc 1"/>
    <w:basedOn w:val="Normal"/>
    <w:next w:val="Normal"/>
    <w:autoRedefine w:val="1"/>
    <w:uiPriority w:val="39"/>
    <w:unhideWhenUsed w:val="1"/>
    <w:rsid w:val="007B09B7"/>
    <w:pPr>
      <w:spacing w:after="100"/>
    </w:pPr>
  </w:style>
  <w:style w:type="paragraph" w:styleId="TOC2">
    <w:name w:val="toc 2"/>
    <w:basedOn w:val="Normal"/>
    <w:next w:val="Normal"/>
    <w:autoRedefine w:val="1"/>
    <w:uiPriority w:val="39"/>
    <w:unhideWhenUsed w:val="1"/>
    <w:rsid w:val="007B09B7"/>
    <w:pPr>
      <w:spacing w:after="100"/>
      <w:ind w:left="220"/>
    </w:pPr>
  </w:style>
  <w:style w:type="character" w:styleId="Hyperlink">
    <w:name w:val="Hyperlink"/>
    <w:basedOn w:val="DefaultParagraphFont"/>
    <w:uiPriority w:val="99"/>
    <w:unhideWhenUsed w:val="1"/>
    <w:rsid w:val="007B09B7"/>
    <w:rPr>
      <w:color w:val="0000ff" w:themeColor="hyperlink"/>
      <w:u w:val="single"/>
    </w:rPr>
  </w:style>
  <w:style w:type="paragraph" w:styleId="BalloonText">
    <w:name w:val="Balloon Text"/>
    <w:basedOn w:val="Normal"/>
    <w:link w:val="BalloonTextChar"/>
    <w:uiPriority w:val="99"/>
    <w:semiHidden w:val="1"/>
    <w:unhideWhenUsed w:val="1"/>
    <w:rsid w:val="007B09B7"/>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B09B7"/>
    <w:rPr>
      <w:rFonts w:ascii="Tahoma" w:cs="Tahoma" w:hAnsi="Tahoma"/>
      <w:sz w:val="16"/>
      <w:szCs w:val="16"/>
    </w:rPr>
  </w:style>
  <w:style w:type="paragraph" w:styleId="Header">
    <w:name w:val="header"/>
    <w:basedOn w:val="Normal"/>
    <w:link w:val="HeaderChar"/>
    <w:uiPriority w:val="99"/>
    <w:unhideWhenUsed w:val="1"/>
    <w:rsid w:val="007B09B7"/>
    <w:pPr>
      <w:tabs>
        <w:tab w:val="center" w:pos="4680"/>
        <w:tab w:val="right" w:pos="9360"/>
      </w:tabs>
      <w:spacing w:line="240" w:lineRule="auto"/>
    </w:pPr>
  </w:style>
  <w:style w:type="character" w:styleId="HeaderChar" w:customStyle="1">
    <w:name w:val="Header Char"/>
    <w:basedOn w:val="DefaultParagraphFont"/>
    <w:link w:val="Header"/>
    <w:uiPriority w:val="99"/>
    <w:rsid w:val="007B09B7"/>
  </w:style>
  <w:style w:type="paragraph" w:styleId="Footer">
    <w:name w:val="footer"/>
    <w:basedOn w:val="Normal"/>
    <w:link w:val="FooterChar"/>
    <w:uiPriority w:val="99"/>
    <w:unhideWhenUsed w:val="1"/>
    <w:rsid w:val="007B09B7"/>
    <w:pPr>
      <w:tabs>
        <w:tab w:val="center" w:pos="4680"/>
        <w:tab w:val="right" w:pos="9360"/>
      </w:tabs>
      <w:spacing w:line="240" w:lineRule="auto"/>
    </w:pPr>
  </w:style>
  <w:style w:type="character" w:styleId="FooterChar" w:customStyle="1">
    <w:name w:val="Footer Char"/>
    <w:basedOn w:val="DefaultParagraphFont"/>
    <w:link w:val="Footer"/>
    <w:uiPriority w:val="99"/>
    <w:rsid w:val="007B09B7"/>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360" w:lineRule="auto"/>
      <w:ind w:left="0" w:right="0" w:firstLine="0"/>
      <w:jc w:val="both"/>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cbi.nlm.nih.gov/pmc/articles/PMC7224447/" TargetMode="External"/><Relationship Id="rId11" Type="http://schemas.openxmlformats.org/officeDocument/2006/relationships/hyperlink" Target="https://iopscience.iop.org/article/10.1088/1748-9326/aaf300/meta" TargetMode="External"/><Relationship Id="rId22" Type="http://schemas.openxmlformats.org/officeDocument/2006/relationships/footer" Target="footer1.xml"/><Relationship Id="rId10" Type="http://schemas.openxmlformats.org/officeDocument/2006/relationships/hyperlink" Target="https://link.springer.com/article/10.1007/s11121-019-00998-3" TargetMode="External"/><Relationship Id="rId21" Type="http://schemas.openxmlformats.org/officeDocument/2006/relationships/hyperlink" Target="https://www.mdpi.com/1660-4601/15/3/523/pdf" TargetMode="External"/><Relationship Id="rId13" Type="http://schemas.openxmlformats.org/officeDocument/2006/relationships/hyperlink" Target="https://www.tandfonline.com/doi/pdf/10.1080/1523908X.2017.1418656" TargetMode="External"/><Relationship Id="rId12" Type="http://schemas.openxmlformats.org/officeDocument/2006/relationships/hyperlink" Target="https://files.eric.ed.gov/fulltext/EJ1184928.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mcpublichealth.biomedcentral.com/articles/10.1186/s12889-018-5335-7" TargetMode="External"/><Relationship Id="rId15" Type="http://schemas.openxmlformats.org/officeDocument/2006/relationships/hyperlink" Target="https://www.karger.com/Article/FullText/502090" TargetMode="External"/><Relationship Id="rId14" Type="http://schemas.openxmlformats.org/officeDocument/2006/relationships/hyperlink" Target="https://journals.plos.org/plosone/article?id=10.1371/journal.pone.0216112" TargetMode="External"/><Relationship Id="rId17" Type="http://schemas.openxmlformats.org/officeDocument/2006/relationships/hyperlink" Target="https://link.springer.com/article/10.1186/s12939-020-01169-5" TargetMode="External"/><Relationship Id="rId16" Type="http://schemas.openxmlformats.org/officeDocument/2006/relationships/hyperlink" Target="https://journals.sagepub.com/doi/pdf/10.1177/1609406918757631" TargetMode="External"/><Relationship Id="rId5" Type="http://schemas.openxmlformats.org/officeDocument/2006/relationships/styles" Target="styles.xml"/><Relationship Id="rId19" Type="http://schemas.openxmlformats.org/officeDocument/2006/relationships/hyperlink" Target="https://www.sciencedirect.com/science/article/pii/S155252601930072X" TargetMode="External"/><Relationship Id="rId6" Type="http://schemas.openxmlformats.org/officeDocument/2006/relationships/customXml" Target="../customXML/item1.xml"/><Relationship Id="rId18" Type="http://schemas.openxmlformats.org/officeDocument/2006/relationships/hyperlink" Target="https://link.springer.com/article/10.1007/s10900-017-0415-7" TargetMode="External"/><Relationship Id="rId7" Type="http://schemas.openxmlformats.org/officeDocument/2006/relationships/image" Target="media/image1.png"/><Relationship Id="rId8" Type="http://schemas.openxmlformats.org/officeDocument/2006/relationships/hyperlink" Target="https://content.iospress.com/articles/journal-of-alzheimers-disease/jad1708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01P/Gambu+pkHN0kiFaKK7OISw==">AMUW2mW3BfS3qTmzUrDL3wFREbI8L5ecDkk8lWQBWTWSiqRoLY3itXL/6ff1CiNbqwTrmCbEaXbiFXiQPB1vcJeXXJNDfiXmqBZjQZJ0Cbg+wfdkfV4uFY1X6J1RtIeG7LvrqPx4zRdXVrY0i2jbQcYhjJJl9LswShlXIdUSJA/LNElwiCDM0b4VYTS4jraHDtPH5gh60nagR708OMaTuU/DRJfvAned6HNW0CHO49ajLcqhXtks0chRNKcYjB7aE+NTKNOZufqxLiz5trwjClKD85PO0a2Ltiq3hdLl52JTqwSC6OyCyYmzj3p67VYZl0EZfBalzbY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2022-04-08T03:08:00Z</dcterms:created>
</cp:coreProperties>
</file>