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1964D" w14:textId="77777777" w:rsidR="00477614" w:rsidRDefault="00000000">
      <w:pPr>
        <w:spacing w:after="133" w:line="259" w:lineRule="auto"/>
        <w:ind w:left="0" w:right="1993" w:firstLine="0"/>
        <w:jc w:val="right"/>
      </w:pPr>
      <w:r>
        <w:rPr>
          <w:noProof/>
        </w:rPr>
        <w:drawing>
          <wp:inline distT="0" distB="0" distL="0" distR="0" wp14:anchorId="740CC284" wp14:editId="288F3592">
            <wp:extent cx="3097276" cy="1720215"/>
            <wp:effectExtent l="0" t="0" r="0" b="0"/>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5"/>
                    <a:stretch>
                      <a:fillRect/>
                    </a:stretch>
                  </pic:blipFill>
                  <pic:spPr>
                    <a:xfrm>
                      <a:off x="0" y="0"/>
                      <a:ext cx="3097276" cy="1720215"/>
                    </a:xfrm>
                    <a:prstGeom prst="rect">
                      <a:avLst/>
                    </a:prstGeom>
                  </pic:spPr>
                </pic:pic>
              </a:graphicData>
            </a:graphic>
          </wp:inline>
        </w:drawing>
      </w:r>
      <w:r>
        <w:t xml:space="preserve"> </w:t>
      </w:r>
    </w:p>
    <w:p w14:paraId="3FEFB05C" w14:textId="0BCFAA70" w:rsidR="00477614" w:rsidRPr="003446F1" w:rsidRDefault="00000000">
      <w:pPr>
        <w:spacing w:after="190" w:line="251" w:lineRule="auto"/>
        <w:ind w:left="-5"/>
        <w:rPr>
          <w:bCs/>
        </w:rPr>
      </w:pPr>
      <w:r>
        <w:rPr>
          <w:b/>
        </w:rPr>
        <w:t>Module Name:</w:t>
      </w:r>
      <w:r w:rsidR="003446F1">
        <w:rPr>
          <w:b/>
        </w:rPr>
        <w:t xml:space="preserve"> </w:t>
      </w:r>
      <w:r w:rsidR="003446F1">
        <w:rPr>
          <w:bCs/>
        </w:rPr>
        <w:t>Introduction to Public Health</w:t>
      </w:r>
    </w:p>
    <w:p w14:paraId="694D8F96" w14:textId="4366EFFE" w:rsidR="00477614" w:rsidRDefault="00000000">
      <w:pPr>
        <w:spacing w:after="190" w:line="251" w:lineRule="auto"/>
        <w:ind w:left="-5"/>
        <w:rPr>
          <w:bCs/>
        </w:rPr>
      </w:pPr>
      <w:r>
        <w:rPr>
          <w:b/>
        </w:rPr>
        <w:t xml:space="preserve">Module Number: </w:t>
      </w:r>
      <w:r w:rsidR="003446F1" w:rsidRPr="003446F1">
        <w:rPr>
          <w:bCs/>
        </w:rPr>
        <w:t>LCHS4008</w:t>
      </w:r>
    </w:p>
    <w:p w14:paraId="400F74E4" w14:textId="0EE75A63" w:rsidR="00096F86" w:rsidRDefault="00096F86">
      <w:pPr>
        <w:spacing w:after="190" w:line="251" w:lineRule="auto"/>
        <w:ind w:left="-5"/>
      </w:pPr>
      <w:r>
        <w:rPr>
          <w:b/>
        </w:rPr>
        <w:t>Student name:</w:t>
      </w:r>
      <w:r>
        <w:t xml:space="preserve"> Oana-Zlatita Ilici</w:t>
      </w:r>
    </w:p>
    <w:p w14:paraId="25B5C662" w14:textId="6B9704F8" w:rsidR="003446F1" w:rsidRDefault="00000000">
      <w:pPr>
        <w:pStyle w:val="Heading1"/>
        <w:spacing w:line="418" w:lineRule="auto"/>
        <w:ind w:left="-5" w:right="5961"/>
      </w:pPr>
      <w:r>
        <w:t>Student Number:</w:t>
      </w:r>
      <w:r w:rsidR="003446F1">
        <w:t xml:space="preserve"> </w:t>
      </w:r>
      <w:r w:rsidR="003446F1" w:rsidRPr="003446F1">
        <w:rPr>
          <w:b w:val="0"/>
          <w:bCs/>
        </w:rPr>
        <w:t>2516914</w:t>
      </w:r>
    </w:p>
    <w:p w14:paraId="5F8A6959" w14:textId="20DEE633" w:rsidR="00477614" w:rsidRDefault="00000000" w:rsidP="003446F1">
      <w:pPr>
        <w:pStyle w:val="Heading1"/>
        <w:spacing w:line="418" w:lineRule="auto"/>
        <w:ind w:left="0" w:right="5961" w:firstLine="0"/>
      </w:pPr>
      <w:r>
        <w:t>Lecturer:</w:t>
      </w:r>
      <w:r>
        <w:rPr>
          <w:b w:val="0"/>
        </w:rPr>
        <w:t xml:space="preserve"> Odette Jack </w:t>
      </w:r>
    </w:p>
    <w:p w14:paraId="5BF85ED6" w14:textId="44E34658" w:rsidR="00477614" w:rsidRPr="003446F1" w:rsidRDefault="00000000">
      <w:pPr>
        <w:spacing w:after="211" w:line="251" w:lineRule="auto"/>
        <w:ind w:left="-5"/>
        <w:rPr>
          <w:bCs/>
        </w:rPr>
      </w:pPr>
      <w:r>
        <w:rPr>
          <w:b/>
        </w:rPr>
        <w:t xml:space="preserve">Assessment Title: </w:t>
      </w:r>
      <w:r w:rsidR="003446F1">
        <w:rPr>
          <w:bCs/>
        </w:rPr>
        <w:t xml:space="preserve">Written Report </w:t>
      </w:r>
    </w:p>
    <w:p w14:paraId="625B19F9" w14:textId="1505F6EF" w:rsidR="00477614" w:rsidRDefault="00000000" w:rsidP="00096F86">
      <w:pPr>
        <w:tabs>
          <w:tab w:val="center" w:pos="4342"/>
        </w:tabs>
        <w:spacing w:after="4" w:line="251" w:lineRule="auto"/>
      </w:pPr>
      <w:r>
        <w:rPr>
          <w:b/>
        </w:rPr>
        <w:tab/>
        <w:t xml:space="preserve"> </w:t>
      </w:r>
      <w:r>
        <w:br w:type="page"/>
      </w:r>
    </w:p>
    <w:p w14:paraId="62D4EFEF" w14:textId="77777777" w:rsidR="0083565A" w:rsidRPr="00CE0435" w:rsidRDefault="00000000" w:rsidP="0031061D">
      <w:pPr>
        <w:pStyle w:val="Heading1"/>
        <w:spacing w:line="360" w:lineRule="auto"/>
        <w:rPr>
          <w:sz w:val="22"/>
          <w:szCs w:val="22"/>
        </w:rPr>
      </w:pPr>
      <w:r w:rsidRPr="00CE0435">
        <w:rPr>
          <w:sz w:val="22"/>
          <w:szCs w:val="22"/>
        </w:rPr>
        <w:lastRenderedPageBreak/>
        <w:t>Introduction</w:t>
      </w:r>
    </w:p>
    <w:p w14:paraId="60574181" w14:textId="64F5B20B" w:rsidR="003A48D0" w:rsidRPr="003A48D0" w:rsidRDefault="0083565A" w:rsidP="00CC27E0">
      <w:pPr>
        <w:shd w:val="clear" w:color="auto" w:fill="FFFFFF"/>
        <w:spacing w:after="0" w:line="360" w:lineRule="auto"/>
        <w:ind w:left="0" w:firstLine="0"/>
        <w:rPr>
          <w:rFonts w:eastAsia="Times New Roman"/>
          <w:bCs/>
          <w:color w:val="222222"/>
          <w:kern w:val="0"/>
          <w14:ligatures w14:val="none"/>
        </w:rPr>
      </w:pPr>
      <w:r w:rsidRPr="00CC27E0">
        <w:rPr>
          <w:bCs/>
          <w:color w:val="222222"/>
          <w:sz w:val="22"/>
          <w:szCs w:val="22"/>
          <w:shd w:val="clear" w:color="auto" w:fill="FFFFFF"/>
        </w:rPr>
        <w:t>Dementia is an umbrella term for a range of progressive, neurological conditions that affect the brain’s ability to function over time. While often associated with aging, it is not a normal part of senescence. The most prevalent form is Alzheimer’s disease, followed by vascular dementia and dementia with Lewy bodies. It is clinically defined by a decline in cognitive domains—such as memory, language, executive function, and motor skills—severe enough to interfere with daily life (WHO, 2023). Common signs include persistent memory loss, confusion regarding time and place, difficulty following conversations, and significant changes in personality or mood.</w:t>
      </w:r>
      <w:r w:rsidRPr="00CC27E0">
        <w:rPr>
          <w:bCs/>
          <w:color w:val="222222"/>
          <w:sz w:val="22"/>
          <w:szCs w:val="22"/>
        </w:rPr>
        <w:br/>
      </w:r>
      <w:r w:rsidRPr="00CC27E0">
        <w:rPr>
          <w:bCs/>
          <w:color w:val="222222"/>
          <w:sz w:val="22"/>
          <w:szCs w:val="22"/>
          <w:shd w:val="clear" w:color="auto" w:fill="FFFFFF"/>
        </w:rPr>
        <w:t>The severity of dementia is reflected in its rising global and domestic incidence. Globally, over 55 million people live with dementia, with nearly 10 million new cases diagnosed annually (WHO, 2023). In the UK, the incidence is equally staggering; approximately 944,000 people currently live with the condition, and it remains a leading cause of death (Alzheimer’s Society, 2024). These statistics highlight a critical public health crisis, necessitating robust medical and social frameworks to manage the condition.</w:t>
      </w:r>
    </w:p>
    <w:p w14:paraId="55C92649" w14:textId="29EA16C9" w:rsidR="00CF2EDC" w:rsidRDefault="0031061D" w:rsidP="00CC27E0">
      <w:pPr>
        <w:spacing w:after="0" w:line="360" w:lineRule="auto"/>
        <w:ind w:left="0" w:firstLine="0"/>
        <w:rPr>
          <w:color w:val="222222"/>
          <w:sz w:val="22"/>
          <w:szCs w:val="22"/>
          <w:shd w:val="clear" w:color="auto" w:fill="FFFFFF"/>
        </w:rPr>
      </w:pPr>
      <w:r w:rsidRPr="0031061D">
        <w:rPr>
          <w:color w:val="222222"/>
          <w:sz w:val="22"/>
          <w:szCs w:val="22"/>
        </w:rPr>
        <w:br/>
      </w:r>
      <w:r w:rsidRPr="003A48D0">
        <w:rPr>
          <w:b/>
          <w:bCs/>
          <w:color w:val="222222"/>
          <w:sz w:val="22"/>
          <w:szCs w:val="22"/>
          <w:shd w:val="clear" w:color="auto" w:fill="FFFFFF"/>
        </w:rPr>
        <w:t>Approaches to Measuring and Monitoring Dementia</w:t>
      </w:r>
      <w:r w:rsidRPr="003A48D0">
        <w:rPr>
          <w:b/>
          <w:bCs/>
          <w:color w:val="222222"/>
          <w:sz w:val="22"/>
          <w:szCs w:val="22"/>
        </w:rPr>
        <w:br/>
      </w:r>
      <w:r w:rsidRPr="0031061D">
        <w:rPr>
          <w:color w:val="222222"/>
          <w:sz w:val="22"/>
          <w:szCs w:val="22"/>
          <w:shd w:val="clear" w:color="auto" w:fill="FFFFFF"/>
        </w:rPr>
        <w:t>Measuring the onset and progression of dementia requires a multi-dimensional clinical approach. Because dementia is a syndrome rather than a single disease, monitoring is continuous. The primary method involves standardized cognitive screening tools. The Mini-Mental State Examination (MMSE) and the Montreal Cognitive Assessment (MoCA) are widely utilized in the UK by General Practitioners and memory clinics. These tests measure orientation, recall, and visuospatial skills to provide a numerical baseline of cognitive impairment (NHS, 2023).</w:t>
      </w:r>
      <w:r w:rsidRPr="0031061D">
        <w:rPr>
          <w:color w:val="222222"/>
          <w:sz w:val="22"/>
          <w:szCs w:val="22"/>
        </w:rPr>
        <w:br/>
      </w:r>
      <w:r w:rsidRPr="0031061D">
        <w:rPr>
          <w:color w:val="222222"/>
          <w:sz w:val="22"/>
          <w:szCs w:val="22"/>
        </w:rPr>
        <w:br/>
      </w:r>
      <w:r w:rsidRPr="0031061D">
        <w:rPr>
          <w:color w:val="222222"/>
          <w:sz w:val="22"/>
          <w:szCs w:val="22"/>
          <w:shd w:val="clear" w:color="auto" w:fill="FFFFFF"/>
        </w:rPr>
        <w:t>Beyond cognitive testing, neuroimaging plays a pivotal role in monitoring structural brain changes. Magnetic Resonance Imaging (MRI) and Computed Tomography (CT) scans allow clinicians to observe cerebral atrophy or vascular damage. In more specialized settings, Positron Emission Tomography (PET) scans can identify the accumulation of amyloid-beta plaques, a hallmark of Alzheimer’s. Monitoring also includes functional assessments, such as the Activities of Daily Living (ADL) scales, which measure a patient’s ability to perform routine tasks like dressing or eating. This holistic monitoring ensures that care plans are adjusted as the disease transitions from mild to severe stages.</w:t>
      </w:r>
      <w:r w:rsidRPr="0031061D">
        <w:rPr>
          <w:color w:val="222222"/>
          <w:sz w:val="22"/>
          <w:szCs w:val="22"/>
        </w:rPr>
        <w:br/>
      </w:r>
      <w:r w:rsidRPr="0031061D">
        <w:rPr>
          <w:color w:val="222222"/>
          <w:sz w:val="22"/>
          <w:szCs w:val="22"/>
        </w:rPr>
        <w:lastRenderedPageBreak/>
        <w:br/>
      </w:r>
      <w:r w:rsidRPr="00CE0435">
        <w:rPr>
          <w:b/>
          <w:bCs/>
          <w:color w:val="222222"/>
          <w:sz w:val="22"/>
          <w:szCs w:val="22"/>
          <w:shd w:val="clear" w:color="auto" w:fill="FFFFFF"/>
        </w:rPr>
        <w:t>Controlling and Managing the Disease</w:t>
      </w:r>
      <w:r w:rsidRPr="0031061D">
        <w:rPr>
          <w:color w:val="222222"/>
          <w:sz w:val="22"/>
          <w:szCs w:val="22"/>
        </w:rPr>
        <w:br/>
      </w:r>
      <w:r w:rsidRPr="0031061D">
        <w:rPr>
          <w:color w:val="222222"/>
          <w:sz w:val="22"/>
          <w:szCs w:val="22"/>
          <w:shd w:val="clear" w:color="auto" w:fill="FFFFFF"/>
        </w:rPr>
        <w:t xml:space="preserve">Controlling dementia is a complex challenge because, for </w:t>
      </w:r>
      <w:r w:rsidR="00CE0435" w:rsidRPr="0031061D">
        <w:rPr>
          <w:color w:val="222222"/>
          <w:sz w:val="22"/>
          <w:szCs w:val="22"/>
          <w:shd w:val="clear" w:color="auto" w:fill="FFFFFF"/>
        </w:rPr>
        <w:t>many</w:t>
      </w:r>
      <w:r w:rsidRPr="0031061D">
        <w:rPr>
          <w:color w:val="222222"/>
          <w:sz w:val="22"/>
          <w:szCs w:val="22"/>
          <w:shd w:val="clear" w:color="auto" w:fill="FFFFFF"/>
        </w:rPr>
        <w:t xml:space="preserve"> types, there is currently no cure. Control strategies are therefore focused on symptom management and slowing the rate of decline. Pharmacological interventions are the first line of defence. Cholinesterase inhibitors, such as Donepezil and Rivastigmine, are prescribed to help improve communication between nerve cells. For more advanced stages, NMDA receptor antagonists like Memantine are used to regulate glutamate activity, which can otherwise lead to brain cell death (Prince et al., 2015).</w:t>
      </w:r>
      <w:r w:rsidRPr="0031061D">
        <w:rPr>
          <w:color w:val="222222"/>
          <w:sz w:val="22"/>
          <w:szCs w:val="22"/>
        </w:rPr>
        <w:br/>
      </w:r>
      <w:proofErr w:type="gramStart"/>
      <w:r w:rsidRPr="0031061D">
        <w:rPr>
          <w:color w:val="222222"/>
          <w:sz w:val="22"/>
          <w:szCs w:val="22"/>
          <w:shd w:val="clear" w:color="auto" w:fill="FFFFFF"/>
        </w:rPr>
        <w:t>Non-pharmacological</w:t>
      </w:r>
      <w:proofErr w:type="gramEnd"/>
      <w:r w:rsidRPr="0031061D">
        <w:rPr>
          <w:color w:val="222222"/>
          <w:sz w:val="22"/>
          <w:szCs w:val="22"/>
          <w:shd w:val="clear" w:color="auto" w:fill="FFFFFF"/>
        </w:rPr>
        <w:t xml:space="preserve"> control is equally essential. Cognitive Stimulation Therapy (CST) involves themed group sessions designed to keep the mind active, which has been shown to improve quality of life and even cognitive function in the short term. Furthermore, controlling vascular risk factors—such as managing high blood pressure, cholesterol, and diabetes—is a critical preventative and management strategy. In the UK, public health initiatives emphasize "what is good for the heart is good for the brain," advocating for lifestyle changes like smoking cessation and increased physical activity to "control" the trajectory of the illness (Livingston et al., 2020).</w:t>
      </w:r>
    </w:p>
    <w:p w14:paraId="3375338A" w14:textId="77777777" w:rsidR="00CF2EDC" w:rsidRDefault="00CF2EDC" w:rsidP="00CC27E0">
      <w:pPr>
        <w:spacing w:after="0" w:line="360" w:lineRule="auto"/>
        <w:ind w:left="0" w:firstLine="0"/>
        <w:rPr>
          <w:color w:val="222222"/>
          <w:sz w:val="22"/>
          <w:szCs w:val="22"/>
          <w:shd w:val="clear" w:color="auto" w:fill="FFFFFF"/>
        </w:rPr>
      </w:pPr>
    </w:p>
    <w:p w14:paraId="4C030F0E" w14:textId="40D7E231" w:rsidR="0031061D" w:rsidRPr="00CE0435" w:rsidRDefault="00CF2EDC" w:rsidP="00CF2EDC">
      <w:pPr>
        <w:spacing w:after="0" w:line="360" w:lineRule="auto"/>
        <w:ind w:left="0" w:firstLine="0"/>
        <w:rPr>
          <w:b/>
          <w:bCs/>
          <w:color w:val="222222"/>
          <w:sz w:val="22"/>
          <w:szCs w:val="22"/>
        </w:rPr>
      </w:pPr>
      <w:r w:rsidRPr="00CF2EDC">
        <w:rPr>
          <w:color w:val="222222"/>
          <w:sz w:val="22"/>
          <w:szCs w:val="22"/>
          <w:shd w:val="clear" w:color="auto" w:fill="FFFFFF"/>
        </w:rPr>
        <w:t>In the UK, the approach to managing dementia has evolved significantly with the introduction of the government’s 10-year health plan and updated clinical guidelines. As of 2025, the National Institute for Health and Care Excellence (NICE) has expanded its monitoring protocols to include mandatory regular sight tests for dementia patients, recognizing that untreated sensory loss significantly exacerbates confusion and the risk of falls (AOP, 2025). This integration of sensory health into standard dementia care highlights a shift toward a more holistic monitoring framework within the NHS.</w:t>
      </w:r>
      <w:r w:rsidRPr="00CF2EDC">
        <w:rPr>
          <w:color w:val="222222"/>
          <w:sz w:val="22"/>
          <w:szCs w:val="22"/>
        </w:rPr>
        <w:br/>
      </w:r>
      <w:r w:rsidRPr="00CF2EDC">
        <w:rPr>
          <w:color w:val="222222"/>
          <w:sz w:val="22"/>
          <w:szCs w:val="22"/>
        </w:rPr>
        <w:br/>
      </w:r>
      <w:r w:rsidRPr="00CF2EDC">
        <w:rPr>
          <w:color w:val="222222"/>
          <w:sz w:val="22"/>
          <w:szCs w:val="22"/>
          <w:shd w:val="clear" w:color="auto" w:fill="FFFFFF"/>
        </w:rPr>
        <w:t xml:space="preserve">Furthermore, the economic and social burden in the UK has reached a critical threshold, with the annual cost of dementia estimated at £42 billion in 2024 (CQC, 2025). This has prompted the government to invest £6.7 million into "independent living" research networks, which utilize AI and remote monitoring technologies to help patients stay safely in their own homes for longer (Gov.uk, 2025). These networks focus on mitigating the "crisis points" that typically lead to hospital admissions. Within the community, the Care Quality Commission (2025) reports that nearly half a million people in England now have a formal diagnosis, yet </w:t>
      </w:r>
      <w:r w:rsidRPr="00CF2EDC">
        <w:rPr>
          <w:color w:val="222222"/>
          <w:sz w:val="22"/>
          <w:szCs w:val="22"/>
          <w:shd w:val="clear" w:color="auto" w:fill="FFFFFF"/>
        </w:rPr>
        <w:lastRenderedPageBreak/>
        <w:t>workforce pressures in social care—where vacancy rates remain three times higher than the wider job market—continue to limit the availability of high-quality support. To combat this, the "My Carer" section of the NHS App was introduced in 2025, empowering unpaid family caregivers to participate directly in clinical care planning, thereby streamlining support services at the community level (UK Parliament, 2025).</w:t>
      </w:r>
      <w:r w:rsidR="0031061D" w:rsidRPr="00CF2EDC">
        <w:rPr>
          <w:color w:val="222222"/>
          <w:sz w:val="22"/>
          <w:szCs w:val="22"/>
        </w:rPr>
        <w:br/>
      </w:r>
    </w:p>
    <w:p w14:paraId="690B5D72" w14:textId="19178B44" w:rsidR="00477614" w:rsidRDefault="0031061D" w:rsidP="0031061D">
      <w:pPr>
        <w:spacing w:after="0" w:line="360" w:lineRule="auto"/>
        <w:ind w:left="0" w:firstLine="0"/>
        <w:rPr>
          <w:sz w:val="22"/>
          <w:szCs w:val="22"/>
        </w:rPr>
      </w:pPr>
      <w:r w:rsidRPr="00CE0435">
        <w:rPr>
          <w:b/>
          <w:bCs/>
          <w:color w:val="222222"/>
          <w:sz w:val="22"/>
          <w:szCs w:val="22"/>
          <w:shd w:val="clear" w:color="auto" w:fill="FFFFFF"/>
        </w:rPr>
        <w:t>Consequences on People in the Community</w:t>
      </w:r>
      <w:r w:rsidRPr="0031061D">
        <w:rPr>
          <w:color w:val="222222"/>
          <w:sz w:val="22"/>
          <w:szCs w:val="22"/>
        </w:rPr>
        <w:br/>
      </w:r>
      <w:r w:rsidRPr="0031061D">
        <w:rPr>
          <w:color w:val="222222"/>
          <w:sz w:val="22"/>
          <w:szCs w:val="22"/>
          <w:shd w:val="clear" w:color="auto" w:fill="FFFFFF"/>
        </w:rPr>
        <w:t>The consequences of dementia resonate deeply throughout the community, affecting not just the individual but also their social network and the local economy. For the individual, the primary consequence is the loss of autonomy. This often leads to social withdrawal and "social death" before physical death, as the stigma associated with cognitive decline can lead to isolation. In the community, this manifests as a "hidden" population that is no longer able to participate in local events or maintain social bonds.</w:t>
      </w:r>
      <w:r w:rsidRPr="0031061D">
        <w:rPr>
          <w:color w:val="222222"/>
          <w:sz w:val="22"/>
          <w:szCs w:val="22"/>
        </w:rPr>
        <w:br/>
      </w:r>
      <w:r w:rsidRPr="0031061D">
        <w:rPr>
          <w:color w:val="222222"/>
          <w:sz w:val="22"/>
          <w:szCs w:val="22"/>
        </w:rPr>
        <w:br/>
      </w:r>
      <w:r w:rsidRPr="0031061D">
        <w:rPr>
          <w:color w:val="222222"/>
          <w:sz w:val="22"/>
          <w:szCs w:val="22"/>
          <w:shd w:val="clear" w:color="auto" w:fill="FFFFFF"/>
        </w:rPr>
        <w:t>For families, the consequences are often financial and emotional. In the UK, a vast majority of dementia care is provided by unpaid family carers. This "sandwich generation"—those caring for both children and elderly parents—often faces burnout, depression, and physical health problems. The economic impact on the community is also significant; many carers are forced to reduce their working hours or leave the workforce entirely, leading to a loss of productivity and increased reliance on state benefits. Furthermore, the community infrastructure often fails to accommodate those with dementia; simple tasks like using public transport or visiting a supermarket become insurmountable hurdles without "dementia-friendly" design and training (Alzheimer’s Society, 2024).</w:t>
      </w:r>
      <w:r w:rsidRPr="0031061D">
        <w:rPr>
          <w:color w:val="222222"/>
          <w:sz w:val="22"/>
          <w:szCs w:val="22"/>
        </w:rPr>
        <w:br/>
      </w:r>
      <w:r w:rsidRPr="0031061D">
        <w:rPr>
          <w:color w:val="222222"/>
          <w:sz w:val="22"/>
          <w:szCs w:val="22"/>
        </w:rPr>
        <w:br/>
      </w:r>
      <w:r w:rsidRPr="00CE0435">
        <w:rPr>
          <w:b/>
          <w:bCs/>
          <w:color w:val="222222"/>
          <w:sz w:val="22"/>
          <w:szCs w:val="22"/>
          <w:shd w:val="clear" w:color="auto" w:fill="FFFFFF"/>
        </w:rPr>
        <w:t>Health and Social Care Support Services</w:t>
      </w:r>
      <w:r w:rsidRPr="0031061D">
        <w:rPr>
          <w:color w:val="222222"/>
          <w:sz w:val="22"/>
          <w:szCs w:val="22"/>
        </w:rPr>
        <w:br/>
      </w:r>
      <w:r w:rsidRPr="0031061D">
        <w:rPr>
          <w:color w:val="222222"/>
          <w:sz w:val="22"/>
          <w:szCs w:val="22"/>
          <w:shd w:val="clear" w:color="auto" w:fill="FFFFFF"/>
        </w:rPr>
        <w:t xml:space="preserve">To address the needs of those living with dementia, </w:t>
      </w:r>
      <w:r w:rsidR="00CE0435" w:rsidRPr="0031061D">
        <w:rPr>
          <w:color w:val="222222"/>
          <w:sz w:val="22"/>
          <w:szCs w:val="22"/>
          <w:shd w:val="clear" w:color="auto" w:fill="FFFFFF"/>
        </w:rPr>
        <w:t>an</w:t>
      </w:r>
      <w:r w:rsidRPr="0031061D">
        <w:rPr>
          <w:color w:val="222222"/>
          <w:sz w:val="22"/>
          <w:szCs w:val="22"/>
          <w:shd w:val="clear" w:color="auto" w:fill="FFFFFF"/>
        </w:rPr>
        <w:t xml:space="preserve"> integrated network of health and social care services is required. In the UK, the journey usually begins with Primary Care (GPs) who provide the initial referral to specialist Memory Services for a formal diagnosis. Following diagnosis, Community Mental Health Teams (CMHTs) or Admiral Nurses (specialist dementia nurses) provide clinical oversight and emotional support for families.</w:t>
      </w:r>
      <w:r w:rsidRPr="0031061D">
        <w:rPr>
          <w:color w:val="222222"/>
          <w:sz w:val="22"/>
          <w:szCs w:val="22"/>
        </w:rPr>
        <w:br/>
      </w:r>
      <w:r w:rsidRPr="0031061D">
        <w:rPr>
          <w:color w:val="222222"/>
          <w:sz w:val="22"/>
          <w:szCs w:val="22"/>
        </w:rPr>
        <w:br/>
      </w:r>
      <w:r w:rsidRPr="0031061D">
        <w:rPr>
          <w:color w:val="222222"/>
          <w:sz w:val="22"/>
          <w:szCs w:val="22"/>
          <w:shd w:val="clear" w:color="auto" w:fill="FFFFFF"/>
        </w:rPr>
        <w:t xml:space="preserve">Social care services are the backbone of long-term support. These include domiciliary care (home visits), which assists with hygiene and meal preparation, and respite care, which </w:t>
      </w:r>
      <w:r w:rsidRPr="0031061D">
        <w:rPr>
          <w:color w:val="222222"/>
          <w:sz w:val="22"/>
          <w:szCs w:val="22"/>
          <w:shd w:val="clear" w:color="auto" w:fill="FFFFFF"/>
        </w:rPr>
        <w:lastRenderedPageBreak/>
        <w:t>provides temporary relief for primary caregivers. Occupational Therapists (OTs) are essential for "environmental editing"—adapting the home with grab rails, clear signage, and sensory aids to keep the individual safe. Furthermore, the community relies on third-sector organizations like the Alzheimer's Society, which runs "Dementia Cafés." these hubs offer a safe space for social interaction and information sharing, effectively bridging the gap between formal medical treatment and everyday social needs. For those in the terminal stages, palliative care services and hospices ensure that the individual can die with dignity, focusing on pain management and comfort (Prince et al., 2016).</w:t>
      </w:r>
    </w:p>
    <w:p w14:paraId="24997364" w14:textId="77777777" w:rsidR="00CE0435" w:rsidRPr="0031061D" w:rsidRDefault="00CE0435" w:rsidP="0031061D">
      <w:pPr>
        <w:spacing w:after="0" w:line="360" w:lineRule="auto"/>
        <w:ind w:left="0" w:firstLine="0"/>
        <w:rPr>
          <w:sz w:val="22"/>
          <w:szCs w:val="22"/>
        </w:rPr>
      </w:pPr>
    </w:p>
    <w:p w14:paraId="6F6E5315" w14:textId="27770998" w:rsidR="0031061D" w:rsidRPr="0031061D" w:rsidRDefault="0031061D" w:rsidP="0031061D">
      <w:pPr>
        <w:spacing w:after="0" w:line="360" w:lineRule="auto"/>
        <w:ind w:left="0" w:firstLine="0"/>
        <w:rPr>
          <w:color w:val="222222"/>
          <w:sz w:val="22"/>
          <w:szCs w:val="22"/>
          <w:shd w:val="clear" w:color="auto" w:fill="FFFFFF"/>
        </w:rPr>
      </w:pPr>
      <w:r w:rsidRPr="0031061D">
        <w:rPr>
          <w:color w:val="222222"/>
          <w:sz w:val="22"/>
          <w:szCs w:val="22"/>
          <w:shd w:val="clear" w:color="auto" w:fill="FFFFFF"/>
        </w:rPr>
        <w:t>Dementia is a multifaceted health crisis that demands an equally multifaceted response. As evidenced by global and UK statistics, the prevalence of this condition is rising, placing an unprecedented strain on healthcare systems and community structures. While current medical approaches focus on monitoring through cognitive tests and controlling symptoms through medication, they cannot yet provide a cure.</w:t>
      </w:r>
      <w:r w:rsidRPr="0031061D">
        <w:rPr>
          <w:color w:val="222222"/>
          <w:sz w:val="22"/>
          <w:szCs w:val="22"/>
        </w:rPr>
        <w:br/>
      </w:r>
      <w:r w:rsidRPr="0031061D">
        <w:rPr>
          <w:color w:val="222222"/>
          <w:sz w:val="22"/>
          <w:szCs w:val="22"/>
        </w:rPr>
        <w:br/>
      </w:r>
      <w:r w:rsidRPr="0031061D">
        <w:rPr>
          <w:color w:val="222222"/>
          <w:sz w:val="22"/>
          <w:szCs w:val="22"/>
          <w:shd w:val="clear" w:color="auto" w:fill="FFFFFF"/>
        </w:rPr>
        <w:t>The consequences of dementia—ranging from the emotional toll on family carers to the economic burden on the community—highlight the necessity of comprehensive support services. Moving forward, the focus must remain on integrating health and social care to ensure that individuals do not just survive but live with dignity. By fostering dementia-friendly environments and investing in both specialist nursing and community-based social support, we can mitigate the impact of this illness and provide a higher standard of care for the nearly one million people affected in the UK.</w:t>
      </w:r>
    </w:p>
    <w:p w14:paraId="3EAC012D" w14:textId="77777777" w:rsidR="0031061D" w:rsidRDefault="0031061D" w:rsidP="0083565A">
      <w:pPr>
        <w:spacing w:after="0" w:line="259" w:lineRule="auto"/>
        <w:ind w:left="0" w:firstLine="0"/>
      </w:pPr>
    </w:p>
    <w:p w14:paraId="34E9B364" w14:textId="77777777" w:rsidR="00CE0435" w:rsidRDefault="00CE0435" w:rsidP="00CE0435">
      <w:pPr>
        <w:spacing w:after="0" w:line="360" w:lineRule="auto"/>
        <w:ind w:left="0" w:firstLine="0"/>
        <w:rPr>
          <w:b/>
          <w:bCs/>
          <w:sz w:val="22"/>
          <w:szCs w:val="22"/>
        </w:rPr>
      </w:pPr>
    </w:p>
    <w:p w14:paraId="370BB2A1" w14:textId="77777777" w:rsidR="00CE0435" w:rsidRDefault="00CE0435" w:rsidP="00CE0435">
      <w:pPr>
        <w:spacing w:after="0" w:line="360" w:lineRule="auto"/>
        <w:ind w:left="0" w:firstLine="0"/>
        <w:rPr>
          <w:b/>
          <w:bCs/>
          <w:sz w:val="22"/>
          <w:szCs w:val="22"/>
        </w:rPr>
      </w:pPr>
    </w:p>
    <w:p w14:paraId="1EAFCB82" w14:textId="77777777" w:rsidR="00CE0435" w:rsidRDefault="00CE0435" w:rsidP="00CE0435">
      <w:pPr>
        <w:spacing w:after="0" w:line="360" w:lineRule="auto"/>
        <w:ind w:left="0" w:firstLine="0"/>
        <w:rPr>
          <w:b/>
          <w:bCs/>
          <w:sz w:val="22"/>
          <w:szCs w:val="22"/>
        </w:rPr>
      </w:pPr>
    </w:p>
    <w:p w14:paraId="13527B67" w14:textId="77777777" w:rsidR="00CE0435" w:rsidRDefault="00CE0435" w:rsidP="00CE0435">
      <w:pPr>
        <w:spacing w:after="0" w:line="360" w:lineRule="auto"/>
        <w:ind w:left="0" w:firstLine="0"/>
        <w:rPr>
          <w:b/>
          <w:bCs/>
          <w:sz w:val="22"/>
          <w:szCs w:val="22"/>
        </w:rPr>
      </w:pPr>
    </w:p>
    <w:p w14:paraId="75D17DB3" w14:textId="77777777" w:rsidR="00CE0435" w:rsidRDefault="00CE0435" w:rsidP="00CE0435">
      <w:pPr>
        <w:spacing w:after="0" w:line="360" w:lineRule="auto"/>
        <w:ind w:left="0" w:firstLine="0"/>
        <w:rPr>
          <w:b/>
          <w:bCs/>
          <w:sz w:val="22"/>
          <w:szCs w:val="22"/>
        </w:rPr>
      </w:pPr>
    </w:p>
    <w:p w14:paraId="4CA9B787" w14:textId="77777777" w:rsidR="00CE0435" w:rsidRDefault="00CE0435" w:rsidP="00CE0435">
      <w:pPr>
        <w:spacing w:after="0" w:line="360" w:lineRule="auto"/>
        <w:ind w:left="0" w:firstLine="0"/>
        <w:rPr>
          <w:b/>
          <w:bCs/>
          <w:sz w:val="22"/>
          <w:szCs w:val="22"/>
        </w:rPr>
      </w:pPr>
    </w:p>
    <w:p w14:paraId="647B5A43" w14:textId="77777777" w:rsidR="00CE0435" w:rsidRDefault="00CE0435" w:rsidP="00CE0435">
      <w:pPr>
        <w:spacing w:after="0" w:line="360" w:lineRule="auto"/>
        <w:ind w:left="0" w:firstLine="0"/>
        <w:rPr>
          <w:b/>
          <w:bCs/>
          <w:sz w:val="22"/>
          <w:szCs w:val="22"/>
        </w:rPr>
      </w:pPr>
    </w:p>
    <w:p w14:paraId="78F4C16D" w14:textId="77777777" w:rsidR="00CE0435" w:rsidRDefault="00CE0435" w:rsidP="00CE0435">
      <w:pPr>
        <w:spacing w:after="0" w:line="360" w:lineRule="auto"/>
        <w:ind w:left="0" w:firstLine="0"/>
        <w:rPr>
          <w:b/>
          <w:bCs/>
          <w:sz w:val="22"/>
          <w:szCs w:val="22"/>
        </w:rPr>
      </w:pPr>
    </w:p>
    <w:p w14:paraId="772B8A76" w14:textId="77777777" w:rsidR="00CE0435" w:rsidRDefault="00CE0435" w:rsidP="00CE0435">
      <w:pPr>
        <w:spacing w:after="0" w:line="360" w:lineRule="auto"/>
        <w:ind w:left="0" w:firstLine="0"/>
        <w:rPr>
          <w:b/>
          <w:bCs/>
          <w:sz w:val="22"/>
          <w:szCs w:val="22"/>
        </w:rPr>
      </w:pPr>
    </w:p>
    <w:p w14:paraId="2D3828C5" w14:textId="77777777" w:rsidR="00CE0435" w:rsidRDefault="00CE0435" w:rsidP="00CE0435">
      <w:pPr>
        <w:spacing w:after="0" w:line="360" w:lineRule="auto"/>
        <w:ind w:left="0" w:firstLine="0"/>
        <w:rPr>
          <w:b/>
          <w:bCs/>
          <w:sz w:val="22"/>
          <w:szCs w:val="22"/>
        </w:rPr>
      </w:pPr>
    </w:p>
    <w:p w14:paraId="65DE1441" w14:textId="77777777" w:rsidR="00CE0435" w:rsidRDefault="00CE0435" w:rsidP="00CE0435">
      <w:pPr>
        <w:spacing w:after="0" w:line="360" w:lineRule="auto"/>
        <w:ind w:left="0" w:firstLine="0"/>
        <w:rPr>
          <w:b/>
          <w:bCs/>
          <w:sz w:val="22"/>
          <w:szCs w:val="22"/>
        </w:rPr>
      </w:pPr>
    </w:p>
    <w:p w14:paraId="49A21FA8" w14:textId="2DEC8604" w:rsidR="0031061D" w:rsidRPr="00CE0435" w:rsidRDefault="0031061D" w:rsidP="00CE0435">
      <w:pPr>
        <w:spacing w:after="0" w:line="360" w:lineRule="auto"/>
        <w:ind w:left="0" w:firstLine="0"/>
        <w:rPr>
          <w:b/>
          <w:bCs/>
          <w:sz w:val="22"/>
          <w:szCs w:val="22"/>
        </w:rPr>
      </w:pPr>
      <w:r w:rsidRPr="00CE0435">
        <w:rPr>
          <w:b/>
          <w:bCs/>
          <w:sz w:val="22"/>
          <w:szCs w:val="22"/>
        </w:rPr>
        <w:lastRenderedPageBreak/>
        <w:t xml:space="preserve">Reference list </w:t>
      </w:r>
    </w:p>
    <w:p w14:paraId="7185E1EF" w14:textId="67CD55A1" w:rsidR="00CF2EDC" w:rsidRPr="00CE0435" w:rsidRDefault="0031061D" w:rsidP="00CE0435">
      <w:pPr>
        <w:spacing w:after="0" w:line="360" w:lineRule="auto"/>
        <w:rPr>
          <w:rFonts w:eastAsia="Times New Roman"/>
          <w:color w:val="auto"/>
          <w:kern w:val="0"/>
          <w:sz w:val="22"/>
          <w:szCs w:val="22"/>
          <w14:ligatures w14:val="none"/>
        </w:rPr>
      </w:pPr>
      <w:r w:rsidRPr="00CE0435">
        <w:rPr>
          <w:rFonts w:eastAsia="Times New Roman"/>
          <w:color w:val="auto"/>
          <w:kern w:val="0"/>
          <w:sz w:val="22"/>
          <w:szCs w:val="22"/>
          <w14:ligatures w14:val="none"/>
        </w:rPr>
        <w:t>Alzheimer’s Society. (2024). Facts and figures on dementia. Available at: </w:t>
      </w:r>
      <w:hyperlink r:id="rId6" w:tgtFrame="_blank" w:history="1">
        <w:r w:rsidRPr="00CE0435">
          <w:rPr>
            <w:rFonts w:eastAsia="Times New Roman"/>
            <w:color w:val="1155CC"/>
            <w:kern w:val="0"/>
            <w:sz w:val="22"/>
            <w:szCs w:val="22"/>
            <w:u w:val="single"/>
            <w14:ligatures w14:val="none"/>
          </w:rPr>
          <w:t>https://www.alzheimers.o</w:t>
        </w:r>
        <w:r w:rsidRPr="00CE0435">
          <w:rPr>
            <w:rFonts w:eastAsia="Times New Roman"/>
            <w:color w:val="1155CC"/>
            <w:kern w:val="0"/>
            <w:sz w:val="22"/>
            <w:szCs w:val="22"/>
            <w:u w:val="single"/>
            <w14:ligatures w14:val="none"/>
          </w:rPr>
          <w:t>r</w:t>
        </w:r>
        <w:r w:rsidRPr="00CE0435">
          <w:rPr>
            <w:rFonts w:eastAsia="Times New Roman"/>
            <w:color w:val="1155CC"/>
            <w:kern w:val="0"/>
            <w:sz w:val="22"/>
            <w:szCs w:val="22"/>
            <w:u w:val="single"/>
            <w14:ligatures w14:val="none"/>
          </w:rPr>
          <w:t>g.uk</w:t>
        </w:r>
      </w:hyperlink>
      <w:r w:rsidRPr="00CE0435">
        <w:rPr>
          <w:rFonts w:eastAsia="Times New Roman"/>
          <w:color w:val="auto"/>
          <w:kern w:val="0"/>
          <w:sz w:val="22"/>
          <w:szCs w:val="22"/>
          <w14:ligatures w14:val="none"/>
        </w:rPr>
        <w:t xml:space="preserve"> (Accessed: </w:t>
      </w:r>
      <w:r w:rsidR="00CE0435">
        <w:rPr>
          <w:rFonts w:eastAsia="Times New Roman"/>
          <w:color w:val="auto"/>
          <w:kern w:val="0"/>
          <w:sz w:val="22"/>
          <w:szCs w:val="22"/>
          <w14:ligatures w14:val="none"/>
        </w:rPr>
        <w:t>10</w:t>
      </w:r>
      <w:r w:rsidRPr="00CE0435">
        <w:rPr>
          <w:rFonts w:eastAsia="Times New Roman"/>
          <w:color w:val="auto"/>
          <w:kern w:val="0"/>
          <w:sz w:val="22"/>
          <w:szCs w:val="22"/>
          <w14:ligatures w14:val="none"/>
        </w:rPr>
        <w:t xml:space="preserve"> April 202</w:t>
      </w:r>
      <w:r w:rsidR="00CE0435">
        <w:rPr>
          <w:rFonts w:eastAsia="Times New Roman"/>
          <w:color w:val="auto"/>
          <w:kern w:val="0"/>
          <w:sz w:val="22"/>
          <w:szCs w:val="22"/>
          <w14:ligatures w14:val="none"/>
        </w:rPr>
        <w:t>6</w:t>
      </w:r>
      <w:r w:rsidRPr="00CE0435">
        <w:rPr>
          <w:rFonts w:eastAsia="Times New Roman"/>
          <w:color w:val="auto"/>
          <w:kern w:val="0"/>
          <w:sz w:val="22"/>
          <w:szCs w:val="22"/>
          <w14:ligatures w14:val="none"/>
        </w:rPr>
        <w:t>).</w:t>
      </w:r>
    </w:p>
    <w:p w14:paraId="72A33571" w14:textId="77777777" w:rsidR="00CF2EDC" w:rsidRPr="00CE0435" w:rsidRDefault="00CF2EDC" w:rsidP="00CE0435">
      <w:pPr>
        <w:spacing w:after="0" w:line="360" w:lineRule="auto"/>
        <w:ind w:left="0" w:firstLine="0"/>
        <w:rPr>
          <w:color w:val="222222"/>
          <w:sz w:val="22"/>
          <w:szCs w:val="22"/>
          <w:shd w:val="clear" w:color="auto" w:fill="FFFFFF"/>
        </w:rPr>
      </w:pPr>
      <w:r w:rsidRPr="00CE0435">
        <w:rPr>
          <w:color w:val="222222"/>
          <w:sz w:val="22"/>
          <w:szCs w:val="22"/>
          <w:shd w:val="clear" w:color="auto" w:fill="FFFFFF"/>
        </w:rPr>
        <w:t xml:space="preserve"> </w:t>
      </w:r>
    </w:p>
    <w:p w14:paraId="15F8385E" w14:textId="72F52A69" w:rsidR="00CF2EDC" w:rsidRPr="00CE0435" w:rsidRDefault="00CF2EDC" w:rsidP="00CE0435">
      <w:pPr>
        <w:spacing w:after="0" w:line="360" w:lineRule="auto"/>
        <w:ind w:left="0" w:firstLine="0"/>
        <w:rPr>
          <w:color w:val="222222"/>
          <w:sz w:val="22"/>
          <w:szCs w:val="22"/>
          <w:shd w:val="clear" w:color="auto" w:fill="FFFFFF"/>
        </w:rPr>
      </w:pPr>
      <w:r w:rsidRPr="00CE0435">
        <w:rPr>
          <w:color w:val="222222"/>
          <w:sz w:val="22"/>
          <w:szCs w:val="22"/>
          <w:shd w:val="clear" w:color="auto" w:fill="FFFFFF"/>
        </w:rPr>
        <w:t>Association of Optometrists (AOP). (2025). NICE guidance recommends people with dementia have regular sight tests. Available at: </w:t>
      </w:r>
      <w:hyperlink r:id="rId7" w:tgtFrame="_blank" w:history="1">
        <w:r w:rsidRPr="00CE0435">
          <w:rPr>
            <w:rStyle w:val="Hyperlink"/>
            <w:color w:val="1155CC"/>
            <w:sz w:val="22"/>
            <w:szCs w:val="22"/>
            <w:shd w:val="clear" w:color="auto" w:fill="FFFFFF"/>
          </w:rPr>
          <w:t>https://www.aop.org.uk</w:t>
        </w:r>
      </w:hyperlink>
      <w:r w:rsidRPr="00CE0435">
        <w:rPr>
          <w:color w:val="222222"/>
          <w:sz w:val="22"/>
          <w:szCs w:val="22"/>
          <w:shd w:val="clear" w:color="auto" w:fill="FFFFFF"/>
        </w:rPr>
        <w:t xml:space="preserve"> (Accessed: </w:t>
      </w:r>
      <w:r w:rsidR="00CE0435">
        <w:rPr>
          <w:color w:val="222222"/>
          <w:sz w:val="22"/>
          <w:szCs w:val="22"/>
          <w:shd w:val="clear" w:color="auto" w:fill="FFFFFF"/>
        </w:rPr>
        <w:t>10</w:t>
      </w:r>
      <w:r w:rsidRPr="00CE0435">
        <w:rPr>
          <w:color w:val="222222"/>
          <w:sz w:val="22"/>
          <w:szCs w:val="22"/>
          <w:shd w:val="clear" w:color="auto" w:fill="FFFFFF"/>
        </w:rPr>
        <w:t xml:space="preserve"> April 2026).</w:t>
      </w:r>
      <w:r w:rsidRPr="00CE0435">
        <w:rPr>
          <w:color w:val="222222"/>
          <w:sz w:val="22"/>
          <w:szCs w:val="22"/>
        </w:rPr>
        <w:br/>
      </w:r>
      <w:r w:rsidRPr="00CE0435">
        <w:rPr>
          <w:color w:val="222222"/>
          <w:sz w:val="22"/>
          <w:szCs w:val="22"/>
        </w:rPr>
        <w:br/>
      </w:r>
      <w:r w:rsidRPr="00CE0435">
        <w:rPr>
          <w:color w:val="222222"/>
          <w:sz w:val="22"/>
          <w:szCs w:val="22"/>
          <w:shd w:val="clear" w:color="auto" w:fill="FFFFFF"/>
        </w:rPr>
        <w:t>Care Quality Commission (CQC). (2025). Health and social care support for people with dementia: Available at: </w:t>
      </w:r>
      <w:hyperlink r:id="rId8" w:tgtFrame="_blank" w:history="1">
        <w:r w:rsidRPr="00CE0435">
          <w:rPr>
            <w:rStyle w:val="Hyperlink"/>
            <w:color w:val="1155CC"/>
            <w:sz w:val="22"/>
            <w:szCs w:val="22"/>
            <w:shd w:val="clear" w:color="auto" w:fill="FFFFFF"/>
          </w:rPr>
          <w:t>https://www.cqc.org.uk</w:t>
        </w:r>
      </w:hyperlink>
      <w:r w:rsidRPr="00CE0435">
        <w:rPr>
          <w:color w:val="222222"/>
          <w:sz w:val="22"/>
          <w:szCs w:val="22"/>
          <w:shd w:val="clear" w:color="auto" w:fill="FFFFFF"/>
        </w:rPr>
        <w:t xml:space="preserve"> (Accessed: </w:t>
      </w:r>
      <w:r w:rsidR="00CE0435">
        <w:rPr>
          <w:color w:val="222222"/>
          <w:sz w:val="22"/>
          <w:szCs w:val="22"/>
          <w:shd w:val="clear" w:color="auto" w:fill="FFFFFF"/>
        </w:rPr>
        <w:t>10</w:t>
      </w:r>
      <w:r w:rsidRPr="00CE0435">
        <w:rPr>
          <w:color w:val="222222"/>
          <w:sz w:val="22"/>
          <w:szCs w:val="22"/>
          <w:shd w:val="clear" w:color="auto" w:fill="FFFFFF"/>
        </w:rPr>
        <w:t xml:space="preserve"> April 2026).</w:t>
      </w:r>
    </w:p>
    <w:p w14:paraId="39B4E8FC" w14:textId="77777777" w:rsidR="00CF2EDC" w:rsidRPr="00CE0435" w:rsidRDefault="00CF2EDC" w:rsidP="00CE0435">
      <w:pPr>
        <w:spacing w:after="0" w:line="360" w:lineRule="auto"/>
        <w:ind w:left="0" w:firstLine="0"/>
        <w:rPr>
          <w:rFonts w:eastAsia="Times New Roman"/>
          <w:color w:val="auto"/>
          <w:kern w:val="0"/>
          <w:sz w:val="22"/>
          <w:szCs w:val="22"/>
          <w14:ligatures w14:val="none"/>
        </w:rPr>
      </w:pPr>
    </w:p>
    <w:p w14:paraId="29B472DE" w14:textId="6BF78669" w:rsidR="00CE0435" w:rsidRPr="00CE0435" w:rsidRDefault="0031061D" w:rsidP="00CE0435">
      <w:pPr>
        <w:spacing w:after="0" w:line="360" w:lineRule="auto"/>
        <w:ind w:left="0" w:firstLine="0"/>
        <w:rPr>
          <w:color w:val="222222"/>
          <w:sz w:val="22"/>
          <w:szCs w:val="22"/>
          <w:shd w:val="clear" w:color="auto" w:fill="FFFFFF"/>
        </w:rPr>
      </w:pPr>
      <w:r w:rsidRPr="0031061D">
        <w:rPr>
          <w:rFonts w:eastAsia="Times New Roman"/>
          <w:color w:val="auto"/>
          <w:kern w:val="0"/>
          <w:sz w:val="22"/>
          <w:szCs w:val="22"/>
          <w14:ligatures w14:val="none"/>
        </w:rPr>
        <w:br/>
      </w:r>
      <w:r w:rsidR="00CE0435" w:rsidRPr="00CE0435">
        <w:rPr>
          <w:color w:val="222222"/>
          <w:sz w:val="22"/>
          <w:szCs w:val="22"/>
          <w:shd w:val="clear" w:color="auto" w:fill="FFFFFF"/>
        </w:rPr>
        <w:t>Gov.uk. (2025). Government-backed technologies support those living with dementia. Department of Health and Social Care. Available at: </w:t>
      </w:r>
      <w:hyperlink r:id="rId9" w:tgtFrame="_blank" w:history="1">
        <w:r w:rsidR="00CE0435" w:rsidRPr="00CE0435">
          <w:rPr>
            <w:rStyle w:val="Hyperlink"/>
            <w:color w:val="1155CC"/>
            <w:sz w:val="22"/>
            <w:szCs w:val="22"/>
            <w:shd w:val="clear" w:color="auto" w:fill="FFFFFF"/>
          </w:rPr>
          <w:t>https://www.gov.uk</w:t>
        </w:r>
      </w:hyperlink>
      <w:r w:rsidR="00CE0435" w:rsidRPr="00CE0435">
        <w:rPr>
          <w:color w:val="222222"/>
          <w:sz w:val="22"/>
          <w:szCs w:val="22"/>
          <w:shd w:val="clear" w:color="auto" w:fill="FFFFFF"/>
        </w:rPr>
        <w:t> (Accessed: 20 April 2026).</w:t>
      </w:r>
    </w:p>
    <w:p w14:paraId="787A4CE0" w14:textId="30A16143" w:rsidR="0031061D" w:rsidRPr="0031061D" w:rsidRDefault="0031061D" w:rsidP="00CE0435">
      <w:pPr>
        <w:spacing w:after="0" w:line="360" w:lineRule="auto"/>
        <w:ind w:left="0" w:firstLine="0"/>
        <w:rPr>
          <w:rFonts w:eastAsia="Times New Roman"/>
          <w:color w:val="auto"/>
          <w:kern w:val="0"/>
          <w:sz w:val="22"/>
          <w:szCs w:val="22"/>
          <w14:ligatures w14:val="none"/>
        </w:rPr>
      </w:pPr>
      <w:r w:rsidRPr="0031061D">
        <w:rPr>
          <w:rFonts w:eastAsia="Times New Roman"/>
          <w:color w:val="auto"/>
          <w:kern w:val="0"/>
          <w:sz w:val="22"/>
          <w:szCs w:val="22"/>
          <w14:ligatures w14:val="none"/>
        </w:rPr>
        <w:br/>
        <w:t>Livingston, G., et al. (2020). 'Dementia prevention, intervention, and care: 2020 report of the Lancet Commission', The Lancet, 396(10248), pp. 413-446.</w:t>
      </w:r>
      <w:r w:rsidRPr="0031061D">
        <w:rPr>
          <w:rFonts w:eastAsia="Times New Roman"/>
          <w:color w:val="auto"/>
          <w:kern w:val="0"/>
          <w:sz w:val="22"/>
          <w:szCs w:val="22"/>
          <w14:ligatures w14:val="none"/>
        </w:rPr>
        <w:br/>
      </w:r>
      <w:r w:rsidRPr="0031061D">
        <w:rPr>
          <w:rFonts w:eastAsia="Times New Roman"/>
          <w:color w:val="auto"/>
          <w:kern w:val="0"/>
          <w:sz w:val="22"/>
          <w:szCs w:val="22"/>
          <w14:ligatures w14:val="none"/>
        </w:rPr>
        <w:br/>
        <w:t>NHS. (2023). Tests for dementia. Available at: </w:t>
      </w:r>
      <w:hyperlink r:id="rId10" w:tgtFrame="_blank" w:history="1">
        <w:r w:rsidRPr="0031061D">
          <w:rPr>
            <w:rFonts w:eastAsia="Times New Roman"/>
            <w:color w:val="1155CC"/>
            <w:kern w:val="0"/>
            <w:sz w:val="22"/>
            <w:szCs w:val="22"/>
            <w:u w:val="single"/>
            <w14:ligatures w14:val="none"/>
          </w:rPr>
          <w:t>https://www.nhs.uk/conditions/dementia/diagnosis-tests/</w:t>
        </w:r>
      </w:hyperlink>
      <w:r w:rsidRPr="0031061D">
        <w:rPr>
          <w:rFonts w:eastAsia="Times New Roman"/>
          <w:color w:val="auto"/>
          <w:kern w:val="0"/>
          <w:sz w:val="22"/>
          <w:szCs w:val="22"/>
          <w14:ligatures w14:val="none"/>
        </w:rPr>
        <w:t xml:space="preserve"> (Accessed: </w:t>
      </w:r>
      <w:r w:rsidR="00CE0435">
        <w:rPr>
          <w:rFonts w:eastAsia="Times New Roman"/>
          <w:color w:val="auto"/>
          <w:kern w:val="0"/>
          <w:sz w:val="22"/>
          <w:szCs w:val="22"/>
          <w14:ligatures w14:val="none"/>
        </w:rPr>
        <w:t xml:space="preserve">10 </w:t>
      </w:r>
      <w:r w:rsidRPr="0031061D">
        <w:rPr>
          <w:rFonts w:eastAsia="Times New Roman"/>
          <w:color w:val="auto"/>
          <w:kern w:val="0"/>
          <w:sz w:val="22"/>
          <w:szCs w:val="22"/>
          <w14:ligatures w14:val="none"/>
        </w:rPr>
        <w:t>April 202</w:t>
      </w:r>
      <w:r w:rsidR="00CE0435">
        <w:rPr>
          <w:rFonts w:eastAsia="Times New Roman"/>
          <w:color w:val="auto"/>
          <w:kern w:val="0"/>
          <w:sz w:val="22"/>
          <w:szCs w:val="22"/>
          <w14:ligatures w14:val="none"/>
        </w:rPr>
        <w:t>6</w:t>
      </w:r>
      <w:r w:rsidRPr="0031061D">
        <w:rPr>
          <w:rFonts w:eastAsia="Times New Roman"/>
          <w:color w:val="auto"/>
          <w:kern w:val="0"/>
          <w:sz w:val="22"/>
          <w:szCs w:val="22"/>
          <w14:ligatures w14:val="none"/>
        </w:rPr>
        <w:t>).</w:t>
      </w:r>
      <w:r w:rsidRPr="0031061D">
        <w:rPr>
          <w:rFonts w:eastAsia="Times New Roman"/>
          <w:color w:val="auto"/>
          <w:kern w:val="0"/>
          <w:sz w:val="22"/>
          <w:szCs w:val="22"/>
          <w14:ligatures w14:val="none"/>
        </w:rPr>
        <w:br/>
      </w:r>
      <w:r w:rsidRPr="0031061D">
        <w:rPr>
          <w:rFonts w:eastAsia="Times New Roman"/>
          <w:color w:val="auto"/>
          <w:kern w:val="0"/>
          <w:sz w:val="22"/>
          <w:szCs w:val="22"/>
          <w14:ligatures w14:val="none"/>
        </w:rPr>
        <w:br/>
        <w:t>Prince, M., et al. (2015). World Alzheimer Report 2015: The Global Impact of Dementia. London: Alzheimer’s Disease International.</w:t>
      </w:r>
      <w:r w:rsidRPr="0031061D">
        <w:rPr>
          <w:rFonts w:eastAsia="Times New Roman"/>
          <w:color w:val="auto"/>
          <w:kern w:val="0"/>
          <w:sz w:val="22"/>
          <w:szCs w:val="22"/>
          <w14:ligatures w14:val="none"/>
        </w:rPr>
        <w:br/>
      </w:r>
      <w:r w:rsidRPr="0031061D">
        <w:rPr>
          <w:rFonts w:eastAsia="Times New Roman"/>
          <w:color w:val="auto"/>
          <w:kern w:val="0"/>
          <w:sz w:val="22"/>
          <w:szCs w:val="22"/>
          <w14:ligatures w14:val="none"/>
        </w:rPr>
        <w:br/>
        <w:t xml:space="preserve"> Prince, M., et al. (2016). World Alzheimer Report 2016: Improving healthcare for people living with dementia. London: Alzheimer’s Disease International.</w:t>
      </w:r>
      <w:r w:rsidRPr="0031061D">
        <w:rPr>
          <w:rFonts w:eastAsia="Times New Roman"/>
          <w:color w:val="auto"/>
          <w:kern w:val="0"/>
          <w:sz w:val="22"/>
          <w:szCs w:val="22"/>
          <w14:ligatures w14:val="none"/>
        </w:rPr>
        <w:br/>
      </w:r>
      <w:r w:rsidRPr="0031061D">
        <w:rPr>
          <w:rFonts w:eastAsia="Times New Roman"/>
          <w:color w:val="auto"/>
          <w:kern w:val="0"/>
          <w:sz w:val="22"/>
          <w:szCs w:val="22"/>
          <w14:ligatures w14:val="none"/>
        </w:rPr>
        <w:br/>
        <w:t>World Health Organization (WHO). (2023). Dementia: Key facts. Available at: </w:t>
      </w:r>
      <w:hyperlink r:id="rId11" w:tgtFrame="_blank" w:history="1">
        <w:r w:rsidRPr="0031061D">
          <w:rPr>
            <w:rFonts w:eastAsia="Times New Roman"/>
            <w:color w:val="1155CC"/>
            <w:kern w:val="0"/>
            <w:sz w:val="22"/>
            <w:szCs w:val="22"/>
            <w:u w:val="single"/>
            <w14:ligatures w14:val="none"/>
          </w:rPr>
          <w:t>https://www.who.int/news-room/fact-sheets/detail/dementia</w:t>
        </w:r>
      </w:hyperlink>
      <w:r w:rsidRPr="0031061D">
        <w:rPr>
          <w:rFonts w:eastAsia="Times New Roman"/>
          <w:color w:val="auto"/>
          <w:kern w:val="0"/>
          <w:sz w:val="22"/>
          <w:szCs w:val="22"/>
          <w14:ligatures w14:val="none"/>
        </w:rPr>
        <w:t> (Accessed:</w:t>
      </w:r>
      <w:r w:rsidR="00CE0435">
        <w:rPr>
          <w:rFonts w:eastAsia="Times New Roman"/>
          <w:color w:val="auto"/>
          <w:kern w:val="0"/>
          <w:sz w:val="22"/>
          <w:szCs w:val="22"/>
          <w14:ligatures w14:val="none"/>
        </w:rPr>
        <w:t xml:space="preserve">10 </w:t>
      </w:r>
      <w:r w:rsidRPr="0031061D">
        <w:rPr>
          <w:rFonts w:eastAsia="Times New Roman"/>
          <w:color w:val="auto"/>
          <w:kern w:val="0"/>
          <w:sz w:val="22"/>
          <w:szCs w:val="22"/>
          <w14:ligatures w14:val="none"/>
        </w:rPr>
        <w:t>April 202</w:t>
      </w:r>
      <w:r w:rsidR="00CE0435">
        <w:rPr>
          <w:rFonts w:eastAsia="Times New Roman"/>
          <w:color w:val="auto"/>
          <w:kern w:val="0"/>
          <w:sz w:val="22"/>
          <w:szCs w:val="22"/>
          <w14:ligatures w14:val="none"/>
        </w:rPr>
        <w:t>6</w:t>
      </w:r>
      <w:r w:rsidRPr="0031061D">
        <w:rPr>
          <w:rFonts w:eastAsia="Times New Roman"/>
          <w:color w:val="auto"/>
          <w:kern w:val="0"/>
          <w:sz w:val="22"/>
          <w:szCs w:val="22"/>
          <w14:ligatures w14:val="none"/>
        </w:rPr>
        <w:t>).</w:t>
      </w:r>
    </w:p>
    <w:p w14:paraId="15E36651" w14:textId="77777777" w:rsidR="0031061D" w:rsidRPr="00CE0435" w:rsidRDefault="0031061D" w:rsidP="00CE0435">
      <w:pPr>
        <w:spacing w:after="0" w:line="360" w:lineRule="auto"/>
        <w:ind w:left="0" w:firstLine="0"/>
        <w:rPr>
          <w:sz w:val="22"/>
          <w:szCs w:val="22"/>
        </w:rPr>
      </w:pPr>
    </w:p>
    <w:p w14:paraId="1BA80CB3" w14:textId="77924154" w:rsidR="003A48D0" w:rsidRPr="003A48D0" w:rsidRDefault="003A48D0" w:rsidP="003A48D0">
      <w:pPr>
        <w:shd w:val="clear" w:color="auto" w:fill="FFFFFF"/>
        <w:spacing w:after="0" w:line="240" w:lineRule="auto"/>
        <w:ind w:left="0" w:firstLine="0"/>
        <w:rPr>
          <w:rFonts w:eastAsia="Times New Roman"/>
          <w:color w:val="222222"/>
          <w:kern w:val="0"/>
          <w14:ligatures w14:val="none"/>
        </w:rPr>
      </w:pPr>
    </w:p>
    <w:p w14:paraId="18FBE966" w14:textId="77777777" w:rsidR="003A48D0" w:rsidRPr="003A48D0" w:rsidRDefault="003A48D0" w:rsidP="003A48D0"/>
    <w:p w14:paraId="3E14C004" w14:textId="1335B4A4" w:rsidR="003A48D0" w:rsidRPr="0031061D" w:rsidRDefault="003A48D0" w:rsidP="003A48D0">
      <w:pPr>
        <w:spacing w:after="0" w:line="360" w:lineRule="auto"/>
        <w:ind w:left="0" w:firstLine="0"/>
        <w:rPr>
          <w:sz w:val="22"/>
          <w:szCs w:val="22"/>
        </w:rPr>
      </w:pPr>
      <w:r w:rsidRPr="0031061D">
        <w:rPr>
          <w:sz w:val="22"/>
          <w:szCs w:val="22"/>
        </w:rPr>
        <w:lastRenderedPageBreak/>
        <w:t xml:space="preserve"> </w:t>
      </w:r>
      <w:r w:rsidRPr="0031061D">
        <w:rPr>
          <w:color w:val="222222"/>
          <w:sz w:val="22"/>
          <w:szCs w:val="22"/>
        </w:rPr>
        <w:br/>
      </w:r>
    </w:p>
    <w:sectPr w:rsidR="003A48D0" w:rsidRPr="0031061D">
      <w:pgSz w:w="11905" w:h="16840"/>
      <w:pgMar w:top="1440" w:right="1447" w:bottom="2700"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330274"/>
    <w:multiLevelType w:val="hybridMultilevel"/>
    <w:tmpl w:val="7E7E2C1A"/>
    <w:lvl w:ilvl="0" w:tplc="C744F3BE">
      <w:start w:val="1"/>
      <w:numFmt w:val="decimal"/>
      <w:lvlText w:val="%1."/>
      <w:lvlJc w:val="left"/>
      <w:pPr>
        <w:ind w:left="420" w:hanging="360"/>
      </w:pPr>
      <w:rPr>
        <w:rFonts w:hint="default"/>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684432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614"/>
    <w:rsid w:val="00044802"/>
    <w:rsid w:val="00096F86"/>
    <w:rsid w:val="0031061D"/>
    <w:rsid w:val="003446F1"/>
    <w:rsid w:val="00364E6D"/>
    <w:rsid w:val="003A48D0"/>
    <w:rsid w:val="00477614"/>
    <w:rsid w:val="00516CDF"/>
    <w:rsid w:val="0083565A"/>
    <w:rsid w:val="009010A0"/>
    <w:rsid w:val="00A31F6F"/>
    <w:rsid w:val="00CC27E0"/>
    <w:rsid w:val="00CE0435"/>
    <w:rsid w:val="00CF2EDC"/>
    <w:rsid w:val="00DA5F5A"/>
    <w:rsid w:val="00F12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6391"/>
  <w15:docId w15:val="{293A0C4F-B83D-40F4-B7E4-3A98C737E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spacing w:after="4" w:line="251" w:lineRule="auto"/>
      <w:ind w:left="10" w:hanging="10"/>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character" w:styleId="Hyperlink">
    <w:name w:val="Hyperlink"/>
    <w:basedOn w:val="DefaultParagraphFont"/>
    <w:uiPriority w:val="99"/>
    <w:semiHidden/>
    <w:unhideWhenUsed/>
    <w:rsid w:val="00CF2EDC"/>
    <w:rPr>
      <w:color w:val="0000FF"/>
      <w:u w:val="single"/>
    </w:rPr>
  </w:style>
  <w:style w:type="paragraph" w:styleId="ListParagraph">
    <w:name w:val="List Paragraph"/>
    <w:basedOn w:val="Normal"/>
    <w:uiPriority w:val="34"/>
    <w:qFormat/>
    <w:rsid w:val="00CF2E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op.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org.uk/" TargetMode="External"/><Relationship Id="rId11" Type="http://schemas.openxmlformats.org/officeDocument/2006/relationships/hyperlink" Target="https://www.who.int/news-room/fact-sheets/detail/dementia" TargetMode="External"/><Relationship Id="rId5" Type="http://schemas.openxmlformats.org/officeDocument/2006/relationships/image" Target="media/image1.jpg"/><Relationship Id="rId10" Type="http://schemas.openxmlformats.org/officeDocument/2006/relationships/hyperlink" Target="https://www.nhs.uk/conditions/dementia/diagnosis-tests/" TargetMode="External"/><Relationship Id="rId4" Type="http://schemas.openxmlformats.org/officeDocument/2006/relationships/webSettings" Target="web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1648</Words>
  <Characters>9399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Odette Jack</dc:creator>
  <cp:keywords/>
  <cp:lastModifiedBy>Oana-Zlatita Ilici (2516914)</cp:lastModifiedBy>
  <cp:revision>2</cp:revision>
  <dcterms:created xsi:type="dcterms:W3CDTF">2026-04-20T21:31:00Z</dcterms:created>
  <dcterms:modified xsi:type="dcterms:W3CDTF">2026-04-20T21:31:00Z</dcterms:modified>
</cp:coreProperties>
</file>