
<file path=[Content_Types].xml><?xml version="1.0" encoding="utf-8"?>
<Types xmlns="http://schemas.openxmlformats.org/package/2006/content-types">
  <Default Extension="xml" ContentType="application/xml"/>
  <Default Extension="rels" ContentType="application/vnd.openxmlformats-package.relationships+xml"/>
  <Default Extension="jpeg" ContentType="image/jpg"/>
  <Default Extension="png" ContentType="image/png"/>
  <Default Extension="bmp" ContentType="image/bmp"/>
  <Default Extension="gif" ContentType="image/gif"/>
  <Default Extension="tif" ContentType="image/tif"/>
  <Default Extension="pdf" ContentType="application/pdf"/>
  <Default Extension="mov" ContentType="application/movie"/>
  <Default Extension="vml" ContentType="application/vnd.openxmlformats-officedocument.vmlDrawing"/>
  <Default Extension="xlsx" ContentType="application/vnd.openxmlformats-officedocument.spreadsheetml.sheet"/>
  <Override PartName="/docProps/core.xml" ContentType="application/vnd.openxmlformats-package.core-properties+xml"/>
  <Override PartName="/docProps/app.xml" ContentType="application/vnd.openxmlformats-officedocument.extended-properties+xml"/>
  <Override PartName="/word/document.xml" ContentType="application/vnd.openxmlformats-officedocument.wordprocessingml.document.main+xml"/>
  <Override PartName="/word/settings.xml" ContentType="application/vnd.openxmlformats-officedocument.wordprocessingml.settings+xml"/>
  <Override PartName="/word/fontTable.xml" ContentType="application/vnd.openxmlformats-officedocument.wordprocessingml.fontTable+xml"/>
  <Override PartName="/word/styles.xml" ContentType="application/vnd.openxmlformats-officedocument.wordprocessingml.styles+xml"/>
  <Override PartName="/word/header1.xml" ContentType="application/vnd.openxmlformats-officedocument.wordprocessingml.header+xml"/>
  <Override PartName="/word/footer1.xml" ContentType="application/vnd.openxmlformats-officedocument.wordprocessingml.footer+xml"/>
  <Override PartName="/word/theme/theme1.xml" ContentType="application/vnd.openxmlformats-officedocument.theme+xml"/>
</Types>
</file>

<file path=_rels/.rels><?xml version="1.0" encoding="UTF-8"?>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officeDocument" Target="word/document.xml"/></Relationships>

</file>

<file path=word/document.xml><?xml version="1.0" encoding="utf-8"?>
<w:document xmlns:r="http://schemas.openxmlformats.org/officeDocument/2006/relationships" xmlns:wp="http://schemas.openxmlformats.org/drawingml/2006/wordprocessingDrawing" xmlns:w="http://schemas.openxmlformats.org/wordprocessingml/2006/main" xmlns:w10="urn:schemas-microsoft-com:office:word" xmlns:w14="http://schemas.microsoft.com/office/word/2010/wordml" xmlns:wps="http://schemas.microsoft.com/office/word/2010/wordprocessingShape" xmlns:wpg="http://schemas.microsoft.com/office/word/2010/wordprocessingGroup" xmlns:mc="http://schemas.openxmlformats.org/markup-compatibility/2006" xmlns:v="urn:schemas-microsoft-com:vml" xmlns:o="urn:schemas-microsoft-com:office:office" xmlns:m="http://schemas.openxmlformats.org/officeDocument/2006/math" mc:Ignorable="w14">
  <w:body>
    <w:p>
      <w:pPr>
        <w:pStyle w:val="Body"/>
        <w:suppressAutoHyphens w:val="1"/>
        <w:rPr>
          <w:rFonts w:ascii="Georgia" w:hAnsi="Georgia"/>
          <w:caps w:val="0"/>
          <w:smallCaps w:val="0"/>
          <w:strike w:val="0"/>
          <w:dstrike w:val="0"/>
          <w:outline w:val="0"/>
          <w:color w:val="000000"/>
          <w:spacing w:val="0"/>
          <w:kern w:val="0"/>
          <w:position w:val="0"/>
          <w:sz w:val="21"/>
          <w:szCs w:val="21"/>
          <w:u w:val="none" w:color="000000"/>
          <w:vertAlign w:val="baseline"/>
        </w:rPr>
      </w:pPr>
      <w:r>
        <w:rPr>
          <w:rFonts w:ascii="Georgia" w:hAnsi="Georgia"/>
          <w:caps w:val="0"/>
          <w:smallCaps w:val="0"/>
          <w:strike w:val="0"/>
          <w:dstrike w:val="0"/>
          <w:outline w:val="0"/>
          <w:color w:val="000000"/>
          <w:spacing w:val="0"/>
          <w:kern w:val="0"/>
          <w:position w:val="0"/>
          <w:sz w:val="21"/>
          <w:szCs w:val="21"/>
          <w:u w:val="none" w:color="000000"/>
          <w:vertAlign w:val="baseline"/>
          <w:lang w:val="en-US"/>
        </w:rPr>
        <w:drawing>
          <wp:inline distT="0" distB="0" distL="0" distR="0">
            <wp:extent cx="1908050" cy="635662"/>
            <wp:effectExtent l="0" t="0" r="0" b="0"/>
            <wp:docPr id="1073741825" name="officeArt object" descr="TSD_logo2010.png"/>
            <wp:cNvGraphicFramePr/>
            <a:graphic xmlns:a="http://schemas.openxmlformats.org/drawingml/2006/main">
              <a:graphicData uri="http://schemas.openxmlformats.org/drawingml/2006/picture">
                <pic:pic xmlns:pic="http://schemas.openxmlformats.org/drawingml/2006/picture">
                  <pic:nvPicPr>
                    <pic:cNvPr id="1073741825" name="TSD_logo2010.png" descr="TSD_logo2010.png"/>
                    <pic:cNvPicPr>
                      <a:picLocks noChangeAspect="1"/>
                    </pic:cNvPicPr>
                  </pic:nvPicPr>
                  <pic:blipFill>
                    <a:blip r:embed="rId4">
                      <a:extLst/>
                    </a:blip>
                    <a:stretch>
                      <a:fillRect/>
                    </a:stretch>
                  </pic:blipFill>
                  <pic:spPr>
                    <a:xfrm>
                      <a:off x="0" y="0"/>
                      <a:ext cx="1908050" cy="635662"/>
                    </a:xfrm>
                    <a:prstGeom prst="rect">
                      <a:avLst/>
                    </a:prstGeom>
                    <a:ln w="19050" cap="flat">
                      <a:solidFill>
                        <a:srgbClr val="000000"/>
                      </a:solidFill>
                      <a:prstDash val="solid"/>
                      <a:round/>
                    </a:ln>
                    <a:effectLst/>
                  </pic:spPr>
                </pic:pic>
              </a:graphicData>
            </a:graphic>
          </wp:inline>
        </w:drawing>
      </w:r>
    </w:p>
    <w:p>
      <w:pPr>
        <w:pStyle w:val="Body"/>
        <w:suppressAutoHyphens w:val="1"/>
        <w:rPr>
          <w:rFonts w:ascii="Georgia" w:hAnsi="Georgia"/>
          <w:caps w:val="0"/>
          <w:smallCaps w:val="0"/>
          <w:strike w:val="0"/>
          <w:dstrike w:val="0"/>
          <w:outline w:val="0"/>
          <w:color w:val="000000"/>
          <w:spacing w:val="0"/>
          <w:kern w:val="0"/>
          <w:position w:val="0"/>
          <w:sz w:val="21"/>
          <w:szCs w:val="21"/>
          <w:u w:val="none" w:color="000000"/>
          <w:vertAlign w:val="baseline"/>
          <w:lang w:val="en-US"/>
        </w:rPr>
      </w:pPr>
    </w:p>
    <w:p>
      <w:pPr>
        <w:pStyle w:val="Body"/>
        <w:suppressAutoHyphens w:val="1"/>
        <w:rPr>
          <w:rFonts w:ascii="Georgia" w:hAnsi="Georgia"/>
          <w:caps w:val="0"/>
          <w:smallCaps w:val="0"/>
          <w:strike w:val="0"/>
          <w:dstrike w:val="0"/>
          <w:outline w:val="0"/>
          <w:color w:val="000000"/>
          <w:spacing w:val="0"/>
          <w:kern w:val="0"/>
          <w:position w:val="0"/>
          <w:sz w:val="21"/>
          <w:szCs w:val="21"/>
          <w:u w:val="none" w:color="000000"/>
          <w:vertAlign w:val="baseline"/>
          <w:lang w:val="en-US"/>
        </w:rPr>
      </w:pPr>
    </w:p>
    <w:p>
      <w:pPr>
        <w:pStyle w:val="Body"/>
        <w:suppressAutoHyphens w:val="1"/>
        <w:jc w:val="center"/>
        <w:rPr>
          <w:rFonts w:ascii="Arial" w:cs="Arial" w:hAnsi="Arial" w:eastAsia="Arial"/>
          <w:b w:val="1"/>
          <w:bCs w:val="1"/>
          <w:caps w:val="0"/>
          <w:smallCaps w:val="0"/>
          <w:strike w:val="0"/>
          <w:dstrike w:val="0"/>
          <w:outline w:val="0"/>
          <w:color w:val="000000"/>
          <w:spacing w:val="0"/>
          <w:kern w:val="0"/>
          <w:position w:val="0"/>
          <w:sz w:val="28"/>
          <w:szCs w:val="28"/>
          <w:u w:val="none" w:color="000000"/>
          <w:vertAlign w:val="baseline"/>
        </w:rPr>
      </w:pPr>
      <w:r>
        <w:rPr>
          <w:rFonts w:ascii="Arial" w:hAnsi="Arial"/>
          <w:b w:val="1"/>
          <w:bCs w:val="1"/>
          <w:caps w:val="0"/>
          <w:smallCaps w:val="0"/>
          <w:strike w:val="0"/>
          <w:dstrike w:val="0"/>
          <w:outline w:val="0"/>
          <w:color w:val="000000"/>
          <w:spacing w:val="0"/>
          <w:kern w:val="0"/>
          <w:position w:val="0"/>
          <w:sz w:val="28"/>
          <w:szCs w:val="28"/>
          <w:u w:val="none" w:color="000000"/>
          <w:vertAlign w:val="baseline"/>
          <w:rtl w:val="0"/>
          <w:lang w:val="en-US"/>
        </w:rPr>
        <w:t xml:space="preserve">Postgraduate/Distance Learning </w:t>
      </w:r>
    </w:p>
    <w:p>
      <w:pPr>
        <w:pStyle w:val="Body"/>
        <w:suppressAutoHyphens w:val="1"/>
        <w:jc w:val="center"/>
        <w:rPr>
          <w:rFonts w:ascii="Arial" w:cs="Arial" w:hAnsi="Arial" w:eastAsia="Arial"/>
          <w:b w:val="1"/>
          <w:bCs w:val="1"/>
          <w:caps w:val="0"/>
          <w:smallCaps w:val="0"/>
          <w:strike w:val="0"/>
          <w:dstrike w:val="0"/>
          <w:outline w:val="0"/>
          <w:color w:val="000000"/>
          <w:spacing w:val="0"/>
          <w:kern w:val="0"/>
          <w:position w:val="0"/>
          <w:sz w:val="28"/>
          <w:szCs w:val="28"/>
          <w:u w:val="none" w:color="000000"/>
          <w:vertAlign w:val="baseline"/>
        </w:rPr>
      </w:pPr>
      <w:r>
        <w:rPr>
          <w:rFonts w:ascii="Arial" w:hAnsi="Arial"/>
          <w:b w:val="1"/>
          <w:bCs w:val="1"/>
          <w:caps w:val="0"/>
          <w:smallCaps w:val="0"/>
          <w:strike w:val="0"/>
          <w:dstrike w:val="0"/>
          <w:outline w:val="0"/>
          <w:color w:val="000000"/>
          <w:spacing w:val="0"/>
          <w:kern w:val="0"/>
          <w:position w:val="0"/>
          <w:sz w:val="28"/>
          <w:szCs w:val="28"/>
          <w:u w:val="none" w:color="000000"/>
          <w:vertAlign w:val="baseline"/>
          <w:rtl w:val="0"/>
          <w:lang w:val="en-US"/>
        </w:rPr>
        <w:t>Assignment coversheet &amp; feedback form</w:t>
      </w:r>
    </w:p>
    <w:p>
      <w:pPr>
        <w:pStyle w:val="Body"/>
        <w:suppressAutoHyphens w:val="1"/>
        <w:jc w:val="center"/>
        <w:rPr>
          <w:rFonts w:ascii="Arial" w:cs="Arial" w:hAnsi="Arial" w:eastAsia="Arial"/>
          <w:b w:val="1"/>
          <w:bCs w:val="1"/>
          <w:caps w:val="0"/>
          <w:smallCaps w:val="0"/>
          <w:strike w:val="0"/>
          <w:dstrike w:val="0"/>
          <w:outline w:val="0"/>
          <w:color w:val="000000"/>
          <w:spacing w:val="0"/>
          <w:kern w:val="0"/>
          <w:position w:val="0"/>
          <w:sz w:val="28"/>
          <w:szCs w:val="28"/>
          <w:u w:val="none" w:color="000000"/>
          <w:vertAlign w:val="baseline"/>
        </w:rPr>
      </w:pPr>
    </w:p>
    <w:p>
      <w:pPr>
        <w:pStyle w:val="Body"/>
        <w:suppressAutoHyphens w:val="1"/>
        <w:jc w:val="center"/>
        <w:rPr>
          <w:rFonts w:ascii="Tahoma" w:cs="Tahoma" w:hAnsi="Tahoma" w:eastAsia="Tahoma"/>
          <w:b w:val="1"/>
          <w:bCs w:val="1"/>
          <w:caps w:val="0"/>
          <w:smallCaps w:val="0"/>
          <w:strike w:val="0"/>
          <w:dstrike w:val="0"/>
          <w:outline w:val="0"/>
          <w:color w:val="000000"/>
          <w:spacing w:val="0"/>
          <w:kern w:val="0"/>
          <w:position w:val="0"/>
          <w:sz w:val="20"/>
          <w:szCs w:val="20"/>
          <w:u w:val="none" w:color="000000"/>
          <w:vertAlign w:val="baseline"/>
        </w:rPr>
      </w:pPr>
      <w:r>
        <w:rPr>
          <w:rFonts w:ascii="Tahoma" w:hAnsi="Tahoma"/>
          <w:b w:val="1"/>
          <w:bCs w:val="1"/>
          <w:caps w:val="0"/>
          <w:smallCaps w:val="0"/>
          <w:strike w:val="0"/>
          <w:dstrike w:val="0"/>
          <w:outline w:val="0"/>
          <w:color w:val="000000"/>
          <w:spacing w:val="0"/>
          <w:kern w:val="0"/>
          <w:position w:val="0"/>
          <w:sz w:val="20"/>
          <w:szCs w:val="20"/>
          <w:u w:val="none" w:color="000000"/>
          <w:vertAlign w:val="baseline"/>
          <w:rtl w:val="0"/>
          <w:lang w:val="en-US"/>
        </w:rPr>
        <w:t>THIS SHEET MUST BE THE FIRST PAGE OF THE ASSIGNMENT YOU ARE SUBMITTING  (DO NOT SEND AS A SEPARATE FILE)</w:t>
      </w:r>
    </w:p>
    <w:tbl>
      <w:tblPr>
        <w:tblW w:w="9637" w:type="dxa"/>
        <w:jc w:val="center"/>
        <w:tblInd w:w="216" w:type="dxa"/>
        <w:tblBorders>
          <w:top w:val="single" w:color="ffffff" w:sz="8" w:space="0" w:shadow="0" w:frame="0"/>
          <w:left w:val="single" w:color="ffffff" w:sz="8" w:space="0" w:shadow="0" w:frame="0"/>
          <w:bottom w:val="single" w:color="ffffff" w:sz="8" w:space="0" w:shadow="0" w:frame="0"/>
          <w:right w:val="single" w:color="ffffff" w:sz="8" w:space="0" w:shadow="0" w:frame="0"/>
          <w:insideH w:val="single" w:color="ffffff" w:sz="8" w:space="0" w:shadow="0" w:frame="0"/>
          <w:insideV w:val="single" w:color="ffffff" w:sz="8" w:space="0" w:shadow="0" w:frame="0"/>
        </w:tblBorders>
        <w:shd w:val="clear" w:color="auto" w:fill="ceddeb"/>
        <w:tblLayout w:type="fixed"/>
      </w:tblPr>
      <w:tblGrid>
        <w:gridCol w:w="5210"/>
        <w:gridCol w:w="461"/>
        <w:gridCol w:w="1694"/>
        <w:gridCol w:w="311"/>
        <w:gridCol w:w="1961"/>
      </w:tblGrid>
      <w:tr>
        <w:tblPrEx>
          <w:shd w:val="clear" w:color="auto" w:fill="ceddeb"/>
        </w:tblPrEx>
        <w:trPr>
          <w:trHeight w:val="464" w:hRule="atLeast"/>
        </w:trPr>
        <w:tc>
          <w:tcPr>
            <w:tcW w:type="dxa" w:w="9637"/>
            <w:gridSpan w:val="5"/>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114"/>
            </w:tcMar>
            <w:vAlign w:val="top"/>
          </w:tcPr>
          <w:p>
            <w:pPr>
              <w:pStyle w:val="Body"/>
              <w:ind w:right="34"/>
            </w:pPr>
            <w:r>
              <w:rPr>
                <w:rFonts w:ascii="Arial" w:hAnsi="Arial"/>
                <w:b w:val="1"/>
                <w:bCs w:val="1"/>
                <w:sz w:val="22"/>
                <w:szCs w:val="22"/>
                <w:rtl w:val="0"/>
                <w:lang w:val="en-US"/>
              </w:rPr>
              <w:t>For completion by the student</w:t>
            </w:r>
            <w:r>
              <w:rPr>
                <w:rFonts w:ascii="Arial" w:hAnsi="Arial"/>
                <w:sz w:val="22"/>
                <w:szCs w:val="22"/>
                <w:rtl w:val="0"/>
                <w:lang w:val="en-US"/>
              </w:rPr>
              <w:t>:</w:t>
            </w:r>
          </w:p>
        </w:tc>
      </w:tr>
      <w:tr>
        <w:tblPrEx>
          <w:shd w:val="clear" w:color="auto" w:fill="ceddeb"/>
        </w:tblPrEx>
        <w:trPr>
          <w:trHeight w:val="733" w:hRule="atLeast"/>
        </w:trPr>
        <w:tc>
          <w:tcPr>
            <w:tcW w:type="dxa" w:w="9637"/>
            <w:gridSpan w:val="5"/>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114"/>
            </w:tcMar>
            <w:vAlign w:val="top"/>
          </w:tcPr>
          <w:p>
            <w:pPr>
              <w:pStyle w:val="Body"/>
              <w:ind w:right="34"/>
              <w:rPr>
                <w:rFonts w:ascii="Arial" w:cs="Arial" w:hAnsi="Arial" w:eastAsia="Arial"/>
                <w:sz w:val="22"/>
                <w:szCs w:val="22"/>
              </w:rPr>
            </w:pPr>
            <w:r>
              <w:rPr>
                <w:rFonts w:ascii="Arial" w:hAnsi="Arial"/>
                <w:sz w:val="22"/>
                <w:szCs w:val="22"/>
                <w:rtl w:val="0"/>
                <w:lang w:val="en-US"/>
              </w:rPr>
              <w:t xml:space="preserve">Student Name: </w:t>
            </w:r>
            <w:r>
              <w:rPr>
                <w:rFonts w:ascii="Arial" w:hAnsi="Arial"/>
                <w:b w:val="1"/>
                <w:bCs w:val="1"/>
                <w:sz w:val="22"/>
                <w:szCs w:val="22"/>
                <w:rtl w:val="0"/>
                <w:lang w:val="en-US"/>
              </w:rPr>
              <w:t>Reece Morris</w:t>
            </w:r>
          </w:p>
          <w:p>
            <w:pPr>
              <w:pStyle w:val="Body"/>
              <w:ind w:right="34"/>
              <w:rPr>
                <w:rFonts w:ascii="Arial" w:cs="Arial" w:hAnsi="Arial" w:eastAsia="Arial"/>
                <w:sz w:val="22"/>
                <w:szCs w:val="22"/>
                <w:lang w:val="en-US"/>
              </w:rPr>
            </w:pPr>
          </w:p>
          <w:p>
            <w:pPr>
              <w:pStyle w:val="Body"/>
              <w:bidi w:val="0"/>
              <w:ind w:left="0" w:right="34" w:firstLine="0"/>
              <w:jc w:val="left"/>
              <w:rPr>
                <w:rtl w:val="0"/>
              </w:rPr>
            </w:pPr>
            <w:r>
              <w:rPr>
                <w:rFonts w:ascii="Arial" w:hAnsi="Arial"/>
                <w:sz w:val="22"/>
                <w:szCs w:val="22"/>
                <w:rtl w:val="0"/>
                <w:lang w:val="en-US"/>
              </w:rPr>
              <w:t xml:space="preserve">Student University Email: </w:t>
            </w:r>
            <w:r>
              <w:rPr>
                <w:rFonts w:ascii="Arial" w:hAnsi="Arial"/>
                <w:b w:val="1"/>
                <w:bCs w:val="1"/>
                <w:sz w:val="22"/>
                <w:szCs w:val="22"/>
                <w:rtl w:val="0"/>
                <w:lang w:val="en-US"/>
              </w:rPr>
              <w:t>1300653@student.uwtsd.ac.uk</w:t>
            </w:r>
          </w:p>
        </w:tc>
      </w:tr>
      <w:tr>
        <w:tblPrEx>
          <w:shd w:val="clear" w:color="auto" w:fill="ceddeb"/>
        </w:tblPrEx>
        <w:trPr>
          <w:trHeight w:val="1453" w:hRule="atLeast"/>
        </w:trPr>
        <w:tc>
          <w:tcPr>
            <w:tcW w:type="dxa" w:w="5210"/>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114"/>
            </w:tcMar>
            <w:vAlign w:val="top"/>
          </w:tcPr>
          <w:p>
            <w:pPr>
              <w:pStyle w:val="Body"/>
              <w:ind w:right="34"/>
              <w:rPr>
                <w:rFonts w:ascii="Arial" w:cs="Arial" w:hAnsi="Arial" w:eastAsia="Arial"/>
                <w:sz w:val="22"/>
                <w:szCs w:val="22"/>
              </w:rPr>
            </w:pPr>
            <w:r>
              <w:rPr>
                <w:rFonts w:ascii="Arial" w:hAnsi="Arial"/>
                <w:sz w:val="22"/>
                <w:szCs w:val="22"/>
                <w:rtl w:val="0"/>
                <w:lang w:val="en-US"/>
              </w:rPr>
              <w:t>Module code: CLAH7017</w:t>
            </w:r>
          </w:p>
          <w:p>
            <w:pPr>
              <w:pStyle w:val="Body"/>
              <w:ind w:right="34"/>
              <w:rPr>
                <w:rFonts w:ascii="Arial" w:cs="Arial" w:hAnsi="Arial" w:eastAsia="Arial"/>
                <w:sz w:val="22"/>
                <w:szCs w:val="22"/>
                <w:lang w:val="en-US"/>
              </w:rPr>
            </w:pPr>
          </w:p>
          <w:p>
            <w:pPr>
              <w:pStyle w:val="Body"/>
              <w:bidi w:val="0"/>
              <w:ind w:left="0" w:right="34" w:firstLine="0"/>
              <w:jc w:val="left"/>
              <w:rPr>
                <w:rtl w:val="0"/>
              </w:rPr>
            </w:pPr>
            <w:r>
              <w:rPr>
                <w:rFonts w:ascii="Arial" w:hAnsi="Arial"/>
                <w:sz w:val="22"/>
                <w:szCs w:val="22"/>
                <w:rtl w:val="0"/>
                <w:lang w:val="en-US"/>
              </w:rPr>
              <w:t>Module title: Religious Life in the Roman Empire</w:t>
            </w:r>
            <w:r>
              <w:rPr>
                <w:rFonts w:ascii="Arial" w:cs="Arial" w:hAnsi="Arial" w:eastAsia="Arial"/>
                <w:sz w:val="22"/>
                <w:szCs w:val="22"/>
              </w:rPr>
            </w:r>
          </w:p>
        </w:tc>
        <w:tc>
          <w:tcPr>
            <w:tcW w:type="dxa" w:w="2466"/>
            <w:gridSpan w:val="3"/>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114"/>
            </w:tcMar>
            <w:vAlign w:val="top"/>
          </w:tcPr>
          <w:p>
            <w:pPr>
              <w:pStyle w:val="Body"/>
              <w:ind w:right="34"/>
              <w:rPr>
                <w:rFonts w:ascii="Arial" w:cs="Arial" w:hAnsi="Arial" w:eastAsia="Arial"/>
                <w:sz w:val="22"/>
                <w:szCs w:val="22"/>
              </w:rPr>
            </w:pPr>
            <w:r>
              <w:rPr>
                <w:rFonts w:ascii="Arial" w:hAnsi="Arial"/>
                <w:sz w:val="22"/>
                <w:szCs w:val="22"/>
                <w:rtl w:val="0"/>
                <w:lang w:val="en-US"/>
              </w:rPr>
              <w:t>Student ID number:</w:t>
            </w:r>
          </w:p>
          <w:p>
            <w:pPr>
              <w:pStyle w:val="Body"/>
              <w:ind w:right="34"/>
              <w:rPr>
                <w:rFonts w:ascii="Arial" w:cs="Arial" w:hAnsi="Arial" w:eastAsia="Arial"/>
                <w:sz w:val="22"/>
                <w:szCs w:val="22"/>
                <w:lang w:val="en-US"/>
              </w:rPr>
            </w:pPr>
          </w:p>
          <w:p>
            <w:pPr>
              <w:pStyle w:val="Body"/>
              <w:bidi w:val="0"/>
              <w:ind w:left="0" w:right="34" w:firstLine="0"/>
              <w:jc w:val="left"/>
              <w:rPr>
                <w:rtl w:val="0"/>
              </w:rPr>
            </w:pPr>
            <w:r>
              <w:rPr>
                <w:rFonts w:ascii="Arial" w:hAnsi="Arial"/>
                <w:b w:val="1"/>
                <w:bCs w:val="1"/>
                <w:sz w:val="22"/>
                <w:szCs w:val="22"/>
                <w:rtl w:val="0"/>
                <w:lang w:val="en-US"/>
              </w:rPr>
              <w:t>1300653</w:t>
            </w:r>
          </w:p>
        </w:tc>
        <w:tc>
          <w:tcPr>
            <w:tcW w:type="dxa" w:w="1961"/>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114"/>
            </w:tcMar>
            <w:vAlign w:val="top"/>
          </w:tcPr>
          <w:p>
            <w:pPr>
              <w:pStyle w:val="Body"/>
              <w:ind w:right="34"/>
              <w:rPr>
                <w:rFonts w:ascii="Arial" w:cs="Arial" w:hAnsi="Arial" w:eastAsia="Arial"/>
                <w:sz w:val="22"/>
                <w:szCs w:val="22"/>
              </w:rPr>
            </w:pPr>
            <w:r>
              <w:rPr>
                <w:rFonts w:ascii="Arial" w:hAnsi="Arial"/>
                <w:sz w:val="22"/>
                <w:szCs w:val="22"/>
                <w:rtl w:val="0"/>
                <w:lang w:val="en-US"/>
              </w:rPr>
              <w:t>Educational support needs:</w:t>
            </w:r>
          </w:p>
          <w:p>
            <w:pPr>
              <w:pStyle w:val="Body"/>
              <w:bidi w:val="0"/>
              <w:ind w:left="0" w:right="34" w:firstLine="0"/>
              <w:jc w:val="left"/>
              <w:rPr>
                <w:rtl w:val="0"/>
              </w:rPr>
            </w:pPr>
            <w:r>
              <w:rPr>
                <w:rFonts w:ascii="Arial" w:hAnsi="Arial"/>
                <w:b w:val="1"/>
                <w:bCs w:val="1"/>
                <w:sz w:val="22"/>
                <w:szCs w:val="22"/>
                <w:rtl w:val="0"/>
                <w:lang w:val="en-US"/>
              </w:rPr>
              <w:t>No</w:t>
            </w:r>
          </w:p>
        </w:tc>
      </w:tr>
      <w:tr>
        <w:tblPrEx>
          <w:shd w:val="clear" w:color="auto" w:fill="ceddeb"/>
        </w:tblPrEx>
        <w:trPr>
          <w:trHeight w:val="989" w:hRule="atLeast"/>
        </w:trPr>
        <w:tc>
          <w:tcPr>
            <w:tcW w:type="dxa" w:w="9637"/>
            <w:gridSpan w:val="5"/>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114"/>
            </w:tcMar>
            <w:vAlign w:val="top"/>
          </w:tcPr>
          <w:p>
            <w:pPr>
              <w:pStyle w:val="Body"/>
              <w:ind w:right="34"/>
              <w:rPr>
                <w:rFonts w:ascii="Arial" w:cs="Arial" w:hAnsi="Arial" w:eastAsia="Arial"/>
                <w:sz w:val="22"/>
                <w:szCs w:val="22"/>
              </w:rPr>
            </w:pPr>
            <w:r>
              <w:rPr>
                <w:rFonts w:ascii="Arial" w:hAnsi="Arial"/>
                <w:sz w:val="22"/>
                <w:szCs w:val="22"/>
                <w:rtl w:val="0"/>
                <w:lang w:val="en-US"/>
              </w:rPr>
              <w:t>Assignment title: 1,500 word object analysis</w:t>
            </w:r>
          </w:p>
          <w:p>
            <w:pPr>
              <w:pStyle w:val="Body"/>
              <w:ind w:right="34"/>
              <w:rPr>
                <w:rFonts w:ascii="Arial" w:cs="Arial" w:hAnsi="Arial" w:eastAsia="Arial"/>
                <w:sz w:val="22"/>
                <w:szCs w:val="22"/>
                <w:lang w:val="en-US"/>
              </w:rPr>
            </w:pPr>
          </w:p>
          <w:p>
            <w:pPr>
              <w:pStyle w:val="Body"/>
              <w:ind w:right="34"/>
              <w:rPr>
                <w:rFonts w:ascii="Arial" w:cs="Arial" w:hAnsi="Arial" w:eastAsia="Arial"/>
                <w:sz w:val="22"/>
                <w:szCs w:val="22"/>
                <w:lang w:val="en-US"/>
              </w:rPr>
            </w:pPr>
          </w:p>
          <w:p>
            <w:pPr>
              <w:pStyle w:val="Body"/>
              <w:bidi w:val="0"/>
              <w:ind w:left="0" w:right="34" w:firstLine="0"/>
              <w:jc w:val="left"/>
              <w:rPr>
                <w:rtl w:val="0"/>
              </w:rPr>
            </w:pPr>
            <w:r>
              <w:rPr>
                <w:rFonts w:ascii="Arial" w:hAnsi="Arial"/>
                <w:sz w:val="22"/>
                <w:szCs w:val="22"/>
                <w:rtl w:val="0"/>
                <w:lang w:val="en-US"/>
              </w:rPr>
              <w:t>Assignment due date: 6 April 2018</w:t>
            </w:r>
          </w:p>
        </w:tc>
      </w:tr>
      <w:tr>
        <w:tblPrEx>
          <w:shd w:val="clear" w:color="auto" w:fill="ceddeb"/>
        </w:tblPrEx>
        <w:trPr>
          <w:trHeight w:val="828" w:hRule="atLeast"/>
        </w:trPr>
        <w:tc>
          <w:tcPr>
            <w:tcW w:type="dxa" w:w="9637"/>
            <w:gridSpan w:val="5"/>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top"/>
          </w:tcPr>
          <w:p>
            <w:pPr>
              <w:pStyle w:val="Body A"/>
            </w:pPr>
            <w:r>
              <w:rPr>
                <w:rFonts w:ascii="Arial" w:hAnsi="Arial"/>
                <w:rtl w:val="0"/>
                <w:lang w:val="en-US"/>
              </w:rPr>
              <w:t>This assignment is for the       1</w:t>
            </w:r>
            <w:r>
              <w:rPr>
                <w:rFonts w:ascii="Arial" w:hAnsi="Arial"/>
                <w:vertAlign w:val="superscript"/>
                <w:rtl w:val="0"/>
                <w:lang w:val="en-US"/>
              </w:rPr>
              <w:t xml:space="preserve">st </w:t>
            </w:r>
            <w:r>
              <w:rPr>
                <w:rFonts w:ascii="Arial" w:hAnsi="Arial"/>
                <w:rtl w:val="0"/>
                <w:lang w:val="en-US"/>
              </w:rPr>
              <w:t xml:space="preserve">    2</w:t>
            </w:r>
            <w:r>
              <w:rPr>
                <w:rFonts w:ascii="Arial" w:hAnsi="Arial"/>
                <w:vertAlign w:val="superscript"/>
                <w:rtl w:val="0"/>
                <w:lang w:val="en-US"/>
              </w:rPr>
              <w:t>nd</w:t>
            </w:r>
            <w:r>
              <w:rPr>
                <w:rFonts w:ascii="Arial" w:hAnsi="Arial"/>
                <w:rtl w:val="0"/>
                <w:lang w:val="en-US"/>
              </w:rPr>
              <w:t xml:space="preserve">       3</w:t>
            </w:r>
            <w:r>
              <w:rPr>
                <w:rFonts w:ascii="Arial" w:hAnsi="Arial"/>
                <w:vertAlign w:val="superscript"/>
                <w:rtl w:val="0"/>
                <w:lang w:val="en-US"/>
              </w:rPr>
              <w:t>rd</w:t>
            </w:r>
            <w:r>
              <w:rPr>
                <w:rFonts w:ascii="Arial" w:hAnsi="Arial"/>
                <w:rtl w:val="0"/>
                <w:lang w:val="en-US"/>
              </w:rPr>
              <w:t xml:space="preserve">        4</w:t>
            </w:r>
            <w:r>
              <w:rPr>
                <w:rFonts w:ascii="Arial" w:hAnsi="Arial"/>
                <w:vertAlign w:val="superscript"/>
                <w:rtl w:val="0"/>
                <w:lang w:val="en-US"/>
              </w:rPr>
              <w:t>th</w:t>
            </w:r>
            <w:r>
              <w:rPr>
                <w:rFonts w:ascii="Arial" w:hAnsi="Arial"/>
                <w:rtl w:val="0"/>
                <w:lang w:val="en-US"/>
              </w:rPr>
              <w:t xml:space="preserve">       5</w:t>
            </w:r>
            <w:r>
              <w:rPr>
                <w:rFonts w:ascii="Arial" w:hAnsi="Arial"/>
                <w:vertAlign w:val="superscript"/>
                <w:rtl w:val="0"/>
                <w:lang w:val="en-US"/>
              </w:rPr>
              <w:t>th</w:t>
            </w:r>
            <w:r>
              <w:rPr>
                <w:rFonts w:ascii="Arial" w:hAnsi="Arial"/>
                <w:rtl w:val="0"/>
                <w:lang w:val="en-US"/>
              </w:rPr>
              <w:t xml:space="preserve">       6</w:t>
            </w:r>
            <w:r>
              <w:rPr>
                <w:rFonts w:ascii="Arial" w:hAnsi="Arial"/>
                <w:vertAlign w:val="superscript"/>
                <w:rtl w:val="0"/>
                <w:lang w:val="en-US"/>
              </w:rPr>
              <w:t>th</w:t>
            </w:r>
            <w:r>
              <w:rPr>
                <w:rFonts w:ascii="Arial" w:hAnsi="Arial"/>
                <w:rtl w:val="0"/>
                <w:lang w:val="en-US"/>
              </w:rPr>
              <w:t xml:space="preserve"> </w:t>
            </w:r>
            <w:r>
              <w:rPr>
                <w:rFonts w:ascii="Arial" w:hAnsi="Arial"/>
                <w:b w:val="1"/>
                <w:bCs w:val="1"/>
                <w:rtl w:val="0"/>
                <w:lang w:val="en-US"/>
              </w:rPr>
              <w:t xml:space="preserve">   </w:t>
            </w:r>
            <w:r>
              <w:rPr>
                <w:rFonts w:ascii="Arial" w:hAnsi="Arial"/>
                <w:rtl w:val="0"/>
                <w:lang w:val="en-US"/>
              </w:rPr>
              <w:t>module of the degree</w:t>
            </w:r>
          </w:p>
        </w:tc>
      </w:tr>
      <w:tr>
        <w:tblPrEx>
          <w:shd w:val="clear" w:color="auto" w:fill="ceddeb"/>
        </w:tblPrEx>
        <w:trPr>
          <w:trHeight w:val="2100" w:hRule="atLeast"/>
        </w:trPr>
        <w:tc>
          <w:tcPr>
            <w:tcW w:type="dxa" w:w="9637"/>
            <w:gridSpan w:val="5"/>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d9d9d9"/>
            <w:tcMar>
              <w:top w:type="dxa" w:w="80"/>
              <w:left w:type="dxa" w:w="80"/>
              <w:bottom w:type="dxa" w:w="80"/>
              <w:right w:type="dxa" w:w="114"/>
            </w:tcMar>
            <w:vAlign w:val="top"/>
          </w:tcPr>
          <w:p>
            <w:pPr>
              <w:pStyle w:val="Body"/>
              <w:ind w:right="34"/>
              <w:rPr>
                <w:rFonts w:ascii="Arial" w:cs="Arial" w:hAnsi="Arial" w:eastAsia="Arial"/>
                <w:sz w:val="22"/>
                <w:szCs w:val="22"/>
              </w:rPr>
            </w:pPr>
            <w:r>
              <w:rPr>
                <w:rFonts w:ascii="Arial" w:hAnsi="Arial"/>
                <w:sz w:val="22"/>
                <w:szCs w:val="22"/>
                <w:rtl w:val="0"/>
                <w:lang w:val="en-US"/>
              </w:rPr>
              <w:t>I confirm that this is my original work and that I have adhered to the University policy on plagiarism.</w:t>
            </w:r>
          </w:p>
          <w:p>
            <w:pPr>
              <w:pStyle w:val="Body"/>
              <w:bidi w:val="0"/>
              <w:ind w:left="0" w:right="34" w:firstLine="0"/>
              <w:jc w:val="left"/>
              <w:rPr>
                <w:rFonts w:ascii="Arial" w:cs="Arial" w:hAnsi="Arial" w:eastAsia="Arial"/>
                <w:sz w:val="22"/>
                <w:szCs w:val="22"/>
                <w:rtl w:val="0"/>
              </w:rPr>
            </w:pPr>
            <w:r>
              <w:rPr>
                <w:rFonts w:ascii="Arial" w:hAnsi="Arial"/>
                <w:sz w:val="22"/>
                <w:szCs w:val="22"/>
                <w:rtl w:val="0"/>
                <w:lang w:val="en-US"/>
              </w:rPr>
              <w:t xml:space="preserve">Signed:           </w:t>
            </w:r>
            <w:r>
              <w:rPr>
                <w:rFonts w:ascii="Arial" w:hAnsi="Arial"/>
                <w:b w:val="1"/>
                <w:bCs w:val="1"/>
                <w:sz w:val="22"/>
                <w:szCs w:val="22"/>
                <w:rtl w:val="0"/>
                <w:lang w:val="en-US"/>
              </w:rPr>
              <w:t xml:space="preserve"> Reece Morris</w:t>
            </w:r>
          </w:p>
          <w:p>
            <w:pPr>
              <w:pStyle w:val="Body"/>
              <w:bidi w:val="0"/>
              <w:ind w:left="0" w:right="34" w:firstLine="0"/>
              <w:jc w:val="left"/>
              <w:rPr>
                <w:rFonts w:ascii="Calibri" w:cs="Calibri" w:hAnsi="Calibri" w:eastAsia="Calibri"/>
                <w:b w:val="1"/>
                <w:bCs w:val="1"/>
                <w:sz w:val="44"/>
                <w:szCs w:val="44"/>
                <w:rtl w:val="0"/>
              </w:rPr>
            </w:pPr>
            <w:r>
              <w:rPr>
                <w:rFonts w:ascii="Calibri" w:cs="Calibri" w:hAnsi="Calibri" w:eastAsia="Calibri"/>
                <w:b w:val="1"/>
                <w:bCs w:val="1"/>
                <w:sz w:val="24"/>
                <w:szCs w:val="24"/>
                <w:rtl w:val="0"/>
                <w:lang w:val="en-US"/>
              </w:rPr>
              <w:t xml:space="preserve">Email submission:if you are submitting this form via email, please tick this box </w:t>
            </w:r>
            <w:r>
              <w:rPr>
                <w:rFonts w:ascii="Calibri" w:cs="Calibri" w:hAnsi="Calibri" w:eastAsia="Calibri"/>
                <w:b w:val="1"/>
                <w:bCs w:val="1"/>
                <w:sz w:val="44"/>
                <w:szCs w:val="44"/>
                <w:rtl w:val="0"/>
                <w:lang w:val="en-US"/>
              </w:rPr>
              <w:t>□</w:t>
            </w:r>
          </w:p>
          <w:p>
            <w:pPr>
              <w:pStyle w:val="Body"/>
              <w:bidi w:val="0"/>
              <w:ind w:left="0" w:right="34" w:firstLine="0"/>
              <w:jc w:val="left"/>
              <w:rPr>
                <w:rtl w:val="0"/>
              </w:rPr>
            </w:pPr>
            <w:r>
              <w:rPr>
                <w:rFonts w:ascii="Calibri" w:cs="Calibri" w:hAnsi="Calibri" w:eastAsia="Calibri"/>
                <w:b w:val="1"/>
                <w:bCs w:val="1"/>
                <w:rtl w:val="0"/>
                <w:lang w:val="en-US"/>
              </w:rPr>
              <w:t>(as a substitute for your signature) to confirm that you agree to the above declaration.</w:t>
            </w:r>
          </w:p>
        </w:tc>
      </w:tr>
      <w:tr>
        <w:tblPrEx>
          <w:shd w:val="clear" w:color="auto" w:fill="ceddeb"/>
        </w:tblPrEx>
        <w:trPr>
          <w:trHeight w:val="5453" w:hRule="atLeast"/>
        </w:trPr>
        <w:tc>
          <w:tcPr>
            <w:tcW w:type="dxa" w:w="9637"/>
            <w:gridSpan w:val="5"/>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top"/>
          </w:tcPr>
          <w:p>
            <w:pPr>
              <w:pStyle w:val="Body A"/>
              <w:rPr>
                <w:rFonts w:ascii="Arial" w:cs="Arial" w:hAnsi="Arial" w:eastAsia="Arial"/>
                <w:b w:val="1"/>
                <w:bCs w:val="1"/>
                <w:sz w:val="24"/>
                <w:szCs w:val="24"/>
                <w:lang w:val="en-US"/>
              </w:rPr>
            </w:pPr>
          </w:p>
          <w:p>
            <w:pPr>
              <w:pStyle w:val="Body A"/>
              <w:bidi w:val="0"/>
              <w:ind w:left="0" w:right="0" w:firstLine="0"/>
              <w:jc w:val="left"/>
              <w:rPr>
                <w:rFonts w:ascii="Arial" w:cs="Arial" w:hAnsi="Arial" w:eastAsia="Arial"/>
                <w:sz w:val="24"/>
                <w:szCs w:val="24"/>
                <w:rtl w:val="0"/>
              </w:rPr>
            </w:pPr>
            <w:r>
              <w:rPr>
                <w:rFonts w:ascii="Arial" w:hAnsi="Arial"/>
                <w:b w:val="1"/>
                <w:bCs w:val="1"/>
                <w:sz w:val="24"/>
                <w:szCs w:val="24"/>
                <w:rtl w:val="0"/>
                <w:lang w:val="en-US"/>
              </w:rPr>
              <w:t>Assignment Mark</w:t>
            </w:r>
          </w:p>
          <w:p>
            <w:pPr>
              <w:pStyle w:val="Body A"/>
              <w:rPr>
                <w:rFonts w:ascii="Arial" w:cs="Arial" w:hAnsi="Arial" w:eastAsia="Arial"/>
                <w:sz w:val="20"/>
                <w:szCs w:val="20"/>
                <w:lang w:val="en-US"/>
              </w:rPr>
            </w:pPr>
          </w:p>
          <w:p>
            <w:pPr>
              <w:pStyle w:val="Body A"/>
              <w:bidi w:val="0"/>
              <w:ind w:left="0" w:right="0" w:firstLine="0"/>
              <w:jc w:val="left"/>
              <w:rPr>
                <w:rFonts w:ascii="Arial" w:cs="Arial" w:hAnsi="Arial" w:eastAsia="Arial"/>
                <w:sz w:val="20"/>
                <w:szCs w:val="20"/>
                <w:rtl w:val="0"/>
              </w:rPr>
            </w:pPr>
            <w:r>
              <w:rPr>
                <w:rFonts w:ascii="Arial" w:hAnsi="Arial"/>
                <w:sz w:val="20"/>
                <w:szCs w:val="20"/>
                <w:rtl w:val="0"/>
                <w:lang w:val="en-US"/>
              </w:rPr>
              <w:t>1</w:t>
            </w:r>
            <w:r>
              <w:rPr>
                <w:rFonts w:ascii="Arial" w:hAnsi="Arial"/>
                <w:sz w:val="20"/>
                <w:szCs w:val="20"/>
                <w:vertAlign w:val="superscript"/>
                <w:rtl w:val="0"/>
                <w:lang w:val="en-US"/>
              </w:rPr>
              <w:t>st</w:t>
            </w:r>
            <w:r>
              <w:rPr>
                <w:rFonts w:ascii="Arial" w:hAnsi="Arial"/>
                <w:sz w:val="20"/>
                <w:szCs w:val="20"/>
                <w:rtl w:val="0"/>
                <w:lang w:val="en-US"/>
              </w:rPr>
              <w:t xml:space="preserve"> Marker</w:t>
            </w:r>
            <w:r>
              <w:rPr>
                <w:rFonts w:ascii="Arial" w:hAnsi="Arial" w:hint="default"/>
                <w:sz w:val="20"/>
                <w:szCs w:val="20"/>
                <w:rtl w:val="0"/>
                <w:lang w:val="en-US"/>
              </w:rPr>
              <w:t>’</w:t>
            </w:r>
            <w:r>
              <w:rPr>
                <w:rFonts w:ascii="Arial" w:hAnsi="Arial"/>
                <w:sz w:val="20"/>
                <w:szCs w:val="20"/>
                <w:rtl w:val="0"/>
                <w:lang w:val="en-US"/>
              </w:rPr>
              <w:t>s Provisional mark</w:t>
              <w:tab/>
            </w:r>
          </w:p>
          <w:p>
            <w:pPr>
              <w:pStyle w:val="Body A"/>
              <w:rPr>
                <w:rFonts w:ascii="Arial" w:cs="Arial" w:hAnsi="Arial" w:eastAsia="Arial"/>
                <w:sz w:val="20"/>
                <w:szCs w:val="20"/>
                <w:lang w:val="en-US"/>
              </w:rPr>
            </w:pPr>
          </w:p>
          <w:p>
            <w:pPr>
              <w:pStyle w:val="Body A"/>
              <w:bidi w:val="0"/>
              <w:ind w:left="0" w:right="0" w:firstLine="0"/>
              <w:jc w:val="left"/>
              <w:rPr>
                <w:rFonts w:ascii="Arial" w:cs="Arial" w:hAnsi="Arial" w:eastAsia="Arial"/>
                <w:sz w:val="20"/>
                <w:szCs w:val="20"/>
                <w:rtl w:val="0"/>
              </w:rPr>
            </w:pPr>
            <w:r>
              <w:rPr>
                <w:rFonts w:ascii="Arial" w:hAnsi="Arial"/>
                <w:sz w:val="20"/>
                <w:szCs w:val="20"/>
                <w:rtl w:val="0"/>
                <w:lang w:val="en-US"/>
              </w:rPr>
              <w:t>2</w:t>
            </w:r>
            <w:r>
              <w:rPr>
                <w:rFonts w:ascii="Arial" w:hAnsi="Arial"/>
                <w:sz w:val="20"/>
                <w:szCs w:val="20"/>
                <w:vertAlign w:val="superscript"/>
                <w:rtl w:val="0"/>
                <w:lang w:val="en-US"/>
              </w:rPr>
              <w:t>nd</w:t>
            </w:r>
            <w:r>
              <w:rPr>
                <w:rFonts w:ascii="Arial" w:hAnsi="Arial"/>
                <w:sz w:val="20"/>
                <w:szCs w:val="20"/>
                <w:rtl w:val="0"/>
                <w:lang w:val="en-US"/>
              </w:rPr>
              <w:t xml:space="preserve"> Marker</w:t>
            </w:r>
            <w:r>
              <w:rPr>
                <w:rFonts w:ascii="Arial" w:hAnsi="Arial" w:hint="default"/>
                <w:sz w:val="20"/>
                <w:szCs w:val="20"/>
                <w:rtl w:val="0"/>
                <w:lang w:val="en-US"/>
              </w:rPr>
              <w:t>’</w:t>
            </w:r>
            <w:r>
              <w:rPr>
                <w:rFonts w:ascii="Arial" w:hAnsi="Arial"/>
                <w:sz w:val="20"/>
                <w:szCs w:val="20"/>
                <w:rtl w:val="0"/>
                <w:lang w:val="en-US"/>
              </w:rPr>
              <w:t>s/Moderator</w:t>
            </w:r>
            <w:r>
              <w:rPr>
                <w:rFonts w:ascii="Arial" w:hAnsi="Arial" w:hint="default"/>
                <w:sz w:val="20"/>
                <w:szCs w:val="20"/>
                <w:rtl w:val="0"/>
                <w:lang w:val="en-US"/>
              </w:rPr>
              <w:t>’</w:t>
            </w:r>
            <w:r>
              <w:rPr>
                <w:rFonts w:ascii="Arial" w:hAnsi="Arial"/>
                <w:sz w:val="20"/>
                <w:szCs w:val="20"/>
                <w:rtl w:val="0"/>
                <w:lang w:val="en-US"/>
              </w:rPr>
              <w:t>s provisional mark</w:t>
              <w:tab/>
            </w:r>
          </w:p>
          <w:p>
            <w:pPr>
              <w:pStyle w:val="Body A"/>
              <w:rPr>
                <w:rFonts w:ascii="Arial" w:cs="Arial" w:hAnsi="Arial" w:eastAsia="Arial"/>
                <w:sz w:val="20"/>
                <w:szCs w:val="20"/>
                <w:lang w:val="en-US"/>
              </w:rPr>
            </w:pPr>
          </w:p>
          <w:p>
            <w:pPr>
              <w:pStyle w:val="Body A"/>
              <w:bidi w:val="0"/>
              <w:ind w:left="0" w:right="0" w:firstLine="0"/>
              <w:jc w:val="left"/>
              <w:rPr>
                <w:rFonts w:ascii="Arial" w:cs="Arial" w:hAnsi="Arial" w:eastAsia="Arial"/>
                <w:sz w:val="20"/>
                <w:szCs w:val="20"/>
                <w:rtl w:val="0"/>
              </w:rPr>
            </w:pPr>
            <w:r>
              <w:rPr>
                <w:rFonts w:ascii="Arial" w:hAnsi="Arial"/>
                <w:sz w:val="20"/>
                <w:szCs w:val="20"/>
                <w:rtl w:val="0"/>
                <w:lang w:val="en-US"/>
              </w:rPr>
              <w:t>External Examiner</w:t>
            </w:r>
            <w:r>
              <w:rPr>
                <w:rFonts w:ascii="Arial" w:hAnsi="Arial" w:hint="default"/>
                <w:sz w:val="20"/>
                <w:szCs w:val="20"/>
                <w:rtl w:val="0"/>
                <w:lang w:val="en-US"/>
              </w:rPr>
              <w:t>’</w:t>
            </w:r>
            <w:r>
              <w:rPr>
                <w:rFonts w:ascii="Arial" w:hAnsi="Arial"/>
                <w:sz w:val="20"/>
                <w:szCs w:val="20"/>
                <w:rtl w:val="0"/>
                <w:lang w:val="en-US"/>
              </w:rPr>
              <w:t>s mark (if relevant)</w:t>
              <w:tab/>
            </w:r>
          </w:p>
          <w:p>
            <w:pPr>
              <w:pStyle w:val="Body A"/>
              <w:rPr>
                <w:rFonts w:ascii="Arial" w:cs="Arial" w:hAnsi="Arial" w:eastAsia="Arial"/>
                <w:sz w:val="20"/>
                <w:szCs w:val="20"/>
                <w:lang w:val="en-US"/>
              </w:rPr>
            </w:pPr>
          </w:p>
          <w:p>
            <w:pPr>
              <w:pStyle w:val="Body A"/>
              <w:bidi w:val="0"/>
              <w:ind w:left="0" w:right="0" w:firstLine="0"/>
              <w:jc w:val="left"/>
              <w:rPr>
                <w:rFonts w:ascii="Arial" w:cs="Arial" w:hAnsi="Arial" w:eastAsia="Arial"/>
                <w:b w:val="1"/>
                <w:bCs w:val="1"/>
                <w:sz w:val="20"/>
                <w:szCs w:val="20"/>
                <w:rtl w:val="0"/>
              </w:rPr>
            </w:pPr>
            <w:r>
              <w:rPr>
                <w:rFonts w:ascii="Arial" w:hAnsi="Arial"/>
                <w:b w:val="1"/>
                <w:bCs w:val="1"/>
                <w:sz w:val="20"/>
                <w:szCs w:val="20"/>
                <w:rtl w:val="0"/>
                <w:lang w:val="en-US"/>
              </w:rPr>
              <w:t>Final Mark</w:t>
            </w:r>
          </w:p>
          <w:p>
            <w:pPr>
              <w:pStyle w:val="Body A"/>
              <w:bidi w:val="0"/>
              <w:ind w:left="0" w:right="0" w:firstLine="0"/>
              <w:jc w:val="left"/>
              <w:rPr>
                <w:rFonts w:ascii="Arial" w:cs="Arial" w:hAnsi="Arial" w:eastAsia="Arial"/>
                <w:b w:val="1"/>
                <w:bCs w:val="1"/>
                <w:sz w:val="20"/>
                <w:szCs w:val="20"/>
                <w:rtl w:val="0"/>
              </w:rPr>
            </w:pPr>
            <w:r>
              <w:rPr>
                <w:rFonts w:ascii="Arial" w:cs="Arial" w:hAnsi="Arial" w:eastAsia="Arial"/>
                <w:b w:val="1"/>
                <w:bCs w:val="1"/>
                <w:sz w:val="20"/>
                <w:szCs w:val="20"/>
                <w:lang w:val="en-US"/>
              </w:rPr>
              <w:tab/>
            </w:r>
          </w:p>
          <w:p>
            <w:pPr>
              <w:pStyle w:val="Body"/>
              <w:ind w:left="142" w:right="34" w:firstLine="0"/>
              <w:rPr>
                <w:rFonts w:ascii="Arial" w:cs="Arial" w:hAnsi="Arial" w:eastAsia="Arial"/>
                <w:b w:val="1"/>
                <w:bCs w:val="1"/>
                <w:sz w:val="22"/>
                <w:szCs w:val="22"/>
                <w:lang w:val="en-US"/>
              </w:rPr>
            </w:pPr>
          </w:p>
          <w:p>
            <w:pPr>
              <w:pStyle w:val="Body"/>
              <w:bidi w:val="0"/>
              <w:ind w:left="142" w:right="34" w:firstLine="0"/>
              <w:jc w:val="left"/>
              <w:rPr>
                <w:rFonts w:ascii="Arial" w:cs="Arial" w:hAnsi="Arial" w:eastAsia="Arial"/>
                <w:sz w:val="22"/>
                <w:szCs w:val="22"/>
                <w:rtl w:val="0"/>
              </w:rPr>
            </w:pPr>
            <w:r>
              <w:rPr>
                <w:rFonts w:ascii="Arial" w:hAnsi="Arial"/>
                <w:b w:val="1"/>
                <w:bCs w:val="1"/>
                <w:sz w:val="22"/>
                <w:szCs w:val="22"/>
                <w:rtl w:val="0"/>
                <w:lang w:val="en-US"/>
              </w:rPr>
              <w:t>NB.</w:t>
            </w:r>
            <w:r>
              <w:rPr>
                <w:rFonts w:ascii="Arial" w:hAnsi="Arial"/>
                <w:sz w:val="22"/>
                <w:szCs w:val="22"/>
                <w:rtl w:val="0"/>
                <w:lang w:val="en-US"/>
              </w:rPr>
              <w:t xml:space="preserve">  All marks are provisional until confirmed by the Final Examination Board.</w:t>
            </w:r>
          </w:p>
          <w:p>
            <w:pPr>
              <w:pStyle w:val="Body"/>
              <w:rPr>
                <w:rFonts w:ascii="Arial" w:cs="Arial" w:hAnsi="Arial" w:eastAsia="Arial"/>
                <w:b w:val="1"/>
                <w:bCs w:val="1"/>
                <w:sz w:val="22"/>
                <w:szCs w:val="22"/>
                <w:lang w:val="en-US"/>
              </w:rPr>
            </w:pPr>
          </w:p>
          <w:p>
            <w:pPr>
              <w:pStyle w:val="Body"/>
              <w:rPr>
                <w:rFonts w:ascii="Arial" w:cs="Arial" w:hAnsi="Arial" w:eastAsia="Arial"/>
                <w:b w:val="1"/>
                <w:bCs w:val="1"/>
                <w:sz w:val="22"/>
                <w:szCs w:val="22"/>
                <w:lang w:val="en-US"/>
              </w:rPr>
            </w:pPr>
          </w:p>
          <w:p>
            <w:pPr>
              <w:pStyle w:val="Body"/>
              <w:bidi w:val="0"/>
              <w:ind w:left="0" w:right="0" w:firstLine="0"/>
              <w:jc w:val="left"/>
              <w:rPr>
                <w:rFonts w:ascii="Arial" w:cs="Arial" w:hAnsi="Arial" w:eastAsia="Arial"/>
                <w:b w:val="1"/>
                <w:bCs w:val="1"/>
                <w:sz w:val="22"/>
                <w:szCs w:val="22"/>
                <w:rtl w:val="0"/>
              </w:rPr>
            </w:pPr>
            <w:r>
              <w:rPr>
                <w:rFonts w:ascii="Arial" w:hAnsi="Arial"/>
                <w:b w:val="1"/>
                <w:bCs w:val="1"/>
                <w:sz w:val="22"/>
                <w:szCs w:val="22"/>
                <w:rtl w:val="0"/>
                <w:lang w:val="en-US"/>
              </w:rPr>
              <w:t>For completion by Marker 1 :</w:t>
            </w:r>
          </w:p>
          <w:p>
            <w:pPr>
              <w:pStyle w:val="Body"/>
              <w:bidi w:val="0"/>
              <w:spacing w:before="100" w:after="100"/>
              <w:ind w:left="0" w:right="0" w:firstLine="0"/>
              <w:jc w:val="left"/>
              <w:rPr>
                <w:rFonts w:ascii="Arial" w:cs="Arial" w:hAnsi="Arial" w:eastAsia="Arial"/>
                <w:sz w:val="22"/>
                <w:szCs w:val="22"/>
                <w:rtl w:val="0"/>
              </w:rPr>
            </w:pPr>
            <w:r>
              <w:rPr>
                <w:rFonts w:ascii="Arial" w:hAnsi="Arial"/>
                <w:sz w:val="22"/>
                <w:szCs w:val="22"/>
                <w:rtl w:val="0"/>
                <w:lang w:val="en-US"/>
              </w:rPr>
              <w:t>Comments:</w:t>
            </w:r>
          </w:p>
          <w:p>
            <w:pPr>
              <w:pStyle w:val="Body"/>
              <w:spacing w:before="100" w:after="100"/>
              <w:rPr>
                <w:rFonts w:ascii="Arial" w:cs="Arial" w:hAnsi="Arial" w:eastAsia="Arial"/>
                <w:sz w:val="22"/>
                <w:szCs w:val="22"/>
                <w:lang w:val="en-US"/>
              </w:rPr>
            </w:pPr>
          </w:p>
          <w:p>
            <w:pPr>
              <w:pStyle w:val="Body"/>
              <w:spacing w:before="100" w:after="100"/>
            </w:pPr>
            <w:r>
              <w:rPr>
                <w:rFonts w:ascii="Arial" w:cs="Arial" w:hAnsi="Arial" w:eastAsia="Arial"/>
                <w:sz w:val="22"/>
                <w:szCs w:val="22"/>
                <w:lang w:val="en-US"/>
              </w:rPr>
            </w:r>
          </w:p>
        </w:tc>
      </w:tr>
      <w:tr>
        <w:tblPrEx>
          <w:shd w:val="clear" w:color="auto" w:fill="ceddeb"/>
        </w:tblPrEx>
        <w:trPr>
          <w:trHeight w:val="342" w:hRule="atLeast"/>
        </w:trPr>
        <w:tc>
          <w:tcPr>
            <w:tcW w:type="dxa" w:w="7365"/>
            <w:gridSpan w:val="3"/>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222"/>
              <w:bottom w:type="dxa" w:w="80"/>
              <w:right w:type="dxa" w:w="114"/>
            </w:tcMar>
            <w:vAlign w:val="top"/>
          </w:tcPr>
          <w:p>
            <w:pPr>
              <w:pStyle w:val="Body"/>
              <w:spacing w:before="100" w:after="100"/>
              <w:ind w:left="142" w:right="34" w:firstLine="0"/>
            </w:pPr>
            <w:r>
              <w:rPr>
                <w:rFonts w:ascii="Arial" w:hAnsi="Arial"/>
                <w:sz w:val="22"/>
                <w:szCs w:val="22"/>
                <w:rtl w:val="0"/>
                <w:lang w:val="en-US"/>
              </w:rPr>
              <w:t>Marker</w:t>
            </w:r>
            <w:r>
              <w:rPr>
                <w:rFonts w:ascii="Arial" w:hAnsi="Arial" w:hint="default"/>
                <w:sz w:val="22"/>
                <w:szCs w:val="22"/>
                <w:rtl w:val="0"/>
                <w:lang w:val="en-US"/>
              </w:rPr>
              <w:t>’</w:t>
            </w:r>
            <w:r>
              <w:rPr>
                <w:rFonts w:ascii="Arial" w:hAnsi="Arial"/>
                <w:sz w:val="22"/>
                <w:szCs w:val="22"/>
                <w:rtl w:val="0"/>
                <w:lang w:val="en-US"/>
              </w:rPr>
              <w:t>s signature:</w:t>
            </w:r>
          </w:p>
        </w:tc>
        <w:tc>
          <w:tcPr>
            <w:tcW w:type="dxa" w:w="2272"/>
            <w:gridSpan w:val="2"/>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222"/>
              <w:bottom w:type="dxa" w:w="80"/>
              <w:right w:type="dxa" w:w="114"/>
            </w:tcMar>
            <w:vAlign w:val="top"/>
          </w:tcPr>
          <w:p>
            <w:pPr>
              <w:pStyle w:val="Body"/>
              <w:spacing w:before="100" w:after="100"/>
              <w:ind w:left="142" w:right="34" w:firstLine="0"/>
            </w:pPr>
            <w:r>
              <w:rPr>
                <w:rFonts w:ascii="Arial" w:hAnsi="Arial"/>
                <w:sz w:val="22"/>
                <w:szCs w:val="22"/>
                <w:rtl w:val="0"/>
                <w:lang w:val="en-US"/>
              </w:rPr>
              <w:t>Date:</w:t>
            </w:r>
          </w:p>
        </w:tc>
      </w:tr>
      <w:tr>
        <w:tblPrEx>
          <w:shd w:val="clear" w:color="auto" w:fill="ceddeb"/>
        </w:tblPrEx>
        <w:trPr>
          <w:trHeight w:val="1933" w:hRule="atLeast"/>
        </w:trPr>
        <w:tc>
          <w:tcPr>
            <w:tcW w:type="dxa" w:w="9637"/>
            <w:gridSpan w:val="5"/>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top"/>
          </w:tcPr>
          <w:p>
            <w:pPr>
              <w:pStyle w:val="Body"/>
              <w:rPr>
                <w:rFonts w:ascii="Arial" w:cs="Arial" w:hAnsi="Arial" w:eastAsia="Arial"/>
                <w:i w:val="1"/>
                <w:iCs w:val="1"/>
                <w:sz w:val="22"/>
                <w:szCs w:val="22"/>
                <w:lang w:val="en-US"/>
              </w:rPr>
            </w:pPr>
          </w:p>
          <w:p>
            <w:pPr>
              <w:pStyle w:val="Body"/>
              <w:bidi w:val="0"/>
              <w:ind w:left="0" w:right="0" w:firstLine="0"/>
              <w:jc w:val="left"/>
              <w:rPr>
                <w:rFonts w:ascii="Arial" w:cs="Arial" w:hAnsi="Arial" w:eastAsia="Arial"/>
                <w:b w:val="1"/>
                <w:bCs w:val="1"/>
                <w:sz w:val="22"/>
                <w:szCs w:val="22"/>
                <w:rtl w:val="0"/>
              </w:rPr>
            </w:pPr>
            <w:r>
              <w:rPr>
                <w:rFonts w:ascii="Arial" w:hAnsi="Arial"/>
                <w:b w:val="1"/>
                <w:bCs w:val="1"/>
                <w:sz w:val="22"/>
                <w:szCs w:val="22"/>
                <w:rtl w:val="0"/>
                <w:lang w:val="en-US"/>
              </w:rPr>
              <w:t>For completion by Marker 2/Moderator:</w:t>
            </w:r>
          </w:p>
          <w:p>
            <w:pPr>
              <w:pStyle w:val="Body"/>
              <w:rPr>
                <w:rFonts w:ascii="Arial" w:cs="Arial" w:hAnsi="Arial" w:eastAsia="Arial"/>
                <w:b w:val="1"/>
                <w:bCs w:val="1"/>
                <w:sz w:val="22"/>
                <w:szCs w:val="22"/>
                <w:lang w:val="en-US"/>
              </w:rPr>
            </w:pPr>
          </w:p>
          <w:p>
            <w:pPr>
              <w:pStyle w:val="Body"/>
              <w:bidi w:val="0"/>
              <w:ind w:left="0" w:right="0" w:firstLine="0"/>
              <w:jc w:val="left"/>
              <w:rPr>
                <w:rFonts w:ascii="Arial" w:cs="Arial" w:hAnsi="Arial" w:eastAsia="Arial"/>
                <w:sz w:val="22"/>
                <w:szCs w:val="22"/>
                <w:rtl w:val="0"/>
              </w:rPr>
            </w:pPr>
            <w:r>
              <w:rPr>
                <w:rFonts w:ascii="Arial" w:hAnsi="Arial"/>
                <w:sz w:val="22"/>
                <w:szCs w:val="22"/>
                <w:rtl w:val="0"/>
                <w:lang w:val="en-US"/>
              </w:rPr>
              <w:t>Comments:</w:t>
            </w:r>
          </w:p>
          <w:p>
            <w:pPr>
              <w:pStyle w:val="Body"/>
              <w:rPr>
                <w:rFonts w:ascii="Arial" w:cs="Arial" w:hAnsi="Arial" w:eastAsia="Arial"/>
                <w:sz w:val="22"/>
                <w:szCs w:val="22"/>
                <w:lang w:val="en-US"/>
              </w:rPr>
            </w:pPr>
          </w:p>
          <w:p>
            <w:pPr>
              <w:pStyle w:val="Body"/>
            </w:pPr>
            <w:r>
              <w:rPr>
                <w:rFonts w:ascii="Arial" w:cs="Arial" w:hAnsi="Arial" w:eastAsia="Arial"/>
                <w:sz w:val="22"/>
                <w:szCs w:val="22"/>
                <w:lang w:val="en-US"/>
              </w:rPr>
            </w:r>
          </w:p>
        </w:tc>
      </w:tr>
      <w:tr>
        <w:tblPrEx>
          <w:shd w:val="clear" w:color="auto" w:fill="ceddeb"/>
        </w:tblPrEx>
        <w:trPr>
          <w:trHeight w:val="570" w:hRule="atLeast"/>
        </w:trPr>
        <w:tc>
          <w:tcPr>
            <w:tcW w:type="dxa" w:w="5671"/>
            <w:gridSpan w:val="2"/>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top"/>
          </w:tcPr>
          <w:p>
            <w:pPr>
              <w:pStyle w:val="Body"/>
            </w:pPr>
            <w:r>
              <w:rPr>
                <w:rFonts w:ascii="Arial" w:hAnsi="Arial"/>
                <w:sz w:val="22"/>
                <w:szCs w:val="22"/>
                <w:rtl w:val="0"/>
                <w:lang w:val="en-US"/>
              </w:rPr>
              <w:t>Marker</w:t>
            </w:r>
            <w:r>
              <w:rPr>
                <w:rFonts w:ascii="Arial" w:hAnsi="Arial" w:hint="default"/>
                <w:sz w:val="22"/>
                <w:szCs w:val="22"/>
                <w:rtl w:val="0"/>
                <w:lang w:val="en-US"/>
              </w:rPr>
              <w:t>’</w:t>
            </w:r>
            <w:r>
              <w:rPr>
                <w:rFonts w:ascii="Arial" w:hAnsi="Arial"/>
                <w:sz w:val="22"/>
                <w:szCs w:val="22"/>
                <w:rtl w:val="0"/>
                <w:lang w:val="en-US"/>
              </w:rPr>
              <w:t>s Signature:</w:t>
            </w:r>
          </w:p>
        </w:tc>
        <w:tc>
          <w:tcPr>
            <w:tcW w:type="dxa" w:w="3966"/>
            <w:gridSpan w:val="3"/>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top"/>
          </w:tcPr>
          <w:p>
            <w:pPr>
              <w:pStyle w:val="Body"/>
            </w:pPr>
            <w:r>
              <w:rPr>
                <w:rFonts w:ascii="Arial" w:hAnsi="Arial"/>
                <w:sz w:val="22"/>
                <w:szCs w:val="22"/>
                <w:rtl w:val="0"/>
                <w:lang w:val="en-US"/>
              </w:rPr>
              <w:t>Date:</w:t>
            </w:r>
          </w:p>
        </w:tc>
      </w:tr>
      <w:tr>
        <w:tblPrEx>
          <w:shd w:val="clear" w:color="auto" w:fill="ceddeb"/>
        </w:tblPrEx>
        <w:trPr>
          <w:trHeight w:val="2893" w:hRule="atLeast"/>
        </w:trPr>
        <w:tc>
          <w:tcPr>
            <w:tcW w:type="dxa" w:w="9637"/>
            <w:gridSpan w:val="5"/>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top"/>
          </w:tcPr>
          <w:p>
            <w:pPr>
              <w:pStyle w:val="Body A"/>
              <w:rPr>
                <w:rFonts w:ascii="Arial" w:cs="Arial" w:hAnsi="Arial" w:eastAsia="Arial"/>
                <w:b w:val="1"/>
                <w:bCs w:val="1"/>
              </w:rPr>
            </w:pPr>
            <w:r>
              <w:rPr>
                <w:rFonts w:ascii="Arial" w:hAnsi="Arial"/>
                <w:b w:val="1"/>
                <w:bCs w:val="1"/>
                <w:rtl w:val="0"/>
                <w:lang w:val="en-US"/>
              </w:rPr>
              <w:t>External Examiner</w:t>
            </w:r>
            <w:r>
              <w:rPr>
                <w:rFonts w:ascii="Arial" w:hAnsi="Arial" w:hint="default"/>
                <w:b w:val="1"/>
                <w:bCs w:val="1"/>
                <w:rtl w:val="0"/>
                <w:lang w:val="en-US"/>
              </w:rPr>
              <w:t>’</w:t>
            </w:r>
            <w:r>
              <w:rPr>
                <w:rFonts w:ascii="Arial" w:hAnsi="Arial"/>
                <w:b w:val="1"/>
                <w:bCs w:val="1"/>
                <w:rtl w:val="0"/>
                <w:lang w:val="en-US"/>
              </w:rPr>
              <w:t>s comments (if relevant)</w:t>
            </w:r>
          </w:p>
          <w:p>
            <w:pPr>
              <w:pStyle w:val="Body"/>
              <w:rPr>
                <w:rFonts w:ascii="Arial" w:cs="Arial" w:hAnsi="Arial" w:eastAsia="Arial"/>
                <w:sz w:val="22"/>
                <w:szCs w:val="22"/>
                <w:lang w:val="en-US"/>
              </w:rPr>
            </w:pPr>
          </w:p>
          <w:p>
            <w:pPr>
              <w:pStyle w:val="Body"/>
              <w:rPr>
                <w:rFonts w:ascii="Arial" w:cs="Arial" w:hAnsi="Arial" w:eastAsia="Arial"/>
                <w:sz w:val="22"/>
                <w:szCs w:val="22"/>
                <w:lang w:val="en-US"/>
              </w:rPr>
            </w:pPr>
          </w:p>
          <w:p>
            <w:pPr>
              <w:pStyle w:val="Body"/>
              <w:rPr>
                <w:rFonts w:ascii="Arial" w:cs="Arial" w:hAnsi="Arial" w:eastAsia="Arial"/>
                <w:sz w:val="22"/>
                <w:szCs w:val="22"/>
                <w:lang w:val="en-US"/>
              </w:rPr>
            </w:pPr>
          </w:p>
          <w:p>
            <w:pPr>
              <w:pStyle w:val="Body"/>
              <w:rPr>
                <w:rFonts w:ascii="Arial" w:cs="Arial" w:hAnsi="Arial" w:eastAsia="Arial"/>
                <w:sz w:val="22"/>
                <w:szCs w:val="22"/>
                <w:lang w:val="en-US"/>
              </w:rPr>
            </w:pPr>
          </w:p>
          <w:p>
            <w:pPr>
              <w:pStyle w:val="Body"/>
              <w:rPr>
                <w:rFonts w:ascii="Arial" w:cs="Arial" w:hAnsi="Arial" w:eastAsia="Arial"/>
                <w:sz w:val="22"/>
                <w:szCs w:val="22"/>
                <w:lang w:val="en-US"/>
              </w:rPr>
            </w:pPr>
          </w:p>
          <w:p>
            <w:pPr>
              <w:pStyle w:val="Body"/>
              <w:rPr>
                <w:rFonts w:ascii="Arial" w:cs="Arial" w:hAnsi="Arial" w:eastAsia="Arial"/>
                <w:sz w:val="22"/>
                <w:szCs w:val="22"/>
                <w:lang w:val="en-US"/>
              </w:rPr>
            </w:pPr>
          </w:p>
          <w:p>
            <w:pPr>
              <w:pStyle w:val="Body"/>
              <w:rPr>
                <w:rFonts w:ascii="Arial" w:cs="Arial" w:hAnsi="Arial" w:eastAsia="Arial"/>
                <w:sz w:val="22"/>
                <w:szCs w:val="22"/>
                <w:lang w:val="en-US"/>
              </w:rPr>
            </w:pPr>
          </w:p>
          <w:p>
            <w:pPr>
              <w:pStyle w:val="Body"/>
              <w:rPr>
                <w:rFonts w:ascii="Arial" w:cs="Arial" w:hAnsi="Arial" w:eastAsia="Arial"/>
                <w:sz w:val="22"/>
                <w:szCs w:val="22"/>
                <w:lang w:val="en-US"/>
              </w:rPr>
            </w:pPr>
          </w:p>
          <w:p>
            <w:pPr>
              <w:pStyle w:val="Body"/>
            </w:pPr>
            <w:r>
              <w:rPr>
                <w:rFonts w:ascii="Arial" w:cs="Arial" w:hAnsi="Arial" w:eastAsia="Arial"/>
                <w:sz w:val="22"/>
                <w:szCs w:val="22"/>
                <w:lang w:val="en-US"/>
              </w:rPr>
            </w:r>
          </w:p>
        </w:tc>
      </w:tr>
      <w:tr>
        <w:tblPrEx>
          <w:shd w:val="clear" w:color="auto" w:fill="ceddeb"/>
        </w:tblPrEx>
        <w:trPr>
          <w:trHeight w:val="570" w:hRule="atLeast"/>
        </w:trPr>
        <w:tc>
          <w:tcPr>
            <w:tcW w:type="dxa" w:w="5671"/>
            <w:gridSpan w:val="2"/>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top"/>
          </w:tcPr>
          <w:p>
            <w:pPr>
              <w:pStyle w:val="Body A"/>
            </w:pPr>
            <w:r>
              <w:rPr>
                <w:rFonts w:ascii="Arial" w:hAnsi="Arial"/>
                <w:rtl w:val="0"/>
                <w:lang w:val="en-US"/>
              </w:rPr>
              <w:t>External Examiner</w:t>
            </w:r>
            <w:r>
              <w:rPr>
                <w:rFonts w:ascii="Arial" w:hAnsi="Arial" w:hint="default"/>
                <w:rtl w:val="0"/>
                <w:lang w:val="en-US"/>
              </w:rPr>
              <w:t>’</w:t>
            </w:r>
            <w:r>
              <w:rPr>
                <w:rFonts w:ascii="Arial" w:hAnsi="Arial"/>
                <w:rtl w:val="0"/>
                <w:lang w:val="en-US"/>
              </w:rPr>
              <w:t>s Signature:</w:t>
            </w:r>
          </w:p>
        </w:tc>
        <w:tc>
          <w:tcPr>
            <w:tcW w:type="dxa" w:w="3966"/>
            <w:gridSpan w:val="3"/>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top"/>
          </w:tcPr>
          <w:p>
            <w:pPr>
              <w:pStyle w:val="Body A"/>
            </w:pPr>
            <w:r>
              <w:rPr>
                <w:rFonts w:ascii="Arial" w:hAnsi="Arial"/>
                <w:rtl w:val="0"/>
                <w:lang w:val="en-US"/>
              </w:rPr>
              <w:t>Date:</w:t>
            </w:r>
          </w:p>
        </w:tc>
      </w:tr>
    </w:tbl>
    <w:p>
      <w:pPr>
        <w:pStyle w:val="Body"/>
        <w:widowControl w:val="0"/>
        <w:suppressAutoHyphens w:val="1"/>
        <w:ind w:left="108" w:hanging="108"/>
        <w:jc w:val="center"/>
        <w:rPr>
          <w:rFonts w:ascii="Tahoma" w:cs="Tahoma" w:hAnsi="Tahoma" w:eastAsia="Tahoma"/>
          <w:b w:val="1"/>
          <w:bCs w:val="1"/>
          <w:caps w:val="0"/>
          <w:smallCaps w:val="0"/>
          <w:strike w:val="0"/>
          <w:dstrike w:val="0"/>
          <w:outline w:val="0"/>
          <w:color w:val="000000"/>
          <w:spacing w:val="0"/>
          <w:kern w:val="0"/>
          <w:position w:val="0"/>
          <w:sz w:val="20"/>
          <w:szCs w:val="20"/>
          <w:u w:val="none" w:color="000000"/>
          <w:vertAlign w:val="baseline"/>
        </w:rPr>
      </w:pPr>
    </w:p>
    <w:p>
      <w:pPr>
        <w:pStyle w:val="Body"/>
        <w:suppressAutoHyphens w:val="1"/>
        <w:jc w:val="center"/>
        <w:rPr>
          <w:rFonts w:ascii="Tahoma" w:cs="Tahoma" w:hAnsi="Tahoma" w:eastAsia="Tahoma"/>
          <w:b w:val="1"/>
          <w:bCs w:val="1"/>
          <w:caps w:val="0"/>
          <w:smallCaps w:val="0"/>
          <w:strike w:val="0"/>
          <w:dstrike w:val="0"/>
          <w:outline w:val="0"/>
          <w:color w:val="000000"/>
          <w:spacing w:val="0"/>
          <w:kern w:val="0"/>
          <w:position w:val="0"/>
          <w:sz w:val="20"/>
          <w:szCs w:val="20"/>
          <w:u w:val="none" w:color="000000"/>
          <w:vertAlign w:val="baseline"/>
        </w:rPr>
      </w:pPr>
    </w:p>
    <w:p>
      <w:pPr>
        <w:pStyle w:val="Body"/>
        <w:suppressAutoHyphens w:val="1"/>
        <w:jc w:val="center"/>
        <w:rPr>
          <w:rFonts w:ascii="Trebuchet MS" w:cs="Trebuchet MS" w:hAnsi="Trebuchet MS" w:eastAsia="Trebuchet MS"/>
          <w:b w:val="1"/>
          <w:bCs w:val="1"/>
          <w:caps w:val="0"/>
          <w:smallCaps w:val="0"/>
          <w:strike w:val="0"/>
          <w:dstrike w:val="0"/>
          <w:outline w:val="0"/>
          <w:color w:val="000000"/>
          <w:spacing w:val="0"/>
          <w:kern w:val="0"/>
          <w:position w:val="0"/>
          <w:sz w:val="20"/>
          <w:szCs w:val="20"/>
          <w:u w:val="none" w:color="000000"/>
          <w:vertAlign w:val="baseline"/>
        </w:rPr>
      </w:pPr>
    </w:p>
    <w:p>
      <w:pPr>
        <w:pStyle w:val="Body A"/>
        <w:suppressAutoHyphens w:val="1"/>
        <w:spacing w:line="360" w:lineRule="auto"/>
        <w:ind w:left="283" w:right="284" w:firstLine="0"/>
        <w:jc w:val="center"/>
        <w:rPr>
          <w:rFonts w:ascii="Trebuchet MS" w:cs="Trebuchet MS" w:hAnsi="Trebuchet MS" w:eastAsia="Trebuchet MS"/>
          <w:sz w:val="24"/>
          <w:szCs w:val="24"/>
          <w:u w:val="single"/>
        </w:rPr>
      </w:pPr>
    </w:p>
    <w:p>
      <w:pPr>
        <w:pStyle w:val="Body A"/>
        <w:suppressAutoHyphens w:val="1"/>
        <w:spacing w:line="360" w:lineRule="auto"/>
        <w:ind w:left="283" w:right="284" w:firstLine="0"/>
        <w:jc w:val="center"/>
        <w:rPr>
          <w:rFonts w:ascii="Trebuchet MS" w:cs="Trebuchet MS" w:hAnsi="Trebuchet MS" w:eastAsia="Trebuchet MS"/>
          <w:sz w:val="24"/>
          <w:szCs w:val="24"/>
          <w:u w:val="single"/>
        </w:rPr>
      </w:pPr>
    </w:p>
    <w:p>
      <w:pPr>
        <w:pStyle w:val="Body A"/>
        <w:suppressAutoHyphens w:val="1"/>
        <w:spacing w:line="360" w:lineRule="auto"/>
        <w:ind w:left="283" w:right="284" w:firstLine="0"/>
        <w:jc w:val="center"/>
        <w:rPr>
          <w:rFonts w:ascii="Times New Roman" w:cs="Times New Roman" w:hAnsi="Times New Roman" w:eastAsia="Times New Roman"/>
          <w:sz w:val="24"/>
          <w:szCs w:val="24"/>
          <w:u w:val="single"/>
        </w:rPr>
      </w:pPr>
      <w:r>
        <w:rPr>
          <w:rFonts w:ascii="Times New Roman" w:hAnsi="Times New Roman"/>
          <w:sz w:val="24"/>
          <w:szCs w:val="24"/>
          <w:u w:val="single"/>
          <w:rtl w:val="0"/>
          <w:lang w:val="en-US"/>
        </w:rPr>
        <w:t xml:space="preserve">Object analysis: </w:t>
      </w:r>
      <w:r>
        <w:rPr>
          <w:rFonts w:ascii="Times New Roman" w:hAnsi="Times New Roman"/>
          <w:sz w:val="24"/>
          <w:szCs w:val="24"/>
          <w:u w:val="single"/>
          <w:rtl w:val="0"/>
          <w:lang w:val="en-US"/>
        </w:rPr>
        <w:t xml:space="preserve">the </w:t>
      </w:r>
      <w:r>
        <w:rPr>
          <w:rFonts w:ascii="Times New Roman" w:hAnsi="Times New Roman" w:hint="default"/>
          <w:sz w:val="24"/>
          <w:szCs w:val="24"/>
          <w:u w:val="single"/>
          <w:rtl w:val="0"/>
          <w:lang w:val="en-US"/>
        </w:rPr>
        <w:t>‘</w:t>
      </w:r>
      <w:r>
        <w:rPr>
          <w:rFonts w:ascii="Times New Roman" w:hAnsi="Times New Roman"/>
          <w:sz w:val="24"/>
          <w:szCs w:val="24"/>
          <w:u w:val="single"/>
          <w:rtl w:val="0"/>
          <w:lang w:val="en-US"/>
        </w:rPr>
        <w:t xml:space="preserve">La </w:t>
      </w:r>
      <w:r>
        <w:rPr>
          <w:rFonts w:ascii="Times New Roman" w:hAnsi="Times New Roman"/>
          <w:sz w:val="24"/>
          <w:szCs w:val="24"/>
          <w:u w:val="single"/>
          <w:rtl w:val="0"/>
          <w:lang w:val="en-US"/>
        </w:rPr>
        <w:t>Ghorfa</w:t>
      </w:r>
      <w:r>
        <w:rPr>
          <w:rFonts w:ascii="Times New Roman" w:hAnsi="Times New Roman" w:hint="default"/>
          <w:sz w:val="24"/>
          <w:szCs w:val="24"/>
          <w:u w:val="single"/>
          <w:rtl w:val="0"/>
          <w:lang w:val="en-US"/>
        </w:rPr>
        <w:t>’</w:t>
      </w:r>
      <w:r>
        <w:rPr>
          <w:rFonts w:ascii="Times New Roman" w:hAnsi="Times New Roman"/>
          <w:sz w:val="24"/>
          <w:szCs w:val="24"/>
          <w:u w:val="single"/>
          <w:rtl w:val="0"/>
          <w:lang w:val="en-US"/>
        </w:rPr>
        <w:t xml:space="preserve"> stelae</w:t>
      </w:r>
    </w:p>
    <w:p>
      <w:pPr>
        <w:pStyle w:val="Body A"/>
        <w:suppressAutoHyphens w:val="1"/>
        <w:spacing w:line="360" w:lineRule="auto"/>
        <w:ind w:left="283" w:right="284" w:firstLine="0"/>
        <w:jc w:val="both"/>
        <w:rPr>
          <w:rFonts w:ascii="Times New Roman" w:cs="Times New Roman" w:hAnsi="Times New Roman" w:eastAsia="Times New Roman"/>
          <w:sz w:val="24"/>
          <w:szCs w:val="24"/>
        </w:rPr>
      </w:pPr>
    </w:p>
    <w:p>
      <w:pPr>
        <w:pStyle w:val="Body A"/>
        <w:suppressAutoHyphens w:val="1"/>
        <w:spacing w:line="360" w:lineRule="auto"/>
        <w:ind w:left="283" w:right="284" w:firstLine="0"/>
        <w:jc w:val="both"/>
        <w:rPr>
          <w:rFonts w:ascii="Times New Roman" w:cs="Times New Roman" w:hAnsi="Times New Roman" w:eastAsia="Times New Roman"/>
          <w:sz w:val="24"/>
          <w:szCs w:val="24"/>
        </w:rPr>
      </w:pPr>
      <w:r>
        <w:rPr>
          <w:rFonts w:ascii="Times New Roman" w:hAnsi="Times New Roman"/>
          <w:sz w:val="24"/>
          <w:szCs w:val="24"/>
          <w:rtl w:val="0"/>
          <w:lang w:val="en-US"/>
        </w:rPr>
        <w:t>In the following object analysis, I shall examine a group of artefacts known as the</w:t>
      </w:r>
      <w:r>
        <w:rPr>
          <w:rFonts w:ascii="Times New Roman" w:hAnsi="Times New Roman"/>
          <w:sz w:val="24"/>
          <w:szCs w:val="24"/>
          <w:rtl w:val="0"/>
          <w:lang w:val="en-US"/>
        </w:rPr>
        <w:t xml:space="preserve"> La</w:t>
      </w:r>
      <w:r>
        <w:rPr>
          <w:rFonts w:ascii="Times New Roman" w:hAnsi="Times New Roman"/>
          <w:sz w:val="24"/>
          <w:szCs w:val="24"/>
          <w:rtl w:val="0"/>
          <w:lang w:val="en-US"/>
        </w:rPr>
        <w:t xml:space="preserve"> Ghorfa </w:t>
      </w:r>
      <w:r>
        <w:rPr>
          <w:rFonts w:ascii="Times New Roman" w:hAnsi="Times New Roman"/>
          <w:sz w:val="24"/>
          <w:szCs w:val="24"/>
          <w:rtl w:val="0"/>
          <w:lang w:val="en-US"/>
        </w:rPr>
        <w:t>ste</w:t>
      </w:r>
      <w:r>
        <w:rPr>
          <w:rFonts w:ascii="Times New Roman" w:hAnsi="Times New Roman"/>
          <w:sz w:val="24"/>
          <w:szCs w:val="24"/>
          <w:rtl w:val="0"/>
          <w:lang w:val="en-US"/>
        </w:rPr>
        <w:t xml:space="preserve">lae, </w:t>
      </w:r>
      <w:r>
        <w:rPr>
          <w:rFonts w:ascii="Times New Roman" w:hAnsi="Times New Roman"/>
          <w:sz w:val="24"/>
          <w:szCs w:val="24"/>
          <w:rtl w:val="0"/>
          <w:lang w:val="en-US"/>
        </w:rPr>
        <w:t>forty</w:t>
      </w:r>
      <w:r>
        <w:rPr>
          <w:rFonts w:ascii="Times New Roman" w:hAnsi="Times New Roman"/>
          <w:sz w:val="24"/>
          <w:szCs w:val="24"/>
          <w:rtl w:val="0"/>
          <w:lang w:val="en-US"/>
        </w:rPr>
        <w:t xml:space="preserve"> or so </w:t>
      </w:r>
      <w:r>
        <w:rPr>
          <w:rFonts w:ascii="Times New Roman" w:hAnsi="Times New Roman"/>
          <w:sz w:val="24"/>
          <w:szCs w:val="24"/>
          <w:rtl w:val="0"/>
          <w:lang w:val="en-US"/>
        </w:rPr>
        <w:t xml:space="preserve">limestone </w:t>
      </w:r>
      <w:r>
        <w:rPr>
          <w:rFonts w:ascii="Times New Roman" w:hAnsi="Times New Roman"/>
          <w:sz w:val="24"/>
          <w:szCs w:val="24"/>
          <w:rtl w:val="0"/>
          <w:lang w:val="en-US"/>
        </w:rPr>
        <w:t>votive stelae that date from around 50</w:t>
      </w:r>
      <w:r>
        <w:rPr>
          <w:rFonts w:ascii="Times New Roman" w:hAnsi="Times New Roman" w:hint="default"/>
          <w:sz w:val="24"/>
          <w:szCs w:val="24"/>
          <w:rtl w:val="0"/>
          <w:lang w:val="en-US"/>
        </w:rPr>
        <w:t>–</w:t>
      </w:r>
      <w:r>
        <w:rPr>
          <w:rFonts w:ascii="Times New Roman" w:hAnsi="Times New Roman"/>
          <w:sz w:val="24"/>
          <w:szCs w:val="24"/>
          <w:rtl w:val="0"/>
          <w:lang w:val="en-US"/>
        </w:rPr>
        <w:t xml:space="preserve">150 AD (Wilson 2015: 499). The precise context in which they were found is unknown, but it is likely that they originate from the region of Maktar in what is now central Tunisia, not from the area of La Ghorfa after which they are named (Moore 1999: 32). As such, they come from a region which was the Roman province of Africa, and are important pieces of evidence for the nature of the religious life in that </w:t>
      </w:r>
      <w:r>
        <w:rPr>
          <w:rFonts w:ascii="Times New Roman" w:hAnsi="Times New Roman"/>
          <w:sz w:val="24"/>
          <w:szCs w:val="24"/>
          <w:rtl w:val="0"/>
          <w:lang w:val="en-US"/>
        </w:rPr>
        <w:t>region, exhibiting as they do Roman, Punic and indigenous African cultural attributes (Moore 2000: 11).</w:t>
      </w:r>
    </w:p>
    <w:p>
      <w:pPr>
        <w:pStyle w:val="Body A"/>
        <w:suppressAutoHyphens w:val="1"/>
        <w:spacing w:line="360" w:lineRule="auto"/>
        <w:ind w:left="283" w:right="284" w:firstLine="0"/>
        <w:jc w:val="both"/>
        <w:rPr>
          <w:rFonts w:ascii="Times New Roman" w:cs="Times New Roman" w:hAnsi="Times New Roman" w:eastAsia="Times New Roman"/>
          <w:sz w:val="24"/>
          <w:szCs w:val="24"/>
        </w:rPr>
      </w:pPr>
    </w:p>
    <w:p>
      <w:pPr>
        <w:pStyle w:val="Body A"/>
        <w:suppressAutoHyphens w:val="1"/>
        <w:spacing w:line="360" w:lineRule="auto"/>
        <w:ind w:left="283" w:right="284" w:firstLine="0"/>
        <w:jc w:val="both"/>
        <w:rPr>
          <w:rFonts w:ascii="Times New Roman" w:cs="Times New Roman" w:hAnsi="Times New Roman" w:eastAsia="Times New Roman"/>
          <w:sz w:val="24"/>
          <w:szCs w:val="24"/>
        </w:rPr>
      </w:pPr>
      <w:r>
        <w:rPr>
          <w:rFonts w:ascii="Times New Roman" w:hAnsi="Times New Roman"/>
          <w:sz w:val="24"/>
          <w:szCs w:val="24"/>
          <w:rtl w:val="0"/>
          <w:lang w:val="en-US"/>
        </w:rPr>
        <w:t xml:space="preserve">The La Ghorfa stelae are objects which portray a fusion not just of art styles, but of religious ideas. </w:t>
      </w:r>
      <w:r>
        <w:rPr>
          <w:rFonts w:ascii="Times New Roman" w:hAnsi="Times New Roman"/>
          <w:sz w:val="24"/>
          <w:szCs w:val="24"/>
          <w:rtl w:val="0"/>
          <w:lang w:val="en-US"/>
        </w:rPr>
        <w:t xml:space="preserve">According to Andrew Wilson, </w:t>
      </w:r>
      <w:r>
        <w:rPr>
          <w:rFonts w:ascii="Times New Roman" w:hAnsi="Times New Roman" w:hint="default"/>
          <w:sz w:val="24"/>
          <w:szCs w:val="24"/>
          <w:rtl w:val="0"/>
          <w:lang w:val="en-US"/>
        </w:rPr>
        <w:t>“</w:t>
      </w:r>
      <w:r>
        <w:rPr>
          <w:rFonts w:ascii="Times New Roman" w:hAnsi="Times New Roman"/>
          <w:sz w:val="24"/>
          <w:szCs w:val="24"/>
          <w:rtl w:val="0"/>
          <w:lang w:val="en-US"/>
        </w:rPr>
        <w:t>the basic elements of the Saturn stelae of the Roman period are already present on Punic/Berber stelai of the pre-Roman period</w:t>
      </w:r>
      <w:r>
        <w:rPr>
          <w:rFonts w:ascii="Times New Roman" w:hAnsi="Times New Roman" w:hint="default"/>
          <w:sz w:val="24"/>
          <w:szCs w:val="24"/>
          <w:rtl w:val="0"/>
          <w:lang w:val="en-US"/>
        </w:rPr>
        <w:t xml:space="preserve">” </w:t>
      </w:r>
      <w:r>
        <w:rPr>
          <w:rFonts w:ascii="Times New Roman" w:hAnsi="Times New Roman"/>
          <w:sz w:val="24"/>
          <w:szCs w:val="24"/>
          <w:rtl w:val="0"/>
          <w:lang w:val="en-US"/>
        </w:rPr>
        <w:t>(</w:t>
      </w:r>
      <w:r>
        <w:rPr>
          <w:rFonts w:ascii="Times New Roman" w:hAnsi="Times New Roman"/>
          <w:sz w:val="24"/>
          <w:szCs w:val="24"/>
          <w:rtl w:val="0"/>
          <w:lang w:val="en-US"/>
        </w:rPr>
        <w:t>2012</w:t>
      </w:r>
      <w:r>
        <w:rPr>
          <w:rFonts w:ascii="Times New Roman" w:hAnsi="Times New Roman"/>
          <w:sz w:val="24"/>
          <w:szCs w:val="24"/>
          <w:rtl w:val="0"/>
          <w:lang w:val="en-US"/>
        </w:rPr>
        <w:t>:</w:t>
      </w:r>
      <w:r>
        <w:rPr>
          <w:rFonts w:ascii="Times New Roman" w:hAnsi="Times New Roman"/>
          <w:sz w:val="24"/>
          <w:szCs w:val="24"/>
          <w:rtl w:val="0"/>
          <w:lang w:val="en-US"/>
        </w:rPr>
        <w:t xml:space="preserve"> </w:t>
      </w:r>
      <w:r>
        <w:rPr>
          <w:rFonts w:ascii="Times New Roman" w:hAnsi="Times New Roman"/>
          <w:sz w:val="24"/>
          <w:szCs w:val="24"/>
          <w:rtl w:val="0"/>
          <w:lang w:val="en-US"/>
        </w:rPr>
        <w:t>403). The La Ghorfa stelae follow this pattern</w:t>
      </w:r>
      <w:r>
        <w:rPr>
          <w:rFonts w:ascii="Times New Roman" w:hAnsi="Times New Roman"/>
          <w:sz w:val="24"/>
          <w:szCs w:val="24"/>
          <w:rtl w:val="0"/>
          <w:lang w:val="en-US"/>
        </w:rPr>
        <w:t xml:space="preserve"> to a degree</w:t>
      </w:r>
      <w:r>
        <w:rPr>
          <w:rFonts w:ascii="Times New Roman" w:hAnsi="Times New Roman"/>
          <w:sz w:val="24"/>
          <w:szCs w:val="24"/>
          <w:rtl w:val="0"/>
          <w:lang w:val="en-US"/>
        </w:rPr>
        <w:t>, as do other examples of votive stelae from North Africa, though they do exhibit features that set them apart from these.</w:t>
      </w:r>
      <w:r>
        <w:rPr>
          <w:rFonts w:ascii="Times New Roman" w:hAnsi="Times New Roman"/>
          <w:sz w:val="24"/>
          <w:szCs w:val="24"/>
          <w:rtl w:val="0"/>
          <w:lang w:val="en-US"/>
        </w:rPr>
        <w:t xml:space="preserve"> </w:t>
      </w:r>
      <w:r>
        <w:rPr>
          <w:rFonts w:ascii="Times New Roman" w:hAnsi="Times New Roman"/>
          <w:sz w:val="24"/>
          <w:szCs w:val="24"/>
          <w:rtl w:val="0"/>
          <w:lang w:val="en-US"/>
        </w:rPr>
        <w:t xml:space="preserve">Roger J. A. Wilson calls the La Ghorfa stelae the result of a </w:t>
      </w:r>
      <w:r>
        <w:rPr>
          <w:rFonts w:ascii="Times New Roman" w:hAnsi="Times New Roman" w:hint="default"/>
          <w:sz w:val="24"/>
          <w:szCs w:val="24"/>
          <w:rtl w:val="0"/>
          <w:lang w:val="en-US"/>
        </w:rPr>
        <w:t>“</w:t>
      </w:r>
      <w:r>
        <w:rPr>
          <w:rFonts w:ascii="Times New Roman" w:hAnsi="Times New Roman"/>
          <w:sz w:val="24"/>
          <w:szCs w:val="24"/>
          <w:rtl w:val="0"/>
          <w:lang w:val="en-US"/>
        </w:rPr>
        <w:t>genuine synthesis of Roman and African elements</w:t>
      </w:r>
      <w:r>
        <w:rPr>
          <w:rFonts w:ascii="Times New Roman" w:hAnsi="Times New Roman" w:hint="default"/>
          <w:sz w:val="24"/>
          <w:szCs w:val="24"/>
          <w:rtl w:val="0"/>
          <w:lang w:val="en-US"/>
        </w:rPr>
        <w:t xml:space="preserve">” </w:t>
      </w:r>
      <w:r>
        <w:rPr>
          <w:rFonts w:ascii="Times New Roman" w:hAnsi="Times New Roman"/>
          <w:sz w:val="24"/>
          <w:szCs w:val="24"/>
          <w:rtl w:val="0"/>
          <w:lang w:val="en-US"/>
        </w:rPr>
        <w:t xml:space="preserve">(Wilson 2015: 499), yet the artistic arrangement on the stelae differs from both neo-Punic and Roman colonial stelae (Wilson </w:t>
      </w:r>
      <w:r>
        <w:rPr>
          <w:rFonts w:ascii="Times New Roman" w:hAnsi="Times New Roman"/>
          <w:sz w:val="24"/>
          <w:szCs w:val="24"/>
          <w:rtl w:val="0"/>
          <w:lang w:val="en-US"/>
        </w:rPr>
        <w:t>2012</w:t>
      </w:r>
      <w:r>
        <w:rPr>
          <w:rFonts w:ascii="Times New Roman" w:hAnsi="Times New Roman"/>
          <w:sz w:val="24"/>
          <w:szCs w:val="24"/>
          <w:rtl w:val="0"/>
          <w:lang w:val="en-US"/>
        </w:rPr>
        <w:t>: 407), thus making them unique.</w:t>
      </w:r>
      <w:r>
        <w:rPr>
          <w:rFonts w:ascii="Times New Roman" w:hAnsi="Times New Roman"/>
          <w:sz w:val="24"/>
          <w:szCs w:val="24"/>
          <w:rtl w:val="0"/>
          <w:lang w:val="en-US"/>
        </w:rPr>
        <w:t xml:space="preserve"> There is a great deal of variation between individual stelae; as such their main characteristics will be discussed. </w:t>
      </w:r>
    </w:p>
    <w:p>
      <w:pPr>
        <w:pStyle w:val="Body A"/>
        <w:suppressAutoHyphens w:val="1"/>
        <w:spacing w:line="360" w:lineRule="auto"/>
        <w:ind w:left="283" w:right="284" w:firstLine="0"/>
        <w:jc w:val="both"/>
        <w:rPr>
          <w:rFonts w:ascii="Times New Roman" w:cs="Times New Roman" w:hAnsi="Times New Roman" w:eastAsia="Times New Roman"/>
        </w:rPr>
      </w:pPr>
    </w:p>
    <w:p>
      <w:pPr>
        <w:pStyle w:val="Body A"/>
        <w:suppressAutoHyphens w:val="1"/>
        <w:spacing w:line="360" w:lineRule="auto"/>
        <w:ind w:left="283" w:right="284" w:firstLine="0"/>
        <w:jc w:val="both"/>
        <w:rPr>
          <w:rFonts w:ascii="Times New Roman" w:cs="Times New Roman" w:hAnsi="Times New Roman" w:eastAsia="Times New Roman"/>
          <w:sz w:val="24"/>
          <w:szCs w:val="24"/>
        </w:rPr>
      </w:pPr>
      <w:r>
        <w:rPr>
          <w:rFonts w:ascii="Times New Roman" w:hAnsi="Times New Roman"/>
          <w:sz w:val="24"/>
          <w:szCs w:val="24"/>
          <w:rtl w:val="0"/>
          <w:lang w:val="en-US"/>
        </w:rPr>
        <w:t>A variety of pre-Roman</w:t>
      </w:r>
      <w:r>
        <w:rPr>
          <w:rFonts w:ascii="Times New Roman" w:hAnsi="Times New Roman"/>
          <w:sz w:val="24"/>
          <w:szCs w:val="24"/>
          <w:rtl w:val="0"/>
          <w:lang w:val="en-US"/>
        </w:rPr>
        <w:t xml:space="preserve"> (Punic)</w:t>
      </w:r>
      <w:r>
        <w:rPr>
          <w:rFonts w:ascii="Times New Roman" w:hAnsi="Times New Roman"/>
          <w:sz w:val="24"/>
          <w:szCs w:val="24"/>
          <w:rtl w:val="0"/>
          <w:lang w:val="en-US"/>
        </w:rPr>
        <w:t xml:space="preserve"> iconographies are visible in the stelae. A</w:t>
      </w:r>
      <w:r>
        <w:rPr>
          <w:rFonts w:ascii="Times New Roman" w:hAnsi="Times New Roman"/>
          <w:sz w:val="24"/>
          <w:szCs w:val="24"/>
          <w:rtl w:val="0"/>
          <w:lang w:val="pt-PT"/>
        </w:rPr>
        <w:t xml:space="preserve"> lunar crescent</w:t>
      </w:r>
      <w:r>
        <w:rPr>
          <w:rFonts w:ascii="Times New Roman" w:hAnsi="Times New Roman"/>
          <w:sz w:val="24"/>
          <w:szCs w:val="24"/>
          <w:rtl w:val="0"/>
          <w:lang w:val="en-US"/>
        </w:rPr>
        <w:t xml:space="preserve"> tops many of the La Ghorfa stelae, a symbol which represented the god Baal in the pre-Roman stelae and which was also positioned in the same place on those examples (Wilson </w:t>
      </w:r>
      <w:r>
        <w:rPr>
          <w:rFonts w:ascii="Times New Roman" w:hAnsi="Times New Roman"/>
          <w:sz w:val="24"/>
          <w:szCs w:val="24"/>
          <w:rtl w:val="0"/>
          <w:lang w:val="en-US"/>
        </w:rPr>
        <w:t>2012</w:t>
      </w:r>
      <w:r>
        <w:rPr>
          <w:rFonts w:ascii="Times New Roman" w:hAnsi="Times New Roman"/>
          <w:sz w:val="24"/>
          <w:szCs w:val="24"/>
          <w:rtl w:val="0"/>
          <w:lang w:val="en-US"/>
        </w:rPr>
        <w:t>: 404).</w:t>
      </w:r>
      <w:r>
        <w:rPr>
          <w:rFonts w:ascii="Times New Roman" w:hAnsi="Times New Roman"/>
          <w:sz w:val="24"/>
          <w:szCs w:val="24"/>
          <w:rtl w:val="0"/>
          <w:lang w:val="en-US"/>
        </w:rPr>
        <w:t xml:space="preserve"> </w:t>
      </w:r>
      <w:r>
        <w:rPr>
          <w:rFonts w:ascii="Times New Roman" w:hAnsi="Times New Roman"/>
          <w:sz w:val="24"/>
          <w:szCs w:val="24"/>
          <w:rtl w:val="0"/>
          <w:lang w:val="en-US"/>
        </w:rPr>
        <w:t xml:space="preserve">On a stelae known as CIL 8, 1008, which may in fact belong to the La Ghorfa group of objects (Moore 1999: 35), the dedication is explicitly to Baal, suggesting that the deity was still revered in the pre-Roman form that was unidentified with Saturn. This may lead us to assume that Baal was the deity to which the dedication was being made, but this may not be the case (as shall be discussed shortly). </w:t>
      </w:r>
      <w:r>
        <w:rPr>
          <w:rFonts w:ascii="Times New Roman" w:hAnsi="Times New Roman"/>
          <w:sz w:val="24"/>
          <w:szCs w:val="24"/>
          <w:rtl w:val="0"/>
          <w:lang w:val="en-US"/>
        </w:rPr>
        <w:t xml:space="preserve">A symbol present on all of the stelae that have the highest register of sculpture still present </w:t>
      </w:r>
      <w:r>
        <w:rPr>
          <w:rFonts w:ascii="Times New Roman" w:hAnsi="Times New Roman"/>
          <w:sz w:val="24"/>
          <w:szCs w:val="24"/>
          <w:rtl w:val="0"/>
          <w:lang w:val="en-US"/>
        </w:rPr>
        <w:t>is that of the</w:t>
      </w:r>
      <w:r>
        <w:rPr>
          <w:rFonts w:ascii="Times New Roman" w:hAnsi="Times New Roman"/>
          <w:sz w:val="24"/>
          <w:szCs w:val="24"/>
          <w:rtl w:val="0"/>
        </w:rPr>
        <w:t xml:space="preserve"> </w:t>
      </w:r>
      <w:r>
        <w:rPr>
          <w:rFonts w:ascii="Times New Roman" w:hAnsi="Times New Roman"/>
          <w:sz w:val="24"/>
          <w:szCs w:val="24"/>
          <w:rtl w:val="0"/>
          <w:lang w:val="en-US"/>
        </w:rPr>
        <w:t>symbol</w:t>
      </w:r>
      <w:r>
        <w:rPr>
          <w:rFonts w:ascii="Times New Roman" w:hAnsi="Times New Roman"/>
          <w:sz w:val="24"/>
          <w:szCs w:val="24"/>
          <w:rtl w:val="0"/>
          <w:lang w:val="en-US"/>
        </w:rPr>
        <w:t xml:space="preserve"> of the </w:t>
      </w:r>
      <w:r>
        <w:rPr>
          <w:rFonts w:ascii="Times New Roman" w:hAnsi="Times New Roman"/>
          <w:sz w:val="24"/>
          <w:szCs w:val="24"/>
          <w:rtl w:val="0"/>
          <w:lang w:val="en-US"/>
        </w:rPr>
        <w:t xml:space="preserve">Punic </w:t>
      </w:r>
      <w:r>
        <w:rPr>
          <w:rFonts w:ascii="Times New Roman" w:hAnsi="Times New Roman"/>
          <w:sz w:val="24"/>
          <w:szCs w:val="24"/>
          <w:rtl w:val="0"/>
          <w:lang w:val="sv-SE"/>
        </w:rPr>
        <w:t>goddess Tanit</w:t>
      </w:r>
      <w:r>
        <w:rPr>
          <w:rFonts w:ascii="Times New Roman" w:hAnsi="Times New Roman"/>
          <w:sz w:val="24"/>
          <w:szCs w:val="24"/>
          <w:rtl w:val="0"/>
          <w:lang w:val="en-US"/>
        </w:rPr>
        <w:t xml:space="preserve">, a symbol which was used on pre-Roman stelae. On the </w:t>
      </w:r>
      <w:r>
        <w:rPr>
          <w:rFonts w:ascii="Times New Roman" w:hAnsi="Times New Roman"/>
          <w:sz w:val="24"/>
          <w:szCs w:val="24"/>
          <w:rtl w:val="0"/>
        </w:rPr>
        <w:t>La Ghorfa</w:t>
      </w:r>
      <w:r>
        <w:rPr>
          <w:rFonts w:ascii="Times New Roman" w:hAnsi="Times New Roman"/>
          <w:sz w:val="24"/>
          <w:szCs w:val="24"/>
          <w:rtl w:val="0"/>
          <w:lang w:val="en-US"/>
        </w:rPr>
        <w:t xml:space="preserve"> examples the sign</w:t>
      </w:r>
      <w:r>
        <w:rPr>
          <w:rFonts w:ascii="Times New Roman" w:hAnsi="Times New Roman"/>
          <w:sz w:val="24"/>
          <w:szCs w:val="24"/>
          <w:rtl w:val="0"/>
          <w:lang w:val="en-US"/>
        </w:rPr>
        <w:t xml:space="preserve"> has been anthropomorphised</w:t>
      </w:r>
      <w:r>
        <w:rPr>
          <w:rFonts w:ascii="Times New Roman" w:hAnsi="Times New Roman"/>
          <w:sz w:val="24"/>
          <w:szCs w:val="24"/>
          <w:rtl w:val="0"/>
          <w:lang w:val="en-US"/>
        </w:rPr>
        <w:t xml:space="preserve"> as </w:t>
      </w:r>
      <w:r>
        <w:rPr>
          <w:rFonts w:ascii="Times New Roman" w:hAnsi="Times New Roman"/>
          <w:sz w:val="24"/>
          <w:szCs w:val="24"/>
          <w:rtl w:val="0"/>
          <w:lang w:val="it-IT"/>
        </w:rPr>
        <w:t xml:space="preserve">a deity </w:t>
      </w:r>
      <w:r>
        <w:rPr>
          <w:rFonts w:ascii="Times New Roman" w:hAnsi="Times New Roman"/>
          <w:sz w:val="24"/>
          <w:szCs w:val="24"/>
          <w:rtl w:val="0"/>
          <w:lang w:val="en-US"/>
        </w:rPr>
        <w:t>standing</w:t>
      </w:r>
      <w:r>
        <w:rPr>
          <w:rFonts w:ascii="Times New Roman" w:hAnsi="Times New Roman"/>
          <w:sz w:val="24"/>
          <w:szCs w:val="24"/>
          <w:rtl w:val="0"/>
          <w:lang w:val="en-US"/>
        </w:rPr>
        <w:t xml:space="preserve"> in a pose corresponding to that symbol, with the arms held out sideways</w:t>
      </w:r>
      <w:r>
        <w:rPr>
          <w:rFonts w:ascii="Times New Roman" w:hAnsi="Times New Roman"/>
          <w:sz w:val="24"/>
          <w:szCs w:val="24"/>
          <w:rtl w:val="0"/>
          <w:lang w:val="en-US"/>
        </w:rPr>
        <w:t xml:space="preserve">, though uniquely carrying fruit (Moore 2000: 11). </w:t>
      </w:r>
      <w:r>
        <w:rPr>
          <w:rFonts w:ascii="Times New Roman" w:hAnsi="Times New Roman"/>
          <w:sz w:val="24"/>
          <w:szCs w:val="24"/>
          <w:rtl w:val="0"/>
          <w:lang w:val="en-US"/>
        </w:rPr>
        <w:t>In Roman Africa, Tanit became identified with the Roman Caelestis, and often bore a resemblance to Cybele in artwork (Moore 2000: 35). Moore suggests that while Tanit-Caelestis (Baal-Saturn</w:t>
      </w:r>
      <w:r>
        <w:rPr>
          <w:rFonts w:ascii="Times New Roman" w:hAnsi="Times New Roman" w:hint="default"/>
          <w:sz w:val="24"/>
          <w:szCs w:val="24"/>
          <w:rtl w:val="0"/>
          <w:lang w:val="en-US"/>
        </w:rPr>
        <w:t>’</w:t>
      </w:r>
      <w:r>
        <w:rPr>
          <w:rFonts w:ascii="Times New Roman" w:hAnsi="Times New Roman"/>
          <w:sz w:val="24"/>
          <w:szCs w:val="24"/>
          <w:rtl w:val="0"/>
          <w:lang w:val="en-US"/>
        </w:rPr>
        <w:t xml:space="preserve">s female counterpart) </w:t>
      </w:r>
      <w:r>
        <w:rPr>
          <w:rFonts w:ascii="Times New Roman" w:hAnsi="Times New Roman"/>
          <w:sz w:val="24"/>
          <w:szCs w:val="24"/>
          <w:rtl w:val="0"/>
          <w:lang w:val="en-US"/>
        </w:rPr>
        <w:t xml:space="preserve">could conceivably </w:t>
      </w:r>
      <w:r>
        <w:rPr>
          <w:rFonts w:ascii="Times New Roman" w:hAnsi="Times New Roman"/>
          <w:sz w:val="24"/>
          <w:szCs w:val="24"/>
          <w:rtl w:val="0"/>
          <w:lang w:val="en-US"/>
        </w:rPr>
        <w:t>have been the recipient of the dedication (Moore 2000: 12), the sign of Tanit on the stelae may not actually refer to any deity at all. No evidence exists for the symbol</w:t>
      </w:r>
      <w:r>
        <w:rPr>
          <w:rFonts w:ascii="Times New Roman" w:hAnsi="Times New Roman" w:hint="default"/>
          <w:sz w:val="24"/>
          <w:szCs w:val="24"/>
          <w:rtl w:val="0"/>
          <w:lang w:val="en-US"/>
        </w:rPr>
        <w:t>’</w:t>
      </w:r>
      <w:r>
        <w:rPr>
          <w:rFonts w:ascii="Times New Roman" w:hAnsi="Times New Roman"/>
          <w:sz w:val="24"/>
          <w:szCs w:val="24"/>
          <w:rtl w:val="0"/>
          <w:lang w:val="en-US"/>
        </w:rPr>
        <w:t>s Punic association with Tanit, nor does it for the identification with Tanit-Caelestis or Cybele; and the anthropomorphised sign does not exhibit female characteristics that one may expect if it was depicting the goddess (Moore 2000: 51). The symbol may instead refer to notions of fertility (Moore 2000: 52). Nevertheless, it is a distinctly Punic symbol that persisted well into the Roman era, and may have had the same connotations made with it as it did in the Punic era. Flanking the Tanit symbol at the top of the stelae are Roman deities such as Dionysus and Venus (Wilson 2012: 407), demonstrating the clear Roman influence in the stelae; though Jennifer P. Moore suggests that the Dionysus figure could be the minor deity Liber Pater (2000: 52).</w:t>
      </w:r>
    </w:p>
    <w:p>
      <w:pPr>
        <w:pStyle w:val="Body A"/>
        <w:suppressAutoHyphens w:val="1"/>
        <w:spacing w:line="360" w:lineRule="auto"/>
        <w:ind w:left="283" w:right="284" w:firstLine="0"/>
        <w:jc w:val="both"/>
        <w:rPr>
          <w:rFonts w:ascii="Times New Roman" w:cs="Times New Roman" w:hAnsi="Times New Roman" w:eastAsia="Times New Roman"/>
          <w:sz w:val="24"/>
          <w:szCs w:val="24"/>
        </w:rPr>
      </w:pPr>
    </w:p>
    <w:p>
      <w:pPr>
        <w:pStyle w:val="Body A"/>
        <w:suppressAutoHyphens w:val="1"/>
        <w:spacing w:line="360" w:lineRule="auto"/>
        <w:ind w:left="283" w:right="284" w:firstLine="0"/>
        <w:jc w:val="both"/>
        <w:rPr>
          <w:rFonts w:ascii="Times New Roman" w:cs="Times New Roman" w:hAnsi="Times New Roman" w:eastAsia="Times New Roman"/>
          <w:sz w:val="24"/>
          <w:szCs w:val="24"/>
        </w:rPr>
      </w:pPr>
      <w:r>
        <w:rPr>
          <w:rFonts w:ascii="Times New Roman" w:hAnsi="Times New Roman"/>
          <w:sz w:val="24"/>
          <w:szCs w:val="24"/>
          <w:rtl w:val="0"/>
          <w:lang w:val="en-US"/>
        </w:rPr>
        <w:t>The dedicants depicted on the stelae are</w:t>
      </w:r>
      <w:r>
        <w:rPr>
          <w:rFonts w:ascii="Times New Roman" w:hAnsi="Times New Roman"/>
          <w:sz w:val="24"/>
          <w:szCs w:val="24"/>
          <w:rtl w:val="0"/>
          <w:lang w:val="en-US"/>
        </w:rPr>
        <w:t xml:space="preserve"> usually </w:t>
      </w:r>
      <w:r>
        <w:rPr>
          <w:rFonts w:ascii="Times New Roman" w:hAnsi="Times New Roman"/>
          <w:sz w:val="24"/>
          <w:szCs w:val="24"/>
          <w:rtl w:val="0"/>
          <w:lang w:val="en-US"/>
        </w:rPr>
        <w:t>but not always</w:t>
      </w:r>
      <w:r>
        <w:rPr>
          <w:rFonts w:ascii="Times New Roman" w:hAnsi="Times New Roman"/>
          <w:sz w:val="24"/>
          <w:szCs w:val="24"/>
          <w:rtl w:val="0"/>
          <w:lang w:val="en-US"/>
        </w:rPr>
        <w:t xml:space="preserve"> clothed in typical Roman dress</w:t>
      </w:r>
      <w:r>
        <w:rPr>
          <w:rFonts w:ascii="Times New Roman" w:hAnsi="Times New Roman"/>
          <w:sz w:val="24"/>
          <w:szCs w:val="24"/>
          <w:rtl w:val="0"/>
          <w:lang w:val="en-US"/>
        </w:rPr>
        <w:t xml:space="preserve"> (Moore 1999: 52)</w:t>
      </w:r>
      <w:r>
        <w:rPr>
          <w:rFonts w:ascii="Times New Roman" w:hAnsi="Times New Roman"/>
          <w:sz w:val="24"/>
          <w:szCs w:val="24"/>
          <w:rtl w:val="0"/>
          <w:lang w:val="en-US"/>
        </w:rPr>
        <w:t xml:space="preserve">, but the pose in which they are stood is one typical of Punic tradition, that of holding an offering to the chest (Wilson </w:t>
      </w:r>
      <w:r>
        <w:rPr>
          <w:rFonts w:ascii="Times New Roman" w:hAnsi="Times New Roman"/>
          <w:sz w:val="24"/>
          <w:szCs w:val="24"/>
          <w:rtl w:val="0"/>
          <w:lang w:val="en-US"/>
        </w:rPr>
        <w:t>2012</w:t>
      </w:r>
      <w:r>
        <w:rPr>
          <w:rFonts w:ascii="Times New Roman" w:hAnsi="Times New Roman"/>
          <w:sz w:val="24"/>
          <w:szCs w:val="24"/>
          <w:rtl w:val="0"/>
          <w:lang w:val="en-US"/>
        </w:rPr>
        <w:t>: 407)</w:t>
      </w:r>
      <w:r>
        <w:rPr>
          <w:rFonts w:ascii="Times New Roman" w:hAnsi="Times New Roman"/>
          <w:sz w:val="24"/>
          <w:szCs w:val="24"/>
          <w:rtl w:val="0"/>
          <w:lang w:val="en-US"/>
        </w:rPr>
        <w:t xml:space="preserve">. While the pose remains the same, they are surrounded by a Roman aedicula-type structure (Moore 1999: 32), demonstrating a blending of Punic religious practice with the trappings of the Romans. </w:t>
      </w:r>
      <w:r>
        <w:rPr>
          <w:rFonts w:ascii="Times New Roman" w:hAnsi="Times New Roman"/>
          <w:sz w:val="24"/>
          <w:szCs w:val="24"/>
          <w:rtl w:val="0"/>
          <w:lang w:val="en-US"/>
        </w:rPr>
        <w:t xml:space="preserve">Eleven of the La Ghorfa stelae bear inscriptions, and of these, nine are in Latin. Of these, all but one are based on the votive formula which is familiar from across the Roman empire, </w:t>
      </w:r>
      <w:r>
        <w:rPr>
          <w:rFonts w:ascii="Times New Roman" w:hAnsi="Times New Roman"/>
          <w:i w:val="1"/>
          <w:iCs w:val="1"/>
          <w:sz w:val="24"/>
          <w:szCs w:val="24"/>
          <w:rtl w:val="0"/>
          <w:lang w:val="en-US"/>
        </w:rPr>
        <w:t xml:space="preserve">v(otum) s(olvit) l(ibens) m(erito), </w:t>
      </w:r>
      <w:r>
        <w:rPr>
          <w:rFonts w:ascii="Times New Roman" w:hAnsi="Times New Roman"/>
          <w:sz w:val="24"/>
          <w:szCs w:val="24"/>
          <w:rtl w:val="0"/>
          <w:lang w:val="en-US"/>
        </w:rPr>
        <w:t>or</w:t>
      </w:r>
      <w:r>
        <w:rPr>
          <w:rFonts w:ascii="Times New Roman" w:hAnsi="Times New Roman"/>
          <w:i w:val="1"/>
          <w:iCs w:val="1"/>
          <w:sz w:val="24"/>
          <w:szCs w:val="24"/>
          <w:rtl w:val="0"/>
          <w:lang w:val="en-US"/>
        </w:rPr>
        <w:t xml:space="preserve"> (</w:t>
      </w:r>
      <w:r>
        <w:rPr>
          <w:rFonts w:ascii="Times New Roman" w:hAnsi="Times New Roman"/>
          <w:i w:val="1"/>
          <w:iCs w:val="1"/>
          <w:sz w:val="24"/>
          <w:szCs w:val="24"/>
          <w:rtl w:val="0"/>
          <w:lang w:val="en-US"/>
        </w:rPr>
        <w:t>v</w:t>
      </w:r>
      <w:r>
        <w:rPr>
          <w:rFonts w:ascii="Times New Roman" w:hAnsi="Times New Roman"/>
          <w:i w:val="1"/>
          <w:iCs w:val="1"/>
          <w:sz w:val="24"/>
          <w:szCs w:val="24"/>
          <w:rtl w:val="0"/>
          <w:lang w:val="en-US"/>
        </w:rPr>
        <w:t>otum) s(olvit) l(ibens) a(nimo)</w:t>
      </w:r>
      <w:r>
        <w:rPr>
          <w:rFonts w:ascii="Times New Roman" w:hAnsi="Times New Roman"/>
          <w:sz w:val="24"/>
          <w:szCs w:val="24"/>
          <w:rtl w:val="0"/>
          <w:lang w:val="en-US"/>
        </w:rPr>
        <w:t xml:space="preserve"> (Moore 1999: 32). Clearly, this very Roman practice of setting up objects which commemorate an individual fulfilling a vow to a deity was identified with the Punic act </w:t>
      </w:r>
      <w:r>
        <w:rPr>
          <w:rFonts w:ascii="Times New Roman" w:hAnsi="Times New Roman"/>
          <w:sz w:val="24"/>
          <w:szCs w:val="24"/>
          <w:rtl w:val="0"/>
          <w:lang w:val="en-US"/>
        </w:rPr>
        <w:t>of erecting stelae to some extent. Most of the stelae, however, do not have inscriptions, a feature which would appear to have been carried over from Punic examples which were for the most part anepigraphic (Wilson 2012: 403). Owing to the paucity of information on those examples that do include inscriptions, there is a degree of speculation as to which deity (or deities) the stelae were dedicated to. All but one lack the name of the divinity, and the translation of the Punic deity Baal Hammon to the Roman Saturn is one that appears not to have been made in Maktar (Moore 2000: 37), the area from which the La Ghorfa stelae likely originate. Such an identification was popular in Roman Africa, and a number of other votive stelae depict the identification of Baal as Saturn, such as those from Ain Nechma (Wilson 2012: 404). The lack of a similar identification on the La Ghorfa stelae is even more curious given the fact that in pre-Roman Maktar, Baal had many followers (Moore 2000: 12); and that l</w:t>
      </w:r>
      <w:r>
        <w:rPr>
          <w:rFonts w:ascii="Times New Roman" w:hAnsi="Times New Roman"/>
          <w:sz w:val="24"/>
          <w:szCs w:val="24"/>
          <w:rtl w:val="0"/>
          <w:lang w:val="en-US"/>
        </w:rPr>
        <w:t>ocal cults could persist in a form that was unchanged by identification with Roman religion, something which is typical to the province (Moore 2000: 37).</w:t>
      </w:r>
      <w:r>
        <w:rPr>
          <w:rFonts w:ascii="Times New Roman" w:hAnsi="Times New Roman"/>
          <w:sz w:val="24"/>
          <w:szCs w:val="24"/>
          <w:rtl w:val="0"/>
          <w:lang w:val="en-US"/>
        </w:rPr>
        <w:t xml:space="preserve"> The La Ghorfa stelae demonstrate that even within a province there was local variation and preference in terms of religion. Equally, however, they also demonstrate that the pre-Roman religious character of a province (or at least a specific location in a province) could be lost. </w:t>
      </w:r>
      <w:r>
        <w:rPr>
          <w:rFonts w:ascii="Times New Roman" w:hAnsi="Times New Roman"/>
          <w:sz w:val="24"/>
          <w:szCs w:val="24"/>
          <w:rtl w:val="0"/>
          <w:lang w:val="en-US"/>
        </w:rPr>
        <w:t xml:space="preserve">As such, the deity to whom the stelae were dedicated is not very clear, unlike the Saturn stelae that are more explicit. </w:t>
      </w:r>
    </w:p>
    <w:p>
      <w:pPr>
        <w:pStyle w:val="Body A"/>
        <w:suppressAutoHyphens w:val="1"/>
        <w:spacing w:line="360" w:lineRule="auto"/>
        <w:ind w:left="283" w:right="284" w:firstLine="0"/>
        <w:jc w:val="both"/>
        <w:rPr>
          <w:rFonts w:ascii="Times New Roman" w:cs="Times New Roman" w:hAnsi="Times New Roman" w:eastAsia="Times New Roman"/>
          <w:sz w:val="24"/>
          <w:szCs w:val="24"/>
        </w:rPr>
      </w:pPr>
    </w:p>
    <w:p>
      <w:pPr>
        <w:pStyle w:val="Body A"/>
        <w:suppressAutoHyphens w:val="1"/>
        <w:spacing w:line="360" w:lineRule="auto"/>
        <w:ind w:left="283" w:right="284" w:firstLine="0"/>
        <w:jc w:val="both"/>
        <w:rPr>
          <w:rFonts w:ascii="Times New Roman" w:cs="Times New Roman" w:hAnsi="Times New Roman" w:eastAsia="Times New Roman"/>
        </w:rPr>
      </w:pPr>
      <w:r>
        <w:rPr>
          <w:rFonts w:ascii="Times New Roman" w:hAnsi="Times New Roman"/>
          <w:sz w:val="24"/>
          <w:szCs w:val="24"/>
          <w:rtl w:val="0"/>
          <w:lang w:val="en-US"/>
        </w:rPr>
        <w:t>As noted earlier, the La Ghorfa stelae differ from both Punic and other Roman examples</w:t>
      </w:r>
      <w:r>
        <w:rPr>
          <w:rFonts w:ascii="Times New Roman" w:hAnsi="Times New Roman"/>
          <w:sz w:val="24"/>
          <w:szCs w:val="24"/>
          <w:rtl w:val="0"/>
          <w:lang w:val="en-US"/>
        </w:rPr>
        <w:t>, possessing elements that set them apart from other stelae from Africa</w:t>
      </w:r>
      <w:r>
        <w:rPr>
          <w:rFonts w:ascii="Times New Roman" w:hAnsi="Times New Roman"/>
          <w:sz w:val="24"/>
          <w:szCs w:val="24"/>
          <w:rtl w:val="0"/>
          <w:lang w:val="en-US"/>
        </w:rPr>
        <w:t xml:space="preserve">. At the lowest register of many of them, a scene depicting a bull sacrifice is present, something which corresponds to neither Punic or </w:t>
      </w:r>
      <w:r>
        <w:rPr>
          <w:rFonts w:ascii="Times New Roman" w:hAnsi="Times New Roman"/>
          <w:sz w:val="24"/>
          <w:szCs w:val="24"/>
          <w:rtl w:val="0"/>
          <w:lang w:val="en-US"/>
        </w:rPr>
        <w:t xml:space="preserve">other </w:t>
      </w:r>
      <w:r>
        <w:rPr>
          <w:rFonts w:ascii="Times New Roman" w:hAnsi="Times New Roman"/>
          <w:sz w:val="24"/>
          <w:szCs w:val="24"/>
          <w:rtl w:val="0"/>
          <w:lang w:val="en-US"/>
        </w:rPr>
        <w:t xml:space="preserve">Roman </w:t>
      </w:r>
      <w:r>
        <w:rPr>
          <w:rFonts w:ascii="Times New Roman" w:hAnsi="Times New Roman"/>
          <w:sz w:val="24"/>
          <w:szCs w:val="24"/>
          <w:rtl w:val="0"/>
          <w:lang w:val="en-US"/>
        </w:rPr>
        <w:t xml:space="preserve">examples (Moore 1999: 32). The bull sacrifice scene may provide an insight into the form of the votive deposits that were made in the province, and would indicate that it was the votive sacrifice victim, but Moore considers it more likely that a bull would have been used instead for a celebratory banquet as no bovine remains have been found as stelae deposits (Moore 2000: 19). In addition, above the lowest register on some examples is a pair of what appear to be two large female figures who are holding up a tier upon which the dedicant stands. These figures are highly reminiscent of Palaeolithic fertility goddesses, and this notion may be one intended to be expressed by their incorporation on the stelae. </w:t>
      </w:r>
    </w:p>
    <w:p>
      <w:pPr>
        <w:pStyle w:val="Body A"/>
        <w:suppressAutoHyphens w:val="1"/>
        <w:spacing w:line="360" w:lineRule="auto"/>
        <w:ind w:left="283" w:right="284" w:firstLine="0"/>
        <w:jc w:val="both"/>
        <w:rPr>
          <w:rFonts w:ascii="Times New Roman" w:cs="Times New Roman" w:hAnsi="Times New Roman" w:eastAsia="Times New Roman"/>
          <w:sz w:val="24"/>
          <w:szCs w:val="24"/>
        </w:rPr>
      </w:pPr>
    </w:p>
    <w:p>
      <w:pPr>
        <w:pStyle w:val="Body A"/>
        <w:suppressAutoHyphens w:val="1"/>
        <w:spacing w:line="360" w:lineRule="auto"/>
        <w:ind w:left="283" w:right="284" w:firstLine="0"/>
        <w:jc w:val="both"/>
        <w:rPr>
          <w:rFonts w:ascii="Times New Roman" w:cs="Times New Roman" w:hAnsi="Times New Roman" w:eastAsia="Times New Roman"/>
          <w:sz w:val="24"/>
          <w:szCs w:val="24"/>
        </w:rPr>
      </w:pPr>
      <w:r>
        <w:rPr>
          <w:rFonts w:ascii="Times New Roman" w:hAnsi="Times New Roman"/>
          <w:sz w:val="24"/>
          <w:szCs w:val="24"/>
          <w:rtl w:val="0"/>
          <w:lang w:val="en-US"/>
        </w:rPr>
        <w:t xml:space="preserve">The La Ghorfa stelae illustrate the fluid nature of religious beliefs and iconography in the   Roman province of Africa, but they also inform us about the ways in which certain features of pre-Roman Punic ideas did and did not continue into the Roman period. One may draw the conclusion that amongst the people who set up the La Ghorfa votive stelae the explicit identification of Punic deities with Roman ones was not made; instead, the Punic imagery that may (or may not, as in the case of the </w:t>
      </w:r>
      <w:r>
        <w:rPr>
          <w:rFonts w:ascii="Times New Roman" w:hAnsi="Times New Roman" w:hint="default"/>
          <w:sz w:val="24"/>
          <w:szCs w:val="24"/>
          <w:rtl w:val="0"/>
          <w:lang w:val="en-US"/>
        </w:rPr>
        <w:t>‘</w:t>
      </w:r>
      <w:r>
        <w:rPr>
          <w:rFonts w:ascii="Times New Roman" w:hAnsi="Times New Roman"/>
          <w:sz w:val="24"/>
          <w:szCs w:val="24"/>
          <w:rtl w:val="0"/>
          <w:lang w:val="en-US"/>
        </w:rPr>
        <w:t>Tanit</w:t>
      </w:r>
      <w:r>
        <w:rPr>
          <w:rFonts w:ascii="Times New Roman" w:hAnsi="Times New Roman" w:hint="default"/>
          <w:sz w:val="24"/>
          <w:szCs w:val="24"/>
          <w:rtl w:val="0"/>
          <w:lang w:val="en-US"/>
        </w:rPr>
        <w:t xml:space="preserve">’ </w:t>
      </w:r>
      <w:r>
        <w:rPr>
          <w:rFonts w:ascii="Times New Roman" w:hAnsi="Times New Roman"/>
          <w:sz w:val="24"/>
          <w:szCs w:val="24"/>
          <w:rtl w:val="0"/>
          <w:lang w:val="en-US"/>
        </w:rPr>
        <w:t xml:space="preserve">symbol) have been associated with these deities persisted (such as the crescent moon symbol associated with Baal) as holdovers from that era, as scholars like Moore have suggested. As such, we are provided with a tantalising glimpse into religious life in Africa, and can perhaps conclude that for whatever reason in Maktar certain interpretations between Punic and Roman deities were not made as they were elsewhere in the province. Andrew Wilson believes that the high quality of the sculptures and the emphasis on architecture indicate that the stelae originate from a highly urbanised area of the Tunisian Tell (2012: 407). We can speculate that perhaps in those areas Punic elements were much less ascribed to, owing to an increased Roman presence. </w:t>
      </w:r>
    </w:p>
    <w:p>
      <w:pPr>
        <w:pStyle w:val="Body A"/>
        <w:suppressAutoHyphens w:val="1"/>
        <w:spacing w:line="360" w:lineRule="auto"/>
        <w:ind w:left="283" w:right="284" w:firstLine="0"/>
        <w:jc w:val="both"/>
        <w:rPr>
          <w:rFonts w:ascii="Times New Roman" w:cs="Times New Roman" w:hAnsi="Times New Roman" w:eastAsia="Times New Roman"/>
          <w:sz w:val="24"/>
          <w:szCs w:val="24"/>
        </w:rPr>
      </w:pPr>
    </w:p>
    <w:p>
      <w:pPr>
        <w:pStyle w:val="Body A"/>
        <w:suppressAutoHyphens w:val="1"/>
        <w:spacing w:line="360" w:lineRule="auto"/>
        <w:ind w:left="283" w:right="284" w:firstLine="0"/>
        <w:jc w:val="both"/>
        <w:rPr>
          <w:rFonts w:ascii="Times New Roman" w:cs="Times New Roman" w:hAnsi="Times New Roman" w:eastAsia="Times New Roman"/>
        </w:rPr>
      </w:pPr>
    </w:p>
    <w:p>
      <w:pPr>
        <w:pStyle w:val="Body A"/>
        <w:suppressAutoHyphens w:val="1"/>
        <w:spacing w:line="360" w:lineRule="auto"/>
        <w:ind w:left="283" w:right="284" w:firstLine="0"/>
        <w:jc w:val="both"/>
        <w:rPr>
          <w:rFonts w:ascii="Times New Roman" w:cs="Times New Roman" w:hAnsi="Times New Roman" w:eastAsia="Times New Roman"/>
        </w:rPr>
      </w:pPr>
    </w:p>
    <w:p>
      <w:pPr>
        <w:pStyle w:val="Body A"/>
        <w:suppressAutoHyphens w:val="1"/>
        <w:spacing w:line="360" w:lineRule="auto"/>
        <w:ind w:left="283" w:right="284" w:firstLine="0"/>
        <w:jc w:val="both"/>
        <w:rPr>
          <w:rFonts w:ascii="Times New Roman" w:cs="Times New Roman" w:hAnsi="Times New Roman" w:eastAsia="Times New Roman"/>
        </w:rPr>
      </w:pPr>
    </w:p>
    <w:p>
      <w:pPr>
        <w:pStyle w:val="Body A"/>
        <w:suppressAutoHyphens w:val="1"/>
        <w:spacing w:line="360" w:lineRule="auto"/>
        <w:ind w:left="283" w:right="284" w:firstLine="0"/>
        <w:jc w:val="both"/>
        <w:rPr>
          <w:rFonts w:ascii="Times New Roman" w:cs="Times New Roman" w:hAnsi="Times New Roman" w:eastAsia="Times New Roman"/>
        </w:rPr>
      </w:pPr>
    </w:p>
    <w:p>
      <w:pPr>
        <w:pStyle w:val="Body A"/>
        <w:suppressAutoHyphens w:val="1"/>
        <w:spacing w:line="360" w:lineRule="auto"/>
        <w:ind w:left="283" w:right="284" w:firstLine="0"/>
        <w:jc w:val="both"/>
        <w:rPr>
          <w:rFonts w:ascii="Times New Roman" w:cs="Times New Roman" w:hAnsi="Times New Roman" w:eastAsia="Times New Roman"/>
        </w:rPr>
      </w:pPr>
    </w:p>
    <w:p>
      <w:pPr>
        <w:pStyle w:val="Body A"/>
        <w:suppressAutoHyphens w:val="1"/>
        <w:spacing w:line="360" w:lineRule="auto"/>
        <w:ind w:left="283" w:right="284" w:firstLine="0"/>
        <w:jc w:val="both"/>
        <w:rPr>
          <w:rFonts w:ascii="Times New Roman" w:cs="Times New Roman" w:hAnsi="Times New Roman" w:eastAsia="Times New Roman"/>
        </w:rPr>
      </w:pPr>
    </w:p>
    <w:p>
      <w:pPr>
        <w:pStyle w:val="Body A"/>
        <w:suppressAutoHyphens w:val="1"/>
        <w:spacing w:line="360" w:lineRule="auto"/>
        <w:ind w:left="283" w:right="284" w:firstLine="0"/>
        <w:jc w:val="both"/>
        <w:rPr>
          <w:rFonts w:ascii="Times New Roman" w:cs="Times New Roman" w:hAnsi="Times New Roman" w:eastAsia="Times New Roman"/>
        </w:rPr>
      </w:pPr>
    </w:p>
    <w:p>
      <w:pPr>
        <w:pStyle w:val="Body A"/>
        <w:suppressAutoHyphens w:val="1"/>
        <w:spacing w:line="360" w:lineRule="auto"/>
        <w:ind w:left="283" w:right="284" w:firstLine="0"/>
        <w:jc w:val="both"/>
        <w:rPr>
          <w:rFonts w:ascii="Times New Roman" w:cs="Times New Roman" w:hAnsi="Times New Roman" w:eastAsia="Times New Roman"/>
        </w:rPr>
      </w:pPr>
    </w:p>
    <w:p>
      <w:pPr>
        <w:pStyle w:val="Body A"/>
        <w:suppressAutoHyphens w:val="1"/>
        <w:spacing w:line="360" w:lineRule="auto"/>
        <w:ind w:left="283" w:right="284" w:firstLine="0"/>
        <w:jc w:val="both"/>
        <w:rPr>
          <w:rFonts w:ascii="Times New Roman" w:cs="Times New Roman" w:hAnsi="Times New Roman" w:eastAsia="Times New Roman"/>
        </w:rPr>
      </w:pPr>
    </w:p>
    <w:p>
      <w:pPr>
        <w:pStyle w:val="Body A"/>
        <w:suppressAutoHyphens w:val="1"/>
        <w:spacing w:line="360" w:lineRule="auto"/>
        <w:ind w:left="283" w:right="284" w:firstLine="0"/>
        <w:jc w:val="both"/>
        <w:rPr>
          <w:rFonts w:ascii="Times New Roman" w:cs="Times New Roman" w:hAnsi="Times New Roman" w:eastAsia="Times New Roman"/>
        </w:rPr>
      </w:pPr>
    </w:p>
    <w:p>
      <w:pPr>
        <w:pStyle w:val="Body A"/>
        <w:suppressAutoHyphens w:val="1"/>
        <w:spacing w:line="360" w:lineRule="auto"/>
        <w:ind w:left="283" w:right="284" w:firstLine="0"/>
        <w:jc w:val="both"/>
        <w:rPr>
          <w:rFonts w:ascii="Times New Roman" w:cs="Times New Roman" w:hAnsi="Times New Roman" w:eastAsia="Times New Roman"/>
        </w:rPr>
      </w:pPr>
    </w:p>
    <w:p>
      <w:pPr>
        <w:pStyle w:val="Body A"/>
        <w:suppressAutoHyphens w:val="1"/>
        <w:spacing w:line="360" w:lineRule="auto"/>
        <w:ind w:left="283" w:right="284" w:firstLine="0"/>
        <w:jc w:val="both"/>
        <w:rPr>
          <w:rFonts w:ascii="Times New Roman" w:cs="Times New Roman" w:hAnsi="Times New Roman" w:eastAsia="Times New Roman"/>
        </w:rPr>
      </w:pPr>
    </w:p>
    <w:p>
      <w:pPr>
        <w:pStyle w:val="Body A"/>
        <w:suppressAutoHyphens w:val="1"/>
        <w:spacing w:line="360" w:lineRule="auto"/>
        <w:ind w:left="283" w:right="284" w:firstLine="0"/>
        <w:jc w:val="both"/>
        <w:rPr>
          <w:rFonts w:ascii="Times New Roman" w:cs="Times New Roman" w:hAnsi="Times New Roman" w:eastAsia="Times New Roman"/>
        </w:rPr>
      </w:pPr>
    </w:p>
    <w:p>
      <w:pPr>
        <w:pStyle w:val="Body A"/>
        <w:suppressAutoHyphens w:val="1"/>
        <w:spacing w:line="360" w:lineRule="auto"/>
        <w:ind w:left="283" w:right="284" w:firstLine="0"/>
        <w:jc w:val="both"/>
        <w:rPr>
          <w:rFonts w:ascii="Times New Roman" w:cs="Times New Roman" w:hAnsi="Times New Roman" w:eastAsia="Times New Roman"/>
        </w:rPr>
      </w:pPr>
    </w:p>
    <w:p>
      <w:pPr>
        <w:pStyle w:val="Body A"/>
        <w:suppressAutoHyphens w:val="1"/>
        <w:spacing w:line="360" w:lineRule="auto"/>
        <w:ind w:left="283" w:right="284" w:firstLine="0"/>
        <w:jc w:val="both"/>
        <w:rPr>
          <w:rFonts w:ascii="Times New Roman" w:cs="Times New Roman" w:hAnsi="Times New Roman" w:eastAsia="Times New Roman"/>
        </w:rPr>
      </w:pPr>
    </w:p>
    <w:p>
      <w:pPr>
        <w:pStyle w:val="Body A"/>
        <w:suppressAutoHyphens w:val="1"/>
        <w:spacing w:line="360" w:lineRule="auto"/>
        <w:ind w:left="283" w:right="284" w:firstLine="0"/>
        <w:jc w:val="both"/>
        <w:rPr>
          <w:rFonts w:ascii="Times New Roman" w:cs="Times New Roman" w:hAnsi="Times New Roman" w:eastAsia="Times New Roman"/>
        </w:rPr>
      </w:pPr>
    </w:p>
    <w:p>
      <w:pPr>
        <w:pStyle w:val="Body A"/>
        <w:suppressAutoHyphens w:val="1"/>
        <w:spacing w:line="360" w:lineRule="auto"/>
        <w:ind w:left="283" w:right="284" w:firstLine="0"/>
        <w:jc w:val="both"/>
        <w:rPr>
          <w:rFonts w:ascii="Times New Roman" w:cs="Times New Roman" w:hAnsi="Times New Roman" w:eastAsia="Times New Roman"/>
        </w:rPr>
      </w:pPr>
    </w:p>
    <w:p>
      <w:pPr>
        <w:pStyle w:val="Body A"/>
        <w:suppressAutoHyphens w:val="1"/>
        <w:spacing w:line="360" w:lineRule="auto"/>
        <w:ind w:left="283" w:right="284" w:firstLine="0"/>
        <w:jc w:val="both"/>
        <w:rPr>
          <w:rFonts w:ascii="Times New Roman" w:cs="Times New Roman" w:hAnsi="Times New Roman" w:eastAsia="Times New Roman"/>
        </w:rPr>
      </w:pPr>
    </w:p>
    <w:p>
      <w:pPr>
        <w:pStyle w:val="Body A"/>
        <w:suppressAutoHyphens w:val="1"/>
        <w:spacing w:line="360" w:lineRule="auto"/>
        <w:ind w:left="283" w:right="284" w:firstLine="0"/>
        <w:jc w:val="both"/>
        <w:rPr>
          <w:rFonts w:ascii="Times New Roman" w:cs="Times New Roman" w:hAnsi="Times New Roman" w:eastAsia="Times New Roman"/>
        </w:rPr>
      </w:pPr>
    </w:p>
    <w:p>
      <w:pPr>
        <w:pStyle w:val="Body A"/>
        <w:suppressAutoHyphens w:val="1"/>
        <w:spacing w:line="360" w:lineRule="auto"/>
        <w:ind w:left="283" w:right="284" w:firstLine="0"/>
        <w:jc w:val="both"/>
        <w:rPr>
          <w:rFonts w:ascii="Times New Roman" w:cs="Times New Roman" w:hAnsi="Times New Roman" w:eastAsia="Times New Roman"/>
        </w:rPr>
      </w:pPr>
    </w:p>
    <w:p>
      <w:pPr>
        <w:pStyle w:val="Body A"/>
        <w:suppressAutoHyphens w:val="1"/>
        <w:spacing w:line="360" w:lineRule="auto"/>
        <w:ind w:left="283" w:right="284" w:firstLine="0"/>
        <w:jc w:val="both"/>
        <w:rPr>
          <w:rFonts w:ascii="Times New Roman" w:cs="Times New Roman" w:hAnsi="Times New Roman" w:eastAsia="Times New Roman"/>
        </w:rPr>
      </w:pPr>
    </w:p>
    <w:p>
      <w:pPr>
        <w:pStyle w:val="Body A"/>
        <w:suppressAutoHyphens w:val="1"/>
        <w:spacing w:line="360" w:lineRule="auto"/>
        <w:ind w:left="283" w:right="284" w:firstLine="0"/>
        <w:jc w:val="both"/>
        <w:rPr>
          <w:rFonts w:ascii="Times New Roman" w:cs="Times New Roman" w:hAnsi="Times New Roman" w:eastAsia="Times New Roman"/>
        </w:rPr>
      </w:pPr>
    </w:p>
    <w:p>
      <w:pPr>
        <w:pStyle w:val="Body A"/>
        <w:suppressAutoHyphens w:val="1"/>
        <w:spacing w:line="360" w:lineRule="auto"/>
        <w:ind w:left="283" w:right="284" w:firstLine="0"/>
        <w:jc w:val="both"/>
        <w:rPr>
          <w:rFonts w:ascii="Times New Roman" w:cs="Times New Roman" w:hAnsi="Times New Roman" w:eastAsia="Times New Roman"/>
        </w:rPr>
      </w:pPr>
    </w:p>
    <w:p>
      <w:pPr>
        <w:pStyle w:val="Body A"/>
        <w:suppressAutoHyphens w:val="1"/>
        <w:spacing w:line="360" w:lineRule="auto"/>
        <w:ind w:left="283" w:right="284" w:firstLine="0"/>
        <w:jc w:val="both"/>
        <w:rPr>
          <w:rFonts w:ascii="Times New Roman" w:cs="Times New Roman" w:hAnsi="Times New Roman" w:eastAsia="Times New Roman"/>
        </w:rPr>
      </w:pPr>
    </w:p>
    <w:p>
      <w:pPr>
        <w:pStyle w:val="Body A"/>
        <w:suppressAutoHyphens w:val="1"/>
        <w:spacing w:line="360" w:lineRule="auto"/>
        <w:ind w:left="283" w:right="284" w:firstLine="0"/>
        <w:jc w:val="both"/>
        <w:rPr>
          <w:rFonts w:ascii="Times New Roman" w:cs="Times New Roman" w:hAnsi="Times New Roman" w:eastAsia="Times New Roman"/>
        </w:rPr>
      </w:pPr>
    </w:p>
    <w:p>
      <w:pPr>
        <w:pStyle w:val="Body A"/>
        <w:suppressAutoHyphens w:val="1"/>
        <w:spacing w:line="360" w:lineRule="auto"/>
        <w:ind w:left="283" w:right="284" w:firstLine="0"/>
        <w:jc w:val="both"/>
        <w:rPr>
          <w:rFonts w:ascii="Times New Roman" w:cs="Times New Roman" w:hAnsi="Times New Roman" w:eastAsia="Times New Roman"/>
        </w:rPr>
      </w:pPr>
    </w:p>
    <w:p>
      <w:pPr>
        <w:pStyle w:val="Body A"/>
        <w:suppressAutoHyphens w:val="1"/>
        <w:spacing w:line="360" w:lineRule="auto"/>
        <w:ind w:left="283" w:right="284" w:firstLine="0"/>
        <w:jc w:val="both"/>
        <w:rPr>
          <w:rFonts w:ascii="Times New Roman" w:cs="Times New Roman" w:hAnsi="Times New Roman" w:eastAsia="Times New Roman"/>
        </w:rPr>
      </w:pPr>
    </w:p>
    <w:p>
      <w:pPr>
        <w:pStyle w:val="Body A"/>
        <w:suppressAutoHyphens w:val="1"/>
        <w:spacing w:line="360" w:lineRule="auto"/>
        <w:ind w:left="283" w:right="284" w:firstLine="0"/>
        <w:jc w:val="both"/>
        <w:rPr>
          <w:rFonts w:ascii="Times New Roman" w:cs="Times New Roman" w:hAnsi="Times New Roman" w:eastAsia="Times New Roman"/>
        </w:rPr>
      </w:pPr>
    </w:p>
    <w:p>
      <w:pPr>
        <w:pStyle w:val="Body A"/>
        <w:suppressAutoHyphens w:val="1"/>
        <w:spacing w:line="360" w:lineRule="auto"/>
        <w:ind w:left="283" w:right="284" w:firstLine="0"/>
        <w:jc w:val="both"/>
        <w:rPr>
          <w:rFonts w:ascii="Times New Roman" w:cs="Times New Roman" w:hAnsi="Times New Roman" w:eastAsia="Times New Roman"/>
        </w:rPr>
      </w:pPr>
    </w:p>
    <w:p>
      <w:pPr>
        <w:pStyle w:val="Body A"/>
        <w:suppressAutoHyphens w:val="1"/>
        <w:spacing w:line="360" w:lineRule="auto"/>
        <w:ind w:left="283" w:right="284" w:firstLine="0"/>
        <w:jc w:val="both"/>
        <w:rPr>
          <w:rFonts w:ascii="Times New Roman" w:cs="Times New Roman" w:hAnsi="Times New Roman" w:eastAsia="Times New Roman"/>
          <w:sz w:val="24"/>
          <w:szCs w:val="24"/>
          <w:u w:val="single"/>
        </w:rPr>
      </w:pPr>
      <w:r>
        <w:rPr>
          <w:rFonts w:ascii="Times New Roman" w:hAnsi="Times New Roman"/>
          <w:sz w:val="24"/>
          <w:szCs w:val="24"/>
          <w:u w:val="single"/>
          <w:rtl w:val="0"/>
          <w:lang w:val="en-US"/>
        </w:rPr>
        <w:t>Bibliography</w:t>
      </w:r>
    </w:p>
    <w:p>
      <w:pPr>
        <w:pStyle w:val="Body A"/>
        <w:suppressAutoHyphens w:val="1"/>
        <w:spacing w:line="360" w:lineRule="auto"/>
        <w:ind w:left="283" w:right="284" w:firstLine="0"/>
        <w:jc w:val="both"/>
        <w:rPr>
          <w:rFonts w:ascii="Times New Roman" w:cs="Times New Roman" w:hAnsi="Times New Roman" w:eastAsia="Times New Roman"/>
          <w:sz w:val="24"/>
          <w:szCs w:val="24"/>
        </w:rPr>
      </w:pPr>
    </w:p>
    <w:p>
      <w:pPr>
        <w:pStyle w:val="Body A"/>
        <w:suppressAutoHyphens w:val="1"/>
        <w:spacing w:line="360" w:lineRule="auto"/>
        <w:ind w:left="283" w:right="284" w:firstLine="0"/>
        <w:jc w:val="both"/>
        <w:rPr>
          <w:rFonts w:ascii="Times New Roman" w:cs="Times New Roman" w:hAnsi="Times New Roman" w:eastAsia="Times New Roman"/>
          <w:sz w:val="24"/>
          <w:szCs w:val="24"/>
        </w:rPr>
      </w:pPr>
      <w:r>
        <w:rPr>
          <w:rFonts w:ascii="Times New Roman" w:hAnsi="Times New Roman"/>
          <w:sz w:val="24"/>
          <w:szCs w:val="24"/>
          <w:rtl w:val="0"/>
          <w:lang w:val="en-US"/>
        </w:rPr>
        <w:t xml:space="preserve">Moore, J. P. 2000. </w:t>
      </w:r>
      <w:r>
        <w:rPr>
          <w:rFonts w:ascii="Times New Roman" w:hAnsi="Times New Roman"/>
          <w:i w:val="1"/>
          <w:iCs w:val="1"/>
          <w:sz w:val="24"/>
          <w:szCs w:val="24"/>
          <w:rtl w:val="0"/>
          <w:lang w:val="en-US"/>
        </w:rPr>
        <w:t xml:space="preserve">Cultural identity in Roman Africa: the </w:t>
      </w:r>
      <w:r>
        <w:rPr>
          <w:rFonts w:ascii="Times New Roman" w:hAnsi="Times New Roman" w:hint="default"/>
          <w:i w:val="1"/>
          <w:iCs w:val="1"/>
          <w:sz w:val="24"/>
          <w:szCs w:val="24"/>
          <w:rtl w:val="0"/>
          <w:lang w:val="en-US"/>
        </w:rPr>
        <w:t>‘</w:t>
      </w:r>
      <w:r>
        <w:rPr>
          <w:rFonts w:ascii="Times New Roman" w:hAnsi="Times New Roman"/>
          <w:i w:val="1"/>
          <w:iCs w:val="1"/>
          <w:sz w:val="24"/>
          <w:szCs w:val="24"/>
          <w:rtl w:val="0"/>
          <w:lang w:val="en-US"/>
        </w:rPr>
        <w:t>La Ghorfa</w:t>
      </w:r>
      <w:r>
        <w:rPr>
          <w:rFonts w:ascii="Times New Roman" w:hAnsi="Times New Roman" w:hint="default"/>
          <w:i w:val="1"/>
          <w:iCs w:val="1"/>
          <w:sz w:val="24"/>
          <w:szCs w:val="24"/>
          <w:rtl w:val="0"/>
          <w:lang w:val="en-US"/>
        </w:rPr>
        <w:t xml:space="preserve">’ </w:t>
      </w:r>
      <w:r>
        <w:rPr>
          <w:rFonts w:ascii="Times New Roman" w:hAnsi="Times New Roman"/>
          <w:i w:val="1"/>
          <w:iCs w:val="1"/>
          <w:sz w:val="24"/>
          <w:szCs w:val="24"/>
          <w:rtl w:val="0"/>
          <w:lang w:val="en-US"/>
        </w:rPr>
        <w:t>stelae</w:t>
      </w:r>
      <w:r>
        <w:rPr>
          <w:rFonts w:ascii="Times New Roman" w:hAnsi="Times New Roman"/>
          <w:sz w:val="24"/>
          <w:szCs w:val="24"/>
          <w:rtl w:val="0"/>
          <w:lang w:val="en-US"/>
        </w:rPr>
        <w:t>. PhD thesis, McMaster University</w:t>
      </w:r>
      <w:r>
        <w:rPr>
          <w:rFonts w:ascii="Times New Roman" w:hAnsi="Times New Roman"/>
          <w:sz w:val="24"/>
          <w:szCs w:val="24"/>
          <w:rtl w:val="0"/>
          <w:lang w:val="en-US"/>
        </w:rPr>
        <w:t>.</w:t>
      </w:r>
    </w:p>
    <w:p>
      <w:pPr>
        <w:pStyle w:val="Body A"/>
        <w:suppressAutoHyphens w:val="1"/>
        <w:spacing w:line="360" w:lineRule="auto"/>
        <w:ind w:left="283" w:right="284" w:firstLine="0"/>
        <w:jc w:val="both"/>
        <w:rPr>
          <w:rFonts w:ascii="Times New Roman" w:cs="Times New Roman" w:hAnsi="Times New Roman" w:eastAsia="Times New Roman"/>
          <w:sz w:val="24"/>
          <w:szCs w:val="24"/>
        </w:rPr>
      </w:pPr>
    </w:p>
    <w:p>
      <w:pPr>
        <w:pStyle w:val="Body A"/>
        <w:suppressAutoHyphens w:val="1"/>
        <w:spacing w:line="360" w:lineRule="auto"/>
        <w:ind w:left="283" w:right="284" w:firstLine="0"/>
        <w:jc w:val="both"/>
        <w:rPr>
          <w:rFonts w:ascii="Times New Roman" w:cs="Times New Roman" w:hAnsi="Times New Roman" w:eastAsia="Times New Roman"/>
          <w:sz w:val="24"/>
          <w:szCs w:val="24"/>
        </w:rPr>
      </w:pPr>
      <w:r>
        <w:rPr>
          <w:rFonts w:ascii="Times New Roman" w:hAnsi="Times New Roman" w:hint="default"/>
          <w:sz w:val="24"/>
          <w:szCs w:val="24"/>
          <w:rtl w:val="0"/>
          <w:lang w:val="en-US"/>
        </w:rPr>
        <w:t>—————</w:t>
      </w:r>
      <w:r>
        <w:rPr>
          <w:rFonts w:ascii="Times New Roman" w:hAnsi="Times New Roman"/>
          <w:sz w:val="24"/>
          <w:szCs w:val="24"/>
          <w:rtl w:val="0"/>
          <w:lang w:val="en-US"/>
        </w:rPr>
        <w:t xml:space="preserve">. 1999. </w:t>
      </w:r>
      <w:r>
        <w:rPr>
          <w:rFonts w:ascii="Times New Roman" w:hAnsi="Times New Roman" w:hint="default"/>
          <w:sz w:val="24"/>
          <w:szCs w:val="24"/>
          <w:rtl w:val="0"/>
          <w:lang w:val="en-US"/>
        </w:rPr>
        <w:t>‘</w:t>
      </w:r>
      <w:r>
        <w:rPr>
          <w:rFonts w:ascii="Times New Roman" w:hAnsi="Times New Roman"/>
          <w:sz w:val="24"/>
          <w:szCs w:val="24"/>
          <w:rtl w:val="0"/>
          <w:lang w:val="en-US"/>
        </w:rPr>
        <w:t xml:space="preserve">Cultural elasticity in the inscriptions of the so-called </w:t>
      </w:r>
      <w:r>
        <w:rPr>
          <w:rFonts w:ascii="Times New Roman" w:hAnsi="Times New Roman" w:hint="default"/>
          <w:sz w:val="24"/>
          <w:szCs w:val="24"/>
          <w:rtl w:val="0"/>
          <w:lang w:val="en-US"/>
        </w:rPr>
        <w:t>“</w:t>
      </w:r>
      <w:r>
        <w:rPr>
          <w:rFonts w:ascii="Times New Roman" w:hAnsi="Times New Roman"/>
          <w:sz w:val="24"/>
          <w:szCs w:val="24"/>
          <w:rtl w:val="0"/>
          <w:lang w:val="en-US"/>
        </w:rPr>
        <w:t>La Ghorfa</w:t>
      </w:r>
      <w:r>
        <w:rPr>
          <w:rFonts w:ascii="Times New Roman" w:hAnsi="Times New Roman" w:hint="default"/>
          <w:sz w:val="24"/>
          <w:szCs w:val="24"/>
          <w:rtl w:val="0"/>
          <w:lang w:val="en-US"/>
        </w:rPr>
        <w:t>”</w:t>
      </w:r>
      <w:r>
        <w:rPr>
          <w:rFonts w:ascii="Times New Roman" w:hAnsi="Times New Roman"/>
          <w:sz w:val="24"/>
          <w:szCs w:val="24"/>
          <w:rtl w:val="0"/>
          <w:lang w:val="de-DE"/>
        </w:rPr>
        <w:t xml:space="preserve"> stelae</w:t>
      </w:r>
      <w:r>
        <w:rPr>
          <w:rFonts w:ascii="Times New Roman" w:hAnsi="Times New Roman" w:hint="default"/>
          <w:sz w:val="24"/>
          <w:szCs w:val="24"/>
          <w:rtl w:val="0"/>
          <w:lang w:val="en-US"/>
        </w:rPr>
        <w:t xml:space="preserve">’ </w:t>
      </w:r>
      <w:r>
        <w:rPr>
          <w:rFonts w:ascii="Times New Roman" w:hAnsi="Times New Roman"/>
          <w:sz w:val="24"/>
          <w:szCs w:val="24"/>
          <w:rtl w:val="0"/>
          <w:lang w:val="en-US"/>
        </w:rPr>
        <w:t>in Antiquit</w:t>
      </w:r>
      <w:r>
        <w:rPr>
          <w:rFonts w:ascii="Times New Roman" w:hAnsi="Times New Roman" w:hint="default"/>
          <w:sz w:val="24"/>
          <w:szCs w:val="24"/>
          <w:rtl w:val="0"/>
          <w:lang w:val="en-US"/>
        </w:rPr>
        <w:t>é</w:t>
      </w:r>
      <w:r>
        <w:rPr>
          <w:rFonts w:ascii="Times New Roman" w:hAnsi="Times New Roman"/>
          <w:sz w:val="24"/>
          <w:szCs w:val="24"/>
          <w:rtl w:val="0"/>
          <w:lang w:val="en-US"/>
        </w:rPr>
        <w:t>s africaines</w:t>
      </w:r>
      <w:r>
        <w:rPr>
          <w:rFonts w:ascii="Times New Roman" w:hAnsi="Times New Roman"/>
          <w:sz w:val="24"/>
          <w:szCs w:val="24"/>
          <w:rtl w:val="0"/>
          <w:lang w:val="en-US"/>
        </w:rPr>
        <w:t>, Vol. 35. pp 31-37.</w:t>
      </w:r>
    </w:p>
    <w:p>
      <w:pPr>
        <w:pStyle w:val="Body A"/>
        <w:suppressAutoHyphens w:val="1"/>
        <w:spacing w:line="360" w:lineRule="auto"/>
        <w:ind w:left="283" w:right="284" w:firstLine="0"/>
        <w:jc w:val="both"/>
        <w:rPr>
          <w:rFonts w:ascii="Times New Roman" w:cs="Times New Roman" w:hAnsi="Times New Roman" w:eastAsia="Times New Roman"/>
          <w:sz w:val="24"/>
          <w:szCs w:val="24"/>
        </w:rPr>
      </w:pPr>
    </w:p>
    <w:p>
      <w:pPr>
        <w:pStyle w:val="Body A"/>
        <w:suppressAutoHyphens w:val="1"/>
        <w:spacing w:line="360" w:lineRule="auto"/>
        <w:ind w:left="283" w:right="284" w:firstLine="0"/>
        <w:jc w:val="both"/>
        <w:rPr>
          <w:rFonts w:ascii="Times New Roman" w:cs="Times New Roman" w:hAnsi="Times New Roman" w:eastAsia="Times New Roman"/>
          <w:sz w:val="24"/>
          <w:szCs w:val="24"/>
        </w:rPr>
      </w:pPr>
      <w:r>
        <w:rPr>
          <w:rFonts w:ascii="Times New Roman" w:hAnsi="Times New Roman"/>
          <w:sz w:val="24"/>
          <w:szCs w:val="24"/>
          <w:rtl w:val="0"/>
          <w:lang w:val="en-US"/>
        </w:rPr>
        <w:t>Wilson, A.</w:t>
      </w:r>
      <w:r>
        <w:rPr>
          <w:rFonts w:ascii="Times New Roman" w:hAnsi="Times New Roman"/>
          <w:sz w:val="24"/>
          <w:szCs w:val="24"/>
          <w:rtl w:val="0"/>
          <w:lang w:val="en-US"/>
        </w:rPr>
        <w:t xml:space="preserve"> 2012.</w:t>
      </w:r>
      <w:r>
        <w:rPr>
          <w:rFonts w:ascii="Times New Roman" w:hAnsi="Times New Roman"/>
          <w:sz w:val="24"/>
          <w:szCs w:val="24"/>
          <w:rtl w:val="0"/>
          <w:lang w:val="en-US"/>
        </w:rPr>
        <w:t xml:space="preserve"> </w:t>
      </w:r>
      <w:r>
        <w:rPr>
          <w:rFonts w:ascii="Times New Roman" w:hAnsi="Times New Roman" w:hint="default"/>
          <w:sz w:val="24"/>
          <w:szCs w:val="24"/>
          <w:rtl w:val="0"/>
          <w:lang w:val="en-US"/>
        </w:rPr>
        <w:t>“</w:t>
      </w:r>
      <w:r>
        <w:rPr>
          <w:rFonts w:ascii="Times New Roman" w:hAnsi="Times New Roman"/>
          <w:sz w:val="24"/>
          <w:szCs w:val="24"/>
          <w:rtl w:val="0"/>
          <w:lang w:val="en-US"/>
        </w:rPr>
        <w:t xml:space="preserve">Romanising Baal: the </w:t>
      </w:r>
      <w:r>
        <w:rPr>
          <w:rFonts w:ascii="Times New Roman" w:hAnsi="Times New Roman"/>
          <w:sz w:val="24"/>
          <w:szCs w:val="24"/>
          <w:rtl w:val="0"/>
          <w:lang w:val="en-US"/>
        </w:rPr>
        <w:t>A</w:t>
      </w:r>
      <w:r>
        <w:rPr>
          <w:rFonts w:ascii="Times New Roman" w:hAnsi="Times New Roman"/>
          <w:sz w:val="24"/>
          <w:szCs w:val="24"/>
          <w:rtl w:val="0"/>
          <w:lang w:val="en-US"/>
        </w:rPr>
        <w:t xml:space="preserve">rt of Saturn </w:t>
      </w:r>
      <w:r>
        <w:rPr>
          <w:rFonts w:ascii="Times New Roman" w:hAnsi="Times New Roman"/>
          <w:sz w:val="24"/>
          <w:szCs w:val="24"/>
          <w:rtl w:val="0"/>
          <w:lang w:val="en-US"/>
        </w:rPr>
        <w:t>W</w:t>
      </w:r>
      <w:r>
        <w:rPr>
          <w:rFonts w:ascii="Times New Roman" w:hAnsi="Times New Roman"/>
          <w:sz w:val="24"/>
          <w:szCs w:val="24"/>
          <w:rtl w:val="0"/>
          <w:lang w:val="en-US"/>
        </w:rPr>
        <w:t>orship in North Africa</w:t>
      </w:r>
      <w:r>
        <w:rPr>
          <w:rFonts w:ascii="Times New Roman" w:hAnsi="Times New Roman" w:hint="default"/>
          <w:sz w:val="24"/>
          <w:szCs w:val="24"/>
          <w:rtl w:val="0"/>
          <w:lang w:val="en-US"/>
        </w:rPr>
        <w:t xml:space="preserve">” </w:t>
      </w:r>
      <w:r>
        <w:rPr>
          <w:rFonts w:ascii="Times New Roman" w:hAnsi="Times New Roman"/>
          <w:sz w:val="24"/>
          <w:szCs w:val="24"/>
          <w:rtl w:val="0"/>
          <w:lang w:val="en-US"/>
        </w:rPr>
        <w:t xml:space="preserve">in </w:t>
      </w:r>
      <w:r>
        <w:rPr>
          <w:rFonts w:ascii="Times New Roman" w:hAnsi="Times New Roman"/>
          <w:sz w:val="24"/>
          <w:szCs w:val="24"/>
          <w:rtl w:val="0"/>
          <w:lang w:val="en-US"/>
        </w:rPr>
        <w:t>Proceedings of the 8th International Colloquium on Problems of Roman Provincial Art, Zagreb 2003 (Opuscula archaeologica: Dissertationes et Monographiae).</w:t>
      </w:r>
    </w:p>
    <w:p>
      <w:pPr>
        <w:pStyle w:val="Body A"/>
        <w:suppressAutoHyphens w:val="1"/>
        <w:spacing w:line="360" w:lineRule="auto"/>
        <w:ind w:left="283" w:right="284" w:firstLine="0"/>
        <w:jc w:val="both"/>
        <w:rPr>
          <w:rFonts w:ascii="Times New Roman" w:cs="Times New Roman" w:hAnsi="Times New Roman" w:eastAsia="Times New Roman"/>
          <w:sz w:val="24"/>
          <w:szCs w:val="24"/>
        </w:rPr>
      </w:pPr>
    </w:p>
    <w:p>
      <w:pPr>
        <w:pStyle w:val="Body A"/>
        <w:suppressAutoHyphens w:val="1"/>
        <w:spacing w:line="360" w:lineRule="auto"/>
        <w:ind w:left="283" w:right="284" w:firstLine="0"/>
        <w:jc w:val="both"/>
      </w:pPr>
      <w:r>
        <w:rPr>
          <w:rFonts w:ascii="Times New Roman" w:hAnsi="Times New Roman"/>
          <w:sz w:val="24"/>
          <w:szCs w:val="24"/>
          <w:rtl w:val="0"/>
          <w:lang w:val="en-US"/>
        </w:rPr>
        <w:t xml:space="preserve">Wilson, R. J. A. 2015. </w:t>
      </w:r>
      <w:r>
        <w:rPr>
          <w:rFonts w:ascii="Times New Roman" w:hAnsi="Times New Roman" w:hint="default"/>
          <w:sz w:val="24"/>
          <w:szCs w:val="24"/>
          <w:rtl w:val="0"/>
          <w:lang w:val="en-US"/>
        </w:rPr>
        <w:t>“</w:t>
      </w:r>
      <w:r>
        <w:rPr>
          <w:rFonts w:ascii="Times New Roman" w:hAnsi="Times New Roman"/>
          <w:sz w:val="24"/>
          <w:szCs w:val="24"/>
          <w:rtl w:val="0"/>
          <w:lang w:val="en-US"/>
        </w:rPr>
        <w:t>The Western Roman provinces</w:t>
      </w:r>
      <w:r>
        <w:rPr>
          <w:rFonts w:ascii="Times New Roman" w:hAnsi="Times New Roman" w:hint="default"/>
          <w:sz w:val="24"/>
          <w:szCs w:val="24"/>
          <w:rtl w:val="0"/>
          <w:lang w:val="en-US"/>
        </w:rPr>
        <w:t>”</w:t>
      </w:r>
      <w:r>
        <w:rPr>
          <w:rFonts w:ascii="Times New Roman" w:hAnsi="Times New Roman"/>
          <w:sz w:val="24"/>
          <w:szCs w:val="24"/>
          <w:rtl w:val="0"/>
          <w:lang w:val="en-US"/>
        </w:rPr>
        <w:t xml:space="preserve"> in Borg</w:t>
      </w:r>
      <w:r>
        <w:rPr>
          <w:rFonts w:ascii="Times New Roman" w:hAnsi="Times New Roman"/>
          <w:sz w:val="24"/>
          <w:szCs w:val="24"/>
          <w:rtl w:val="0"/>
          <w:lang w:val="en-US"/>
        </w:rPr>
        <w:t>, B. B.</w:t>
      </w:r>
      <w:r>
        <w:rPr>
          <w:rFonts w:ascii="Times New Roman" w:hAnsi="Times New Roman"/>
          <w:sz w:val="24"/>
          <w:szCs w:val="24"/>
          <w:rtl w:val="0"/>
          <w:lang w:val="en-US"/>
        </w:rPr>
        <w:t xml:space="preserve"> (ed.)</w:t>
      </w:r>
      <w:r>
        <w:rPr>
          <w:rFonts w:ascii="Times New Roman" w:hAnsi="Times New Roman"/>
          <w:sz w:val="24"/>
          <w:szCs w:val="24"/>
          <w:rtl w:val="0"/>
          <w:lang w:val="en-US"/>
        </w:rPr>
        <w:t>.</w:t>
      </w:r>
      <w:r>
        <w:rPr>
          <w:rFonts w:ascii="Times New Roman" w:hAnsi="Times New Roman"/>
          <w:sz w:val="24"/>
          <w:szCs w:val="24"/>
          <w:rtl w:val="0"/>
          <w:lang w:val="en-US"/>
        </w:rPr>
        <w:t xml:space="preserve"> </w:t>
      </w:r>
      <w:r>
        <w:rPr>
          <w:rFonts w:ascii="Times New Roman" w:hAnsi="Times New Roman"/>
          <w:i w:val="1"/>
          <w:iCs w:val="1"/>
          <w:sz w:val="24"/>
          <w:szCs w:val="24"/>
          <w:rtl w:val="0"/>
          <w:lang w:val="en-US"/>
        </w:rPr>
        <w:t>A Companion to Roman Art</w:t>
      </w:r>
      <w:r>
        <w:rPr>
          <w:rFonts w:ascii="Times New Roman" w:hAnsi="Times New Roman"/>
          <w:sz w:val="24"/>
          <w:szCs w:val="24"/>
          <w:rtl w:val="0"/>
          <w:lang w:val="en-US"/>
        </w:rPr>
        <w:t xml:space="preserve">. Chichester: Wiley-Blackwell. </w:t>
      </w:r>
    </w:p>
    <w:sectPr>
      <w:headerReference w:type="default" r:id="rId5"/>
      <w:footerReference w:type="default" r:id="rId6"/>
      <w:pgSz w:w="11900" w:h="16840" w:orient="portrait"/>
      <w:pgMar w:top="1417" w:right="1134" w:bottom="1417" w:left="1134" w:header="709" w:footer="850"/>
      <w:bidi w:val="0"/>
    </w:sectPr>
  </w:body>
</w:document>
</file>

<file path=word/fontTable.xml><?xml version="1.0" encoding="utf-8"?>
<w:fonts xmlns:w="http://schemas.openxmlformats.org/wordprocessingml/2006/main">
  <w:font w:name="Times New Roman">
    <w:charset w:val="00"/>
    <w:family w:val="roman"/>
    <w:pitch w:val="variable"/>
  </w:font>
  <w:font w:name="Symbol">
    <w:charset w:val="02"/>
    <w:family w:val="roman"/>
    <w:pitch w:val="variable"/>
  </w:font>
  <w:font w:name="Arial">
    <w:charset w:val="00"/>
    <w:family w:val="swiss"/>
    <w:pitch w:val="variable"/>
  </w:font>
  <w:font w:name="Arial Unicode MS">
    <w:charset w:val="00"/>
    <w:family w:val="roman"/>
    <w:pitch w:val="default"/>
  </w:font>
  <w:font w:name="Helvetica">
    <w:charset w:val="00"/>
    <w:family w:val="roman"/>
    <w:pitch w:val="default"/>
  </w:font>
  <w:font w:name="Georgia">
    <w:charset w:val="00"/>
    <w:family w:val="roman"/>
    <w:pitch w:val="default"/>
  </w:font>
  <w:font w:name="Tahoma">
    <w:charset w:val="00"/>
    <w:family w:val="roman"/>
    <w:pitch w:val="default"/>
  </w:font>
  <w:font w:name="Calibri">
    <w:charset w:val="00"/>
    <w:family w:val="roman"/>
    <w:pitch w:val="default"/>
  </w:font>
  <w:font w:name="Trebuchet MS">
    <w:charset w:val="00"/>
    <w:family w:val="roman"/>
    <w:pitch w:val="default"/>
  </w:font>
</w:fonts>
</file>

<file path=word/footer1.xml><?xml version="1.0" encoding="utf-8"?>
<w:ftr xmlns:r="http://schemas.openxmlformats.org/officeDocument/2006/relationships" xmlns:wp="http://schemas.openxmlformats.org/drawingml/2006/wordprocessingDrawing" xmlns:w="http://schemas.openxmlformats.org/wordprocessingml/2006/main" xmlns:w10="urn:schemas-microsoft-com:office:word" xmlns:w14="http://schemas.microsoft.com/office/word/2010/wordml" xmlns:wps="http://schemas.microsoft.com/office/word/2010/wordprocessingShape" xmlns:wpg="http://schemas.microsoft.com/office/word/2010/wordprocessingGroup" xmlns:mc="http://schemas.openxmlformats.org/markup-compatibility/2006" xmlns:v="urn:schemas-microsoft-com:vml" xmlns:o="urn:schemas-microsoft-com:office:office" xmlns:m="http://schemas.openxmlformats.org/officeDocument/2006/math" mc:Ignorable="w14">
  <w:p>
    <w:pPr>
      <w:pStyle w:val="Header &amp; Footer"/>
      <w:tabs>
        <w:tab w:val="center" w:pos="4819"/>
        <w:tab w:val="right" w:pos="9612"/>
        <w:tab w:val="clear" w:pos="9020"/>
      </w:tabs>
    </w:pPr>
    <w:r>
      <w:rPr>
        <w:rFonts w:ascii="Times New Roman" w:hAnsi="Times New Roman"/>
      </w:rPr>
      <w:tab/>
    </w:r>
    <w:r>
      <w:rPr>
        <w:rFonts w:ascii="Times New Roman" w:hAnsi="Times New Roman"/>
        <w:rtl w:val="0"/>
      </w:rPr>
      <w:fldChar w:fldCharType="begin" w:fldLock="0"/>
    </w:r>
    <w:r>
      <w:rPr>
        <w:rFonts w:ascii="Times New Roman" w:hAnsi="Times New Roman"/>
        <w:rtl w:val="0"/>
      </w:rPr>
      <w:instrText xml:space="preserve"> PAGE </w:instrText>
    </w:r>
    <w:r>
      <w:rPr>
        <w:rFonts w:ascii="Times New Roman" w:hAnsi="Times New Roman"/>
        <w:rtl w:val="0"/>
      </w:rPr>
      <w:fldChar w:fldCharType="separate" w:fldLock="0"/>
    </w:r>
    <w:r>
      <w:rPr>
        <w:rFonts w:ascii="Times New Roman" w:hAnsi="Times New Roman"/>
        <w:rtl w:val="0"/>
      </w:rPr>
      <w:t>3</w:t>
    </w:r>
    <w:r>
      <w:rPr>
        <w:rFonts w:ascii="Times New Roman" w:hAnsi="Times New Roman"/>
        <w:rtl w:val="0"/>
      </w:rPr>
      <w:fldChar w:fldCharType="end" w:fldLock="0"/>
    </w:r>
  </w:p>
</w:ftr>
</file>

<file path=word/header1.xml><?xml version="1.0" encoding="utf-8"?>
<w:hdr xmlns:r="http://schemas.openxmlformats.org/officeDocument/2006/relationships" xmlns:wp="http://schemas.openxmlformats.org/drawingml/2006/wordprocessingDrawing" xmlns:w="http://schemas.openxmlformats.org/wordprocessingml/2006/main" xmlns:w10="urn:schemas-microsoft-com:office:word" xmlns:w14="http://schemas.microsoft.com/office/word/2010/wordml" xmlns:wps="http://schemas.microsoft.com/office/word/2010/wordprocessingShape" xmlns:wpg="http://schemas.microsoft.com/office/word/2010/wordprocessingGroup" xmlns:mc="http://schemas.openxmlformats.org/markup-compatibility/2006" xmlns:v="urn:schemas-microsoft-com:vml" xmlns:o="urn:schemas-microsoft-com:office:office" xmlns:m="http://schemas.openxmlformats.org/officeDocument/2006/math" mc:Ignorable="w14">
  <w:p>
    <w:pPr>
      <w:pStyle w:val="Header &amp; Footer"/>
    </w:pPr>
    <w:r/>
  </w:p>
</w:hdr>
</file>

<file path=word/settings.xml><?xml version="1.0" encoding="utf-8"?>
<w:settings xmlns:mc="http://schemas.openxmlformats.org/markup-compatibility/2006" xmlns:o="urn:schemas-microsoft-com:office:office" xmlns:v="urn:schemas-microsoft-com:vml" xmlns:w="http://schemas.openxmlformats.org/wordprocessingml/2006/main">
  <w:view w:val="print"/>
  <w:mirrorMargins w:val="0"/>
  <w:bordersDoNotSurroundHeader w:val="0"/>
  <w:bordersDoNotSurroundFooter w:val="0"/>
  <w:revisionView w:markup="1" w:comments="1" w:insDel="1" w:formatting="0"/>
  <w:defaultTabStop w:val="720"/>
  <w:autoHyphenation w:val="1"/>
  <w:evenAndOddHeaders w:val="0"/>
  <w:bookFoldPrinting w:val="0"/>
  <w:noLineBreaksAfter w:lang="English" w:val="‘“(〔[{〈《「『【⦅〘〖«〝︵︷︹︻︽︿﹁﹃﹇﹙﹛﹝｢"/>
  <w:noLineBreaksBefore w:lang="English" w:val="’”)〕]}〉"/>
  <w:compat>
    <w:compatSetting w:name="compatibilityMode" w:uri="http://schemas.microsoft.com/office/word" w:val="15"/>
  </w:compat>
  <w:clrSchemeMapping w:bg1="light1" w:t1="dark1" w:bg2="light2" w:t2="dark2" w:accent1="accent1" w:accent2="accent2" w:accent3="accent3" w:accent4="accent4" w:accent5="accent5" w:accent6="accent6" w:hyperlink="hyperlink" w:followedHyperlink="followedHyperlink"/>
</w:settings>
</file>

<file path=word/styles.xml><?xml version="1.0" encoding="utf-8"?>
<w:styles xmlns:w="http://schemas.openxmlformats.org/wordprocessingml/2006/main" xmlns:mc="http://schemas.openxmlformats.org/markup-compatibility/2006" xmlns:w14="http://schemas.microsoft.com/office/word/2010/wordml" mc:Ignorable="w14">
  <w:docDefaults>
    <w:rPrDefault>
      <w:rPr>
        <w:rFonts w:ascii="Times New Roman" w:cs="Times New Roman" w:hAnsi="Times New Roman" w:eastAsia="Arial Unicode MS"/>
        <w:b w:val="0"/>
        <w:bCs w:val="0"/>
        <w:i w:val="0"/>
        <w:iCs w:val="0"/>
        <w:caps w:val="0"/>
        <w:smallCaps w:val="0"/>
        <w:strike w:val="0"/>
        <w:dstrike w:val="0"/>
        <w:outline w:val="0"/>
        <w:emboss w:val="0"/>
        <w:imprint w:val="0"/>
        <w:vanish w:val="0"/>
        <w:color w:val="auto"/>
        <w:spacing w:val="0"/>
        <w:w w:val="100"/>
        <w:kern w:val="0"/>
        <w:position w:val="0"/>
        <w:sz w:val="20"/>
        <w:szCs w:val="20"/>
        <w:u w:val="none" w:color="auto"/>
        <w:bdr w:val="nil"/>
        <w:vertAlign w:val="baseline"/>
        <w:lang/>
      </w:rPr>
    </w:rPrDefault>
    <w:pPrDefault>
      <w:pPr>
        <w:keepNext w:val="0"/>
        <w:keepLines w:val="0"/>
        <w:pageBreakBefore w:val="0"/>
        <w:framePr w:anchorLock="0" w:w="0" w:h="0" w:vSpace="0" w:hSpace="0" w:xAlign="left" w:y="0" w:hRule="exact" w:vAnchor="margin"/>
        <w:widowControl w:val="1"/>
        <w:numPr>
          <w:ilvl w:val="0"/>
          <w:numId w:val="0"/>
        </w:numPr>
        <w:suppressLineNumbers w:val="0"/>
        <w:pBdr>
          <w:top w:val="nil"/>
          <w:left w:val="nil"/>
          <w:bottom w:val="nil"/>
          <w:right w:val="nil"/>
          <w:between w:val="nil"/>
          <w:bar w:val="nil"/>
        </w:pBdr>
        <w:shd w:val="clear" w:color="auto" w:fill="auto"/>
        <w:suppressAutoHyphens w:val="0"/>
        <w:spacing w:before="0" w:beforeAutospacing="0" w:after="0" w:afterAutospacing="0" w:line="240" w:lineRule="auto"/>
        <w:ind w:left="0" w:right="0" w:firstLine="0"/>
        <w:jc w:val="left"/>
        <w:outlineLvl w:val="9"/>
      </w:pPr>
    </w:pPrDefault>
  </w:docDefaults>
  <w:style w:type="paragraph" w:default="1" w:styleId="Normal">
    <w:name w:val="Normal"/>
    <w:next w:val="Normal"/>
    <w:pPr/>
    <w:rPr>
      <w:sz w:val="24"/>
      <w:szCs w:val="24"/>
      <w:lang w:val="en-US" w:eastAsia="en-US" w:bidi="ar-SA"/>
    </w:rPr>
  </w:style>
  <w:style w:type="character" w:default="1" w:styleId="Default Paragraph Font">
    <w:name w:val="Default Paragraph Font"/>
    <w:next w:val="Default Paragraph Font"/>
  </w:style>
  <w:style w:type="character" w:styleId="Hyperlink">
    <w:name w:val="Hyperlink"/>
    <w:rPr>
      <w:u w:val="single"/>
    </w:rPr>
  </w:style>
  <w:style w:type="table" w:default="1" w:styleId="Table Normal">
    <w:name w:val="Table Normal"/>
    <w:next w:val="Table Normal"/>
    <w:pPr/>
    <w:tblPr>
      <w:tblInd w:w="0" w:type="dxa"/>
    </w:tblPr>
    <w:trPr/>
    <w:tcPr/>
    <w:tblStylePr w:type="firstRow"/>
    <w:tblStylePr w:type="lastRow"/>
    <w:tblStylePr w:type="firstCol"/>
    <w:tblStylePr w:type="lastCol"/>
    <w:tblStylePr w:type="band1Vert"/>
    <w:tblStylePr w:type="band2Vert"/>
    <w:tblStylePr w:type="band1Horz"/>
    <w:tblStylePr w:type="band2Horz"/>
    <w:tblStylePr w:type="neCell"/>
    <w:tblStylePr w:type="nwCell"/>
    <w:tblStylePr w:type="seCell"/>
    <w:tblStylePr w:type="swCell"/>
  </w:style>
  <w:style w:type="numbering" w:default="1" w:styleId="No List">
    <w:name w:val="No List"/>
    <w:next w:val="No List"/>
    <w:pPr/>
  </w:style>
  <w:style w:type="paragraph" w:styleId="Header &amp; Footer">
    <w:name w:val="Header &amp; Footer"/>
    <w:next w:val="Header &amp; Footer"/>
    <w:pPr>
      <w:keepNext w:val="0"/>
      <w:keepLines w:val="0"/>
      <w:pageBreakBefore w:val="0"/>
      <w:widowControl w:val="1"/>
      <w:shd w:val="clear" w:color="auto" w:fill="auto"/>
      <w:tabs>
        <w:tab w:val="right" w:pos="9020"/>
      </w:tabs>
      <w:suppressAutoHyphens w:val="0"/>
      <w:bidi w:val="0"/>
      <w:spacing w:before="0" w:after="0" w:line="240" w:lineRule="auto"/>
      <w:ind w:left="0" w:right="0" w:firstLine="0"/>
      <w:jc w:val="left"/>
      <w:outlineLvl w:val="9"/>
    </w:pPr>
    <w:rPr>
      <w:rFonts w:ascii="Helvetica" w:cs="Arial Unicode MS" w:hAnsi="Helvetica" w:eastAsia="Arial Unicode MS"/>
      <w:b w:val="0"/>
      <w:bCs w:val="0"/>
      <w:i w:val="0"/>
      <w:iCs w:val="0"/>
      <w:caps w:val="0"/>
      <w:smallCaps w:val="0"/>
      <w:strike w:val="0"/>
      <w:dstrike w:val="0"/>
      <w:outline w:val="0"/>
      <w:color w:val="000000"/>
      <w:spacing w:val="0"/>
      <w:kern w:val="0"/>
      <w:position w:val="0"/>
      <w:sz w:val="24"/>
      <w:szCs w:val="24"/>
      <w:u w:val="none" w:color="000000"/>
      <w:vertAlign w:val="baseline"/>
    </w:rPr>
  </w:style>
  <w:style w:type="paragraph" w:styleId="Body">
    <w:name w:val="Body"/>
    <w:next w:val="Body"/>
    <w:pPr>
      <w:keepNext w:val="0"/>
      <w:keepLines w:val="0"/>
      <w:pageBreakBefore w:val="0"/>
      <w:widowControl w:val="1"/>
      <w:shd w:val="clear" w:color="auto" w:fill="auto"/>
      <w:suppressAutoHyphens w:val="0"/>
      <w:bidi w:val="0"/>
      <w:spacing w:before="0" w:after="0" w:line="240" w:lineRule="auto"/>
      <w:ind w:left="0" w:right="0" w:firstLine="0"/>
      <w:jc w:val="left"/>
      <w:outlineLvl w:val="9"/>
    </w:pPr>
    <w:rPr>
      <w:rFonts w:ascii="Times New Roman" w:cs="Arial Unicode MS" w:hAnsi="Times New Roman" w:eastAsia="Arial Unicode MS"/>
      <w:b w:val="0"/>
      <w:bCs w:val="0"/>
      <w:i w:val="0"/>
      <w:iCs w:val="0"/>
      <w:caps w:val="0"/>
      <w:smallCaps w:val="0"/>
      <w:strike w:val="0"/>
      <w:dstrike w:val="0"/>
      <w:outline w:val="0"/>
      <w:color w:val="000000"/>
      <w:spacing w:val="0"/>
      <w:kern w:val="0"/>
      <w:position w:val="0"/>
      <w:sz w:val="24"/>
      <w:szCs w:val="24"/>
      <w:u w:val="none" w:color="000000"/>
      <w:vertAlign w:val="baseline"/>
    </w:rPr>
  </w:style>
  <w:style w:type="paragraph" w:styleId="Body A">
    <w:name w:val="Body A"/>
    <w:next w:val="Body A"/>
    <w:pPr>
      <w:keepNext w:val="0"/>
      <w:keepLines w:val="0"/>
      <w:pageBreakBefore w:val="0"/>
      <w:widowControl w:val="1"/>
      <w:shd w:val="clear" w:color="auto" w:fill="auto"/>
      <w:suppressAutoHyphens w:val="0"/>
      <w:bidi w:val="0"/>
      <w:spacing w:before="0" w:after="0" w:line="240" w:lineRule="auto"/>
      <w:ind w:left="0" w:right="0" w:firstLine="0"/>
      <w:jc w:val="left"/>
      <w:outlineLvl w:val="9"/>
    </w:pPr>
    <w:rPr>
      <w:rFonts w:ascii="Helvetica" w:cs="Arial Unicode MS" w:hAnsi="Helvetica" w:eastAsia="Arial Unicode MS"/>
      <w:b w:val="0"/>
      <w:bCs w:val="0"/>
      <w:i w:val="0"/>
      <w:iCs w:val="0"/>
      <w:caps w:val="0"/>
      <w:smallCaps w:val="0"/>
      <w:strike w:val="0"/>
      <w:dstrike w:val="0"/>
      <w:outline w:val="0"/>
      <w:color w:val="000000"/>
      <w:spacing w:val="0"/>
      <w:kern w:val="0"/>
      <w:position w:val="0"/>
      <w:sz w:val="22"/>
      <w:szCs w:val="22"/>
      <w:u w:val="none" w:color="000000"/>
      <w:vertAlign w:val="baseline"/>
      <w:lang w:val="en-US"/>
    </w:rPr>
  </w:style>
</w:styles>
</file>

<file path=word/_rels/document.xml.rels><?xml version="1.0" encoding="UTF-8"?>
<Relationships xmlns="http://schemas.openxmlformats.org/package/2006/relationships"><Relationship Id="rId1" Type="http://schemas.openxmlformats.org/officeDocument/2006/relationships/settings" Target="settings.xml"/><Relationship Id="rId2" Type="http://schemas.openxmlformats.org/officeDocument/2006/relationships/fontTable" Target="fontTable.xml"/><Relationship Id="rId3" Type="http://schemas.openxmlformats.org/officeDocument/2006/relationships/styles" Target="styles.xml"/><Relationship Id="rId4" Type="http://schemas.openxmlformats.org/officeDocument/2006/relationships/image" Target="media/image1.png"/><Relationship Id="rId5" Type="http://schemas.openxmlformats.org/officeDocument/2006/relationships/header" Target="header1.xml"/><Relationship Id="rId6" Type="http://schemas.openxmlformats.org/officeDocument/2006/relationships/footer" Target="footer1.xml"/><Relationship Id="rId7" Type="http://schemas.openxmlformats.org/officeDocument/2006/relationships/theme" Target="theme/theme1.xml"/></Relationships>

</file>

<file path=word/theme/theme1.xml><?xml version="1.0" encoding="utf-8"?>
<a:theme xmlns:a="http://schemas.openxmlformats.org/drawingml/2006/main" xmlns:r="http://schemas.openxmlformats.org/officeDocument/2006/relationships" name="Blank">
  <a:themeElements>
    <a:clrScheme name="Blank">
      <a:dk1>
        <a:srgbClr val="000000"/>
      </a:dk1>
      <a:lt1>
        <a:srgbClr val="FFFFFF"/>
      </a:lt1>
      <a:dk2>
        <a:srgbClr val="A7A7A7"/>
      </a:dk2>
      <a:lt2>
        <a:srgbClr val="535353"/>
      </a:lt2>
      <a:accent1>
        <a:srgbClr val="499BC9"/>
      </a:accent1>
      <a:accent2>
        <a:srgbClr val="6EC038"/>
      </a:accent2>
      <a:accent3>
        <a:srgbClr val="F1D130"/>
      </a:accent3>
      <a:accent4>
        <a:srgbClr val="FFA93A"/>
      </a:accent4>
      <a:accent5>
        <a:srgbClr val="FF2D21"/>
      </a:accent5>
      <a:accent6>
        <a:srgbClr val="6C2085"/>
      </a:accent6>
      <a:hlink>
        <a:srgbClr val="0000FF"/>
      </a:hlink>
      <a:folHlink>
        <a:srgbClr val="FF00FF"/>
      </a:folHlink>
    </a:clrScheme>
    <a:fontScheme name="Blank">
      <a:majorFont>
        <a:latin typeface="Helvetica Neue"/>
        <a:ea typeface="Helvetica Neue"/>
        <a:cs typeface="Helvetica Neue"/>
      </a:majorFont>
      <a:minorFont>
        <a:latin typeface="Helvetica Neue"/>
        <a:ea typeface="Helvetica Neue"/>
        <a:cs typeface="Helvetica Neue"/>
      </a:minorFont>
    </a:fontScheme>
    <a:fmtScheme name="Blank">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29999"/>
              </a:schemeClr>
            </a:gs>
            <a:gs pos="100000">
              <a:schemeClr val="phClr">
                <a:tint val="50000"/>
                <a:shade val="100000"/>
                <a:satMod val="350000"/>
              </a:schemeClr>
            </a:gs>
          </a:gsLst>
          <a:lin ang="16200000" scaled="0"/>
        </a:gradFill>
      </a:fillStyleLst>
      <a:lnStyleLst>
        <a:ln w="9525" cap="flat" cmpd="sng" algn="ctr">
          <a:solidFill>
            <a:schemeClr val="phClr">
              <a:shade val="95000"/>
              <a:satMod val="104999"/>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sx="100000" sy="100000" kx="0" ky="0" algn="b" rotWithShape="0" blurRad="38100" dist="25400" dir="5400000">
              <a:srgbClr val="000000">
                <a:alpha val="50000"/>
              </a:srgbClr>
            </a:outerShdw>
          </a:effectLst>
        </a:effectStyle>
        <a:effectStyle>
          <a:effectLst>
            <a:outerShdw sx="100000" sy="100000" kx="0" ky="0" algn="b" rotWithShape="0" blurRad="38100" dist="25400" dir="5400000">
              <a:srgbClr val="000000">
                <a:alpha val="50000"/>
              </a:srgbClr>
            </a:outerShdw>
          </a:effectLst>
        </a:effectStyle>
        <a:effectStyle>
          <a:effectLst>
            <a:outerShdw sx="100000" sy="100000" kx="0" ky="0" algn="b" rotWithShape="0" blurRad="38100" dist="25400" dir="5400000">
              <a:srgbClr val="000000">
                <a:alpha val="50000"/>
              </a:srgbClr>
            </a:outerShdw>
          </a:effectLst>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solidFill>
          <a:srgbClr val="FFFFFF"/>
        </a:solidFill>
        <a:ln w="25400" cap="flat">
          <a:solidFill>
            <a:schemeClr val="accent1"/>
          </a:solidFill>
          <a:prstDash val="solid"/>
          <a:round/>
        </a:ln>
        <a:effectLst>
          <a:outerShdw sx="100000" sy="100000" kx="0" ky="0" algn="b" rotWithShape="0" blurRad="38100" dist="25400" dir="5400000">
            <a:srgbClr val="000000">
              <a:alpha val="50000"/>
            </a:srgbClr>
          </a:outerShdw>
        </a:effectLst>
        <a:sp3d/>
      </a:spPr>
      <a:bodyPr rot="0" spcFirstLastPara="1" vertOverflow="overflow" horzOverflow="overflow" vert="horz" wrap="square" lIns="50800" tIns="50800" rIns="50800" bIns="50800" numCol="1" spcCol="38100" rtlCol="0" anchor="ctr" upright="0">
        <a:spAutoFit/>
      </a:bodyPr>
      <a:lstStyle>
        <a:defPPr marL="0" marR="0" indent="0" algn="l" defTabSz="914400" rtl="0" fontAlgn="auto" latinLnBrk="0"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latin typeface="Helvetica"/>
            <a:ea typeface="Helvetica"/>
            <a:cs typeface="Helvetica"/>
            <a:sym typeface="Helvetica"/>
          </a:defRPr>
        </a:defPPr>
        <a:lvl1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1pPr>
        <a:lvl2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2pPr>
        <a:lvl3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3pPr>
        <a:lvl4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4pPr>
        <a:lvl5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5pPr>
        <a:lvl6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6pPr>
        <a:lvl7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7pPr>
        <a:lvl8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8pPr>
        <a:lvl9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9pPr>
      </a:lstStyle>
      <a:style>
        <a:lnRef idx="0"/>
        <a:fillRef idx="0"/>
        <a:effectRef idx="0"/>
        <a:fontRef idx="none"/>
      </a:style>
    </a:spDef>
    <a:lnDef>
      <a:spPr>
        <a:noFill/>
        <a:ln w="25400" cap="flat">
          <a:solidFill>
            <a:schemeClr val="accent1"/>
          </a:solidFill>
          <a:prstDash val="solid"/>
          <a:round/>
        </a:ln>
        <a:effectLst>
          <a:outerShdw sx="100000" sy="100000" kx="0" ky="0" algn="b" rotWithShape="0" blurRad="38100" dist="25400" dir="5400000">
            <a:srgbClr val="000000">
              <a:alpha val="50000"/>
            </a:srgbClr>
          </a:outerShdw>
        </a:effectLst>
        <a:sp3d/>
      </a:spPr>
      <a:bodyPr rot="0" spcFirstLastPara="1" vertOverflow="overflow" horzOverflow="overflow" vert="horz" wrap="square" lIns="91439" tIns="45719" rIns="91439" bIns="45719" numCol="1" spcCol="38100" rtlCol="0" anchor="t" upright="0">
        <a:noAutofit/>
      </a:bodyPr>
      <a:lstStyle>
        <a:def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defPPr>
        <a:lvl1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1pPr>
        <a:lvl2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2pPr>
        <a:lvl3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3pPr>
        <a:lvl4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4pPr>
        <a:lvl5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5pPr>
        <a:lvl6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6pPr>
        <a:lvl7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7pPr>
        <a:lvl8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8pPr>
        <a:lvl9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9pPr>
      </a:lstStyle>
      <a:style>
        <a:lnRef idx="0"/>
        <a:fillRef idx="0"/>
        <a:effectRef idx="0"/>
        <a:fontRef idx="none"/>
      </a:style>
    </a:lnDef>
    <a:txDef>
      <a:spPr>
        <a:noFill/>
        <a:ln w="12700" cap="flat">
          <a:noFill/>
          <a:miter lim="400000"/>
        </a:ln>
        <a:effectLst/>
        <a:sp3d/>
      </a:spPr>
      <a:bodyPr rot="0" spcFirstLastPara="1" vertOverflow="overflow" horzOverflow="overflow" vert="horz" wrap="square" lIns="50800" tIns="50800" rIns="50800" bIns="50800" numCol="1" spcCol="38100" rtlCol="0" anchor="t" upright="0">
        <a:spAutoFit/>
      </a:bodyPr>
      <a:lstStyle>
        <a:defPPr marL="0" marR="0" indent="0" algn="l" defTabSz="914400" rtl="0" fontAlgn="auto" latinLnBrk="0"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latin typeface="Helvetica"/>
            <a:ea typeface="Helvetica"/>
            <a:cs typeface="Helvetica"/>
            <a:sym typeface="Helvetica"/>
          </a:defRPr>
        </a:defPPr>
        <a:lvl1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1pPr>
        <a:lvl2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2pPr>
        <a:lvl3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3pPr>
        <a:lvl4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4pPr>
        <a:lvl5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5pPr>
        <a:lvl6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6pPr>
        <a:lvl7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7pPr>
        <a:lvl8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8pPr>
        <a:lvl9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9pPr>
      </a:lstStyle>
      <a:style>
        <a:lnRef idx="0"/>
        <a:fillRef idx="0"/>
        <a:effectRef idx="0"/>
        <a:fontRef idx="none"/>
      </a:style>
    </a:txDef>
  </a:objectDefaults>
</a:theme>
</file>

<file path=docProps/app.xml><?xml version="1.0" encoding="utf-8"?>
<Properties xmlns="http://schemas.openxmlformats.org/officeDocument/2006/extended-properties" xmlns:vt="http://schemas.openxmlformats.org/officeDocument/2006/docPropsVTypes"/>
</file>

<file path=docProps/core.xml><?xml version="1.0" encoding="utf-8"?>
<cp:coreProperties xmlns:cp="http://schemas.openxmlformats.org/package/2006/metadata/core-properties" xmlns:dc="http://purl.org/dc/elements/1.1/" xmlns:dcterms="http://purl.org/dc/terms/" xmlns:xsi="http://www.w3.org/2001/XMLSchema-instance"/>
</file>