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C0E5F45">
      <w:pPr>
        <w:pStyle w:val="14"/>
        <w:rPr>
          <w:lang w:val="en-GB"/>
        </w:rPr>
      </w:pPr>
    </w:p>
    <w:p w14:paraId="2E69C883">
      <w:pPr>
        <w:pStyle w:val="14"/>
        <w:rPr>
          <w:lang w:val="en-GB"/>
        </w:rPr>
      </w:pPr>
    </w:p>
    <w:p w14:paraId="2B3E1964">
      <w:pPr>
        <w:pStyle w:val="14"/>
        <w:rPr>
          <w:lang w:val="en-GB"/>
        </w:rPr>
      </w:pPr>
    </w:p>
    <w:p w14:paraId="0860D5F7">
      <w:pPr>
        <w:pStyle w:val="14"/>
        <w:rPr>
          <w:lang w:val="en-GB"/>
        </w:rPr>
      </w:pPr>
    </w:p>
    <w:p w14:paraId="05FD26E5">
      <w:pPr>
        <w:pStyle w:val="14"/>
        <w:rPr>
          <w:lang w:val="en-GB"/>
        </w:rPr>
      </w:pPr>
    </w:p>
    <w:p w14:paraId="5BC9E194">
      <w:pPr>
        <w:pStyle w:val="14"/>
        <w:rPr>
          <w:lang w:val="en-GB"/>
        </w:rPr>
      </w:pPr>
    </w:p>
    <w:p w14:paraId="6ADFC20E">
      <w:pPr>
        <w:pStyle w:val="14"/>
        <w:rPr>
          <w:lang w:val="en-GB"/>
        </w:rPr>
      </w:pPr>
      <w:r>
        <w:rPr>
          <w:lang w:val="en-GB"/>
        </w:rPr>
        <w:t>Assessment component 2: Marketing Strategies Portfolio</w:t>
      </w:r>
    </w:p>
    <w:p w14:paraId="25248461">
      <w:pPr>
        <w:jc w:val="center"/>
        <w:rPr>
          <w:b/>
          <w:bCs/>
          <w:i/>
          <w:lang w:val="en-GB"/>
        </w:rPr>
      </w:pPr>
      <w:r>
        <w:rPr>
          <w:b/>
          <w:bCs/>
          <w:i/>
          <w:lang w:val="en-GB"/>
        </w:rPr>
        <w:t>Title: Dyson Smart Air Ecosystem</w:t>
      </w:r>
    </w:p>
    <w:p w14:paraId="04F7494B">
      <w:pPr>
        <w:rPr>
          <w:b/>
          <w:bCs/>
          <w:lang w:val="en-GB"/>
        </w:rPr>
      </w:pPr>
      <w:r>
        <w:rPr>
          <w:b/>
          <w:bCs/>
          <w:lang w:val="en-GB"/>
        </w:rPr>
        <w:t>Student Name:</w:t>
      </w:r>
      <w:r>
        <w:rPr>
          <w:rFonts w:hint="default"/>
          <w:b/>
          <w:bCs/>
          <w:lang w:val="en-GB"/>
        </w:rPr>
        <w:t>Afrinbanu Imtiyaz Parmar</w:t>
      </w:r>
    </w:p>
    <w:p w14:paraId="1DC383BC">
      <w:pPr>
        <w:rPr>
          <w:b/>
          <w:bCs/>
          <w:lang w:val="en-GB"/>
        </w:rPr>
      </w:pPr>
      <w:r>
        <w:rPr>
          <w:b/>
          <w:bCs/>
          <w:lang w:val="en-GB"/>
        </w:rPr>
        <w:t>Student ID:</w:t>
      </w:r>
      <w:r>
        <w:rPr>
          <w:rFonts w:hint="default"/>
          <w:b/>
          <w:bCs/>
          <w:lang w:val="en-GB"/>
        </w:rPr>
        <w:t>2518571</w:t>
      </w:r>
    </w:p>
    <w:p w14:paraId="70A193B1">
      <w:pPr>
        <w:spacing w:before="0" w:line="276" w:lineRule="auto"/>
        <w:jc w:val="left"/>
        <w:rPr>
          <w:b/>
          <w:bCs/>
          <w:lang w:val="en-GB"/>
        </w:rPr>
      </w:pPr>
      <w:r>
        <w:rPr>
          <w:b/>
          <w:bCs/>
          <w:lang w:val="en-GB"/>
        </w:rPr>
        <w:t>Word Count: 1022</w:t>
      </w:r>
    </w:p>
    <w:p w14:paraId="3F4AC305">
      <w:pPr>
        <w:spacing w:before="0" w:line="276" w:lineRule="auto"/>
        <w:jc w:val="left"/>
        <w:rPr>
          <w:rFonts w:hint="default"/>
          <w:b/>
          <w:bCs/>
          <w:lang w:val="en-US"/>
        </w:rPr>
      </w:pPr>
      <w:r>
        <w:rPr>
          <w:b/>
          <w:bCs/>
          <w:lang w:val="en-GB"/>
        </w:rPr>
        <w:t xml:space="preserve">Referencing Style: </w:t>
      </w:r>
      <w:r>
        <w:rPr>
          <w:rFonts w:hint="default"/>
          <w:b/>
          <w:bCs/>
          <w:lang w:val="en-US"/>
        </w:rPr>
        <w:t>Harvard</w:t>
      </w:r>
    </w:p>
    <w:p w14:paraId="01ABE9B0">
      <w:pPr>
        <w:spacing w:before="0" w:line="276" w:lineRule="auto"/>
        <w:jc w:val="left"/>
        <w:rPr>
          <w:lang w:val="en-GB"/>
        </w:rPr>
      </w:pPr>
      <w:r>
        <w:rPr>
          <w:rFonts w:hint="default"/>
          <w:b/>
          <w:bCs/>
          <w:lang w:val="en-GB"/>
        </w:rPr>
        <w:t>Lecturer</w:t>
      </w:r>
      <w:r>
        <w:rPr>
          <w:rFonts w:hint="default"/>
          <w:b/>
          <w:bCs/>
          <w:lang w:val="en-US"/>
        </w:rPr>
        <w:t>: Dr Tola Odugbses</w:t>
      </w:r>
      <w:bookmarkStart w:id="0" w:name="_GoBack"/>
      <w:bookmarkEnd w:id="0"/>
      <w:r>
        <w:rPr>
          <w:rFonts w:hint="default"/>
          <w:b/>
          <w:bCs/>
          <w:lang w:val="en-US"/>
        </w:rPr>
        <w:t>an</w:t>
      </w:r>
      <w:r>
        <w:rPr>
          <w:lang w:val="en-GB"/>
        </w:rPr>
        <w:br w:type="page"/>
      </w:r>
    </w:p>
    <w:p w14:paraId="3B30A622">
      <w:pPr>
        <w:pStyle w:val="2"/>
        <w:rPr>
          <w:lang w:val="en-GB"/>
        </w:rPr>
      </w:pPr>
      <w:r>
        <w:rPr>
          <w:lang w:val="en-GB"/>
        </w:rPr>
        <w:t xml:space="preserve">Element 1: Brand Extension Poster Presentation </w:t>
      </w:r>
    </w:p>
    <w:p w14:paraId="54622BBD">
      <w:pPr>
        <w:pStyle w:val="3"/>
        <w:rPr>
          <w:lang w:val="en-GB"/>
        </w:rPr>
      </w:pPr>
      <w:r>
        <w:rPr>
          <w:lang w:val="en-GB"/>
        </w:rPr>
        <w:t>Introduction to brand extension</w:t>
      </w:r>
    </w:p>
    <w:p w14:paraId="5534C3C8">
      <w:pPr>
        <w:rPr>
          <w:lang w:val="en-GB"/>
        </w:rPr>
      </w:pPr>
      <w:r>
        <w:rPr>
          <w:lang w:val="en-GB"/>
        </w:rPr>
        <w:t>Dyson is a UK-based multinational technology company. It offers a range of products like vacuum cleaners, air purifiers, hair dryers, heaters, and so on (Dyson, 2026). With a new brand extension, Dyson aims to introduce its Smart Air Ecosystem. It is a smart AI-powered wearable air purification mask helping users to filter air pollutants in real time with a mobile app.</w:t>
      </w:r>
    </w:p>
    <w:p w14:paraId="6447AC7E">
      <w:pPr>
        <w:pStyle w:val="3"/>
        <w:rPr>
          <w:lang w:val="en-GB"/>
        </w:rPr>
      </w:pPr>
      <w:r>
        <w:rPr>
          <w:lang w:val="en-GB"/>
        </w:rPr>
        <w:t>Appeal to the current market</w:t>
      </w:r>
    </w:p>
    <w:p w14:paraId="2CB139A3">
      <w:pPr>
        <w:rPr>
          <w:lang w:val="en-GB"/>
        </w:rPr>
      </w:pPr>
      <w:r>
        <w:rPr>
          <w:lang w:val="en-GB"/>
        </w:rPr>
        <w:t xml:space="preserve">Healthcare and wellness are currently in demand. UK’s air quality is satisfactory, but the PM2.5 fine particles concentration is 1.7 times more than the official guideline as per World Health Organization (WHO) (IQAir, 2026). Besides, poor air quality in the UK is leading to £500 million expenses in healthcare among UK citizens (Gregory, 2025). Here, a product like Dyson Smart Air Ecosystem will reduce health issues and also improve air quality. </w:t>
      </w:r>
    </w:p>
    <w:p w14:paraId="25FCF038">
      <w:pPr>
        <w:pStyle w:val="3"/>
        <w:rPr>
          <w:lang w:val="en-GB"/>
        </w:rPr>
      </w:pPr>
      <w:r>
        <w:rPr>
          <w:lang w:val="en-GB"/>
        </w:rPr>
        <w:t xml:space="preserve">Alignment with sustainability goals </w:t>
      </w:r>
    </w:p>
    <w:p w14:paraId="73984B30">
      <w:pPr>
        <w:rPr>
          <w:lang w:val="en-GB"/>
        </w:rPr>
      </w:pPr>
      <w:r>
        <w:rPr>
          <w:lang w:val="en-GB"/>
        </w:rPr>
        <w:t>Dyson Smart Air Ecosystem aligns with both sustainable development goals (SDGs) of the UN and Dyson’s current sustainability goals. The 3</w:t>
      </w:r>
      <w:r>
        <w:rPr>
          <w:vertAlign w:val="superscript"/>
          <w:lang w:val="en-GB"/>
        </w:rPr>
        <w:t>rd</w:t>
      </w:r>
      <w:r>
        <w:rPr>
          <w:lang w:val="en-GB"/>
        </w:rPr>
        <w:t xml:space="preserve"> and 13</w:t>
      </w:r>
      <w:r>
        <w:rPr>
          <w:vertAlign w:val="superscript"/>
          <w:lang w:val="en-GB"/>
        </w:rPr>
        <w:t>th</w:t>
      </w:r>
      <w:r>
        <w:rPr>
          <w:lang w:val="en-GB"/>
        </w:rPr>
        <w:t xml:space="preserve"> SDGs focus on health and wellbeing and climate action respectively (United Nations, n.d.). These are aligned with the product, as it improves air quality and health conditions. Besides, Dyson’s sustainability goals also focus on improving air quality and environmental wellbeing (Dyson, 2026b). These will be addressed with this brand extension. </w:t>
      </w:r>
    </w:p>
    <w:p w14:paraId="34896F24">
      <w:pPr>
        <w:keepNext/>
        <w:jc w:val="center"/>
        <w:rPr>
          <w:lang w:val="en-GB"/>
        </w:rPr>
      </w:pPr>
      <w:r>
        <w:drawing>
          <wp:inline distT="0" distB="0" distL="0" distR="0">
            <wp:extent cx="4278630" cy="6066155"/>
            <wp:effectExtent l="19050" t="0" r="762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a:picLocks noChangeAspect="1" noChangeArrowheads="1"/>
                    </pic:cNvPicPr>
                  </pic:nvPicPr>
                  <pic:blipFill>
                    <a:blip r:embed="rId7"/>
                    <a:srcRect/>
                    <a:stretch>
                      <a:fillRect/>
                    </a:stretch>
                  </pic:blipFill>
                  <pic:spPr>
                    <a:xfrm>
                      <a:off x="0" y="0"/>
                      <a:ext cx="4278630" cy="6066155"/>
                    </a:xfrm>
                    <a:prstGeom prst="rect">
                      <a:avLst/>
                    </a:prstGeom>
                    <a:noFill/>
                    <a:ln w="9525">
                      <a:noFill/>
                      <a:miter lim="800000"/>
                      <a:headEnd/>
                      <a:tailEnd/>
                    </a:ln>
                  </pic:spPr>
                </pic:pic>
              </a:graphicData>
            </a:graphic>
          </wp:inline>
        </w:drawing>
      </w:r>
    </w:p>
    <w:p w14:paraId="177997EA">
      <w:pPr>
        <w:jc w:val="center"/>
        <w:rPr>
          <w:b/>
          <w:lang w:val="en-GB"/>
        </w:rPr>
      </w:pPr>
      <w:r>
        <w:rPr>
          <w:b/>
          <w:lang w:val="en-GB"/>
        </w:rPr>
        <w:t xml:space="preserve">Figure </w:t>
      </w:r>
      <w:r>
        <w:rPr>
          <w:b/>
          <w:lang w:val="en-GB"/>
        </w:rPr>
        <w:fldChar w:fldCharType="begin"/>
      </w:r>
      <w:r>
        <w:rPr>
          <w:b/>
          <w:lang w:val="en-GB"/>
        </w:rPr>
        <w:instrText xml:space="preserve"> SEQ Figure \* ARABIC </w:instrText>
      </w:r>
      <w:r>
        <w:rPr>
          <w:b/>
          <w:lang w:val="en-GB"/>
        </w:rPr>
        <w:fldChar w:fldCharType="separate"/>
      </w:r>
      <w:r>
        <w:rPr>
          <w:b/>
          <w:lang w:val="en-GB"/>
        </w:rPr>
        <w:t>1</w:t>
      </w:r>
      <w:r>
        <w:rPr>
          <w:b/>
          <w:lang w:val="en-GB"/>
        </w:rPr>
        <w:fldChar w:fldCharType="end"/>
      </w:r>
      <w:r>
        <w:rPr>
          <w:b/>
          <w:lang w:val="en-GB"/>
        </w:rPr>
        <w:t>: Poster (Created with Canva)</w:t>
      </w:r>
    </w:p>
    <w:p w14:paraId="2EC5ABB3">
      <w:pPr>
        <w:jc w:val="center"/>
        <w:rPr>
          <w:lang w:val="en-GB"/>
        </w:rPr>
      </w:pPr>
      <w:r>
        <w:rPr>
          <w:lang w:val="en-GB"/>
        </w:rPr>
        <w:t xml:space="preserve">Source: </w:t>
      </w:r>
      <w:r>
        <w:fldChar w:fldCharType="begin"/>
      </w:r>
      <w:r>
        <w:instrText xml:space="preserve"> HYPERLINK "https://canva.link/fkr0fea68fwfix4" </w:instrText>
      </w:r>
      <w:r>
        <w:fldChar w:fldCharType="separate"/>
      </w:r>
      <w:r>
        <w:rPr>
          <w:rStyle w:val="12"/>
          <w:lang w:val="en-GB"/>
        </w:rPr>
        <w:t>https://canva.link/fkr0fea68fwfix4</w:t>
      </w:r>
      <w:r>
        <w:rPr>
          <w:rStyle w:val="12"/>
          <w:lang w:val="en-GB"/>
        </w:rPr>
        <w:fldChar w:fldCharType="end"/>
      </w:r>
    </w:p>
    <w:p w14:paraId="7058B4A3">
      <w:pPr>
        <w:pStyle w:val="2"/>
        <w:rPr>
          <w:lang w:val="en-GB"/>
        </w:rPr>
      </w:pPr>
      <w:r>
        <w:rPr>
          <w:lang w:val="en-GB"/>
        </w:rPr>
        <w:t>Element 2: STDP Analysis for Dyson Smart Air Ecosystem</w:t>
      </w:r>
    </w:p>
    <w:p w14:paraId="1616BD6A">
      <w:pPr>
        <w:pStyle w:val="3"/>
        <w:rPr>
          <w:lang w:val="en-GB"/>
        </w:rPr>
      </w:pPr>
      <w:r>
        <w:rPr>
          <w:lang w:val="en-GB"/>
        </w:rPr>
        <w:t>Key market segments</w:t>
      </w:r>
    </w:p>
    <w:p w14:paraId="016D4A14">
      <w:pPr>
        <w:rPr>
          <w:lang w:val="en-GB"/>
        </w:rPr>
      </w:pPr>
      <w:r>
        <w:rPr>
          <w:lang w:val="en-GB"/>
        </w:rPr>
        <w:t>The Segmentation, Targeting, Differentiation, and Positioning (STDP) Analysis is essential when preparing a marketing plan for a new product or brand extension. The first stage is that of segmentation, which helps to segment the existing customers in the market into different groups considering their characteristics (</w:t>
      </w:r>
      <w:r>
        <w:rPr>
          <w:shd w:val="clear" w:color="auto" w:fill="FFFFFF"/>
          <w:lang w:val="en-GB"/>
        </w:rPr>
        <w:t xml:space="preserve">Wongsaichia </w:t>
      </w:r>
      <w:r>
        <w:rPr>
          <w:i/>
          <w:lang w:val="en-GB"/>
        </w:rPr>
        <w:t>et al</w:t>
      </w:r>
      <w:r>
        <w:rPr>
          <w:lang w:val="en-GB"/>
        </w:rPr>
        <w:t xml:space="preserve">., </w:t>
      </w:r>
      <w:r>
        <w:rPr>
          <w:shd w:val="clear" w:color="auto" w:fill="FFFFFF"/>
          <w:lang w:val="en-GB"/>
        </w:rPr>
        <w:t>2022</w:t>
      </w:r>
      <w:r>
        <w:rPr>
          <w:lang w:val="en-GB"/>
        </w:rPr>
        <w:t>). Here are the market segments suitable for Dyson Smart Air Ecosystem:</w:t>
      </w:r>
    </w:p>
    <w:tbl>
      <w:tblPr>
        <w:tblStyle w:val="13"/>
        <w:tblW w:w="0" w:type="auto"/>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autofit"/>
        <w:tblCellMar>
          <w:top w:w="0" w:type="dxa"/>
          <w:left w:w="108" w:type="dxa"/>
          <w:bottom w:w="0" w:type="dxa"/>
          <w:right w:w="108" w:type="dxa"/>
        </w:tblCellMar>
      </w:tblPr>
      <w:tblGrid>
        <w:gridCol w:w="1630"/>
        <w:gridCol w:w="2647"/>
        <w:gridCol w:w="5299"/>
      </w:tblGrid>
      <w:tr w14:paraId="13106D42">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0" w:type="auto"/>
          </w:tcPr>
          <w:p w14:paraId="58BF8814">
            <w:pPr>
              <w:spacing w:after="0"/>
              <w:jc w:val="center"/>
              <w:rPr>
                <w:b/>
                <w:sz w:val="24"/>
                <w:lang w:val="en-GB"/>
              </w:rPr>
            </w:pPr>
            <w:r>
              <w:rPr>
                <w:b/>
                <w:sz w:val="24"/>
                <w:lang w:val="en-GB"/>
              </w:rPr>
              <w:t>Segment</w:t>
            </w:r>
          </w:p>
        </w:tc>
        <w:tc>
          <w:tcPr>
            <w:tcW w:w="0" w:type="auto"/>
          </w:tcPr>
          <w:p w14:paraId="46D4448D">
            <w:pPr>
              <w:spacing w:after="0"/>
              <w:jc w:val="center"/>
              <w:rPr>
                <w:b/>
                <w:sz w:val="24"/>
                <w:lang w:val="en-GB"/>
              </w:rPr>
            </w:pPr>
            <w:r>
              <w:rPr>
                <w:b/>
                <w:sz w:val="24"/>
                <w:lang w:val="en-GB"/>
              </w:rPr>
              <w:t>Target market</w:t>
            </w:r>
          </w:p>
        </w:tc>
        <w:tc>
          <w:tcPr>
            <w:tcW w:w="0" w:type="auto"/>
          </w:tcPr>
          <w:p w14:paraId="5856BFFF">
            <w:pPr>
              <w:spacing w:after="0"/>
              <w:jc w:val="center"/>
              <w:rPr>
                <w:b/>
                <w:sz w:val="24"/>
                <w:lang w:val="en-GB"/>
              </w:rPr>
            </w:pPr>
            <w:r>
              <w:rPr>
                <w:b/>
                <w:sz w:val="24"/>
                <w:lang w:val="en-GB"/>
              </w:rPr>
              <w:t>Details</w:t>
            </w:r>
          </w:p>
        </w:tc>
      </w:tr>
      <w:tr w14:paraId="3B81C2BF">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0" w:type="auto"/>
            <w:vMerge w:val="restart"/>
          </w:tcPr>
          <w:p w14:paraId="783C4BB9">
            <w:pPr>
              <w:spacing w:after="0"/>
              <w:rPr>
                <w:sz w:val="24"/>
                <w:lang w:val="en-GB"/>
              </w:rPr>
            </w:pPr>
            <w:r>
              <w:rPr>
                <w:sz w:val="24"/>
                <w:lang w:val="en-GB"/>
              </w:rPr>
              <w:t xml:space="preserve">Demographic </w:t>
            </w:r>
          </w:p>
        </w:tc>
        <w:tc>
          <w:tcPr>
            <w:tcW w:w="0" w:type="auto"/>
          </w:tcPr>
          <w:p w14:paraId="3C31F4BD">
            <w:pPr>
              <w:spacing w:after="0"/>
              <w:rPr>
                <w:sz w:val="24"/>
                <w:lang w:val="en-GB"/>
              </w:rPr>
            </w:pPr>
            <w:r>
              <w:rPr>
                <w:sz w:val="24"/>
                <w:lang w:val="en-GB"/>
              </w:rPr>
              <w:t>Young adult professionals</w:t>
            </w:r>
          </w:p>
        </w:tc>
        <w:tc>
          <w:tcPr>
            <w:tcW w:w="0" w:type="auto"/>
          </w:tcPr>
          <w:p w14:paraId="6386CC4D">
            <w:pPr>
              <w:pStyle w:val="18"/>
              <w:numPr>
                <w:ilvl w:val="0"/>
                <w:numId w:val="1"/>
              </w:numPr>
              <w:spacing w:after="0"/>
              <w:rPr>
                <w:sz w:val="24"/>
                <w:lang w:val="en-GB"/>
              </w:rPr>
            </w:pPr>
            <w:r>
              <w:rPr>
                <w:b/>
                <w:sz w:val="24"/>
                <w:lang w:val="en-GB"/>
              </w:rPr>
              <w:t>Age:</w:t>
            </w:r>
            <w:r>
              <w:rPr>
                <w:sz w:val="24"/>
                <w:lang w:val="en-GB"/>
              </w:rPr>
              <w:t xml:space="preserve"> 22-35 years </w:t>
            </w:r>
          </w:p>
          <w:p w14:paraId="4558976A">
            <w:pPr>
              <w:pStyle w:val="18"/>
              <w:numPr>
                <w:ilvl w:val="0"/>
                <w:numId w:val="1"/>
              </w:numPr>
              <w:spacing w:after="0"/>
              <w:rPr>
                <w:sz w:val="24"/>
                <w:lang w:val="en-GB"/>
              </w:rPr>
            </w:pPr>
            <w:r>
              <w:rPr>
                <w:b/>
                <w:sz w:val="24"/>
                <w:lang w:val="en-GB"/>
              </w:rPr>
              <w:t>Income:</w:t>
            </w:r>
            <w:r>
              <w:rPr>
                <w:rFonts w:cs="Times New Roman"/>
                <w:sz w:val="24"/>
                <w:lang w:val="en-GB"/>
              </w:rPr>
              <w:t>£</w:t>
            </w:r>
            <w:r>
              <w:rPr>
                <w:sz w:val="24"/>
                <w:lang w:val="en-GB"/>
              </w:rPr>
              <w:t>20,000-</w:t>
            </w:r>
            <w:r>
              <w:rPr>
                <w:rFonts w:cs="Times New Roman"/>
                <w:sz w:val="24"/>
                <w:lang w:val="en-GB"/>
              </w:rPr>
              <w:t>£30,000</w:t>
            </w:r>
          </w:p>
          <w:p w14:paraId="72B5977E">
            <w:pPr>
              <w:pStyle w:val="18"/>
              <w:numPr>
                <w:ilvl w:val="0"/>
                <w:numId w:val="1"/>
              </w:numPr>
              <w:spacing w:after="0"/>
              <w:rPr>
                <w:sz w:val="24"/>
                <w:lang w:val="en-GB"/>
              </w:rPr>
            </w:pPr>
            <w:r>
              <w:rPr>
                <w:b/>
                <w:sz w:val="24"/>
                <w:lang w:val="en-GB"/>
              </w:rPr>
              <w:t>Education/profession:</w:t>
            </w:r>
            <w:r>
              <w:rPr>
                <w:sz w:val="24"/>
                <w:lang w:val="en-GB"/>
              </w:rPr>
              <w:t xml:space="preserve"> Any</w:t>
            </w:r>
          </w:p>
        </w:tc>
      </w:tr>
      <w:tr w14:paraId="56C20908">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0" w:type="auto"/>
            <w:vMerge w:val="continue"/>
          </w:tcPr>
          <w:p w14:paraId="7C18EA88">
            <w:pPr>
              <w:spacing w:after="0"/>
              <w:rPr>
                <w:sz w:val="24"/>
                <w:lang w:val="en-GB"/>
              </w:rPr>
            </w:pPr>
          </w:p>
        </w:tc>
        <w:tc>
          <w:tcPr>
            <w:tcW w:w="0" w:type="auto"/>
          </w:tcPr>
          <w:p w14:paraId="62EA58BE">
            <w:pPr>
              <w:spacing w:after="0"/>
              <w:rPr>
                <w:sz w:val="24"/>
                <w:lang w:val="en-GB"/>
              </w:rPr>
            </w:pPr>
            <w:r>
              <w:rPr>
                <w:sz w:val="24"/>
                <w:lang w:val="en-GB"/>
              </w:rPr>
              <w:t xml:space="preserve">School going children </w:t>
            </w:r>
          </w:p>
        </w:tc>
        <w:tc>
          <w:tcPr>
            <w:tcW w:w="0" w:type="auto"/>
          </w:tcPr>
          <w:p w14:paraId="535B5C3F">
            <w:pPr>
              <w:pStyle w:val="18"/>
              <w:numPr>
                <w:ilvl w:val="0"/>
                <w:numId w:val="1"/>
              </w:numPr>
              <w:spacing w:after="0"/>
              <w:rPr>
                <w:sz w:val="24"/>
                <w:lang w:val="en-GB"/>
              </w:rPr>
            </w:pPr>
            <w:r>
              <w:rPr>
                <w:b/>
                <w:sz w:val="24"/>
                <w:lang w:val="en-GB"/>
              </w:rPr>
              <w:t>Age:</w:t>
            </w:r>
            <w:r>
              <w:rPr>
                <w:sz w:val="24"/>
                <w:lang w:val="en-GB"/>
              </w:rPr>
              <w:t xml:space="preserve"> 8-18 years </w:t>
            </w:r>
          </w:p>
          <w:p w14:paraId="72EEB3F3">
            <w:pPr>
              <w:pStyle w:val="18"/>
              <w:numPr>
                <w:ilvl w:val="0"/>
                <w:numId w:val="1"/>
              </w:numPr>
              <w:spacing w:after="0"/>
              <w:rPr>
                <w:sz w:val="24"/>
                <w:lang w:val="en-GB"/>
              </w:rPr>
            </w:pPr>
            <w:r>
              <w:rPr>
                <w:b/>
                <w:sz w:val="24"/>
                <w:lang w:val="en-GB"/>
              </w:rPr>
              <w:t>Income:</w:t>
            </w:r>
            <w:r>
              <w:rPr>
                <w:rFonts w:cs="Times New Roman"/>
                <w:sz w:val="24"/>
                <w:lang w:val="en-GB"/>
              </w:rPr>
              <w:t xml:space="preserve"> £</w:t>
            </w:r>
            <w:r>
              <w:rPr>
                <w:sz w:val="24"/>
                <w:lang w:val="en-GB"/>
              </w:rPr>
              <w:t>25,000-</w:t>
            </w:r>
            <w:r>
              <w:rPr>
                <w:rFonts w:cs="Times New Roman"/>
                <w:sz w:val="24"/>
                <w:lang w:val="en-GB"/>
              </w:rPr>
              <w:t>£30,000 (family income)</w:t>
            </w:r>
          </w:p>
          <w:p w14:paraId="4A7A7407">
            <w:pPr>
              <w:pStyle w:val="18"/>
              <w:numPr>
                <w:ilvl w:val="0"/>
                <w:numId w:val="1"/>
              </w:numPr>
              <w:spacing w:after="0"/>
              <w:rPr>
                <w:sz w:val="24"/>
                <w:lang w:val="en-GB"/>
              </w:rPr>
            </w:pPr>
            <w:r>
              <w:rPr>
                <w:b/>
                <w:sz w:val="24"/>
                <w:lang w:val="en-GB"/>
              </w:rPr>
              <w:t>Education/profession:</w:t>
            </w:r>
            <w:r>
              <w:rPr>
                <w:sz w:val="24"/>
                <w:lang w:val="en-GB"/>
              </w:rPr>
              <w:t xml:space="preserve"> Middle or high school </w:t>
            </w:r>
          </w:p>
        </w:tc>
      </w:tr>
      <w:tr w14:paraId="25F6793E">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0" w:type="auto"/>
          </w:tcPr>
          <w:p w14:paraId="6CE16599">
            <w:pPr>
              <w:spacing w:after="0"/>
              <w:rPr>
                <w:sz w:val="24"/>
                <w:lang w:val="en-GB"/>
              </w:rPr>
            </w:pPr>
            <w:r>
              <w:rPr>
                <w:sz w:val="24"/>
                <w:lang w:val="en-GB"/>
              </w:rPr>
              <w:t>Geographic</w:t>
            </w:r>
          </w:p>
        </w:tc>
        <w:tc>
          <w:tcPr>
            <w:tcW w:w="0" w:type="auto"/>
          </w:tcPr>
          <w:p w14:paraId="1E039BCA">
            <w:pPr>
              <w:spacing w:after="0"/>
              <w:rPr>
                <w:sz w:val="24"/>
                <w:lang w:val="en-GB"/>
              </w:rPr>
            </w:pPr>
            <w:r>
              <w:rPr>
                <w:sz w:val="24"/>
                <w:lang w:val="en-GB"/>
              </w:rPr>
              <w:t xml:space="preserve">Urban high-risk residents </w:t>
            </w:r>
          </w:p>
        </w:tc>
        <w:tc>
          <w:tcPr>
            <w:tcW w:w="0" w:type="auto"/>
          </w:tcPr>
          <w:p w14:paraId="0B7C5BF1">
            <w:pPr>
              <w:pStyle w:val="18"/>
              <w:numPr>
                <w:ilvl w:val="0"/>
                <w:numId w:val="1"/>
              </w:numPr>
              <w:spacing w:after="0"/>
              <w:rPr>
                <w:sz w:val="24"/>
                <w:lang w:val="en-GB"/>
              </w:rPr>
            </w:pPr>
            <w:r>
              <w:rPr>
                <w:b/>
                <w:sz w:val="24"/>
                <w:lang w:val="en-GB"/>
              </w:rPr>
              <w:t>Location:</w:t>
            </w:r>
            <w:r>
              <w:rPr>
                <w:sz w:val="24"/>
                <w:lang w:val="en-GB"/>
              </w:rPr>
              <w:t xml:space="preserve"> Urban areas like London</w:t>
            </w:r>
          </w:p>
          <w:p w14:paraId="3CDFF1EF">
            <w:pPr>
              <w:pStyle w:val="18"/>
              <w:numPr>
                <w:ilvl w:val="0"/>
                <w:numId w:val="1"/>
              </w:numPr>
              <w:spacing w:after="0"/>
              <w:rPr>
                <w:sz w:val="24"/>
                <w:lang w:val="en-GB"/>
              </w:rPr>
            </w:pPr>
            <w:r>
              <w:rPr>
                <w:b/>
                <w:sz w:val="24"/>
                <w:lang w:val="en-GB"/>
              </w:rPr>
              <w:t>Climate:</w:t>
            </w:r>
            <w:r>
              <w:rPr>
                <w:sz w:val="24"/>
                <w:lang w:val="en-GB"/>
              </w:rPr>
              <w:t xml:space="preserve"> Poor air quality</w:t>
            </w:r>
          </w:p>
          <w:p w14:paraId="76513F4E">
            <w:pPr>
              <w:pStyle w:val="18"/>
              <w:numPr>
                <w:ilvl w:val="0"/>
                <w:numId w:val="1"/>
              </w:numPr>
              <w:spacing w:after="0"/>
              <w:rPr>
                <w:sz w:val="24"/>
                <w:lang w:val="en-GB"/>
              </w:rPr>
            </w:pPr>
            <w:r>
              <w:rPr>
                <w:b/>
                <w:sz w:val="24"/>
                <w:lang w:val="en-GB"/>
              </w:rPr>
              <w:t>Environment:</w:t>
            </w:r>
            <w:r>
              <w:rPr>
                <w:sz w:val="24"/>
                <w:lang w:val="en-GB"/>
              </w:rPr>
              <w:t xml:space="preserve"> Industrial or allergy-prone regions </w:t>
            </w:r>
          </w:p>
        </w:tc>
      </w:tr>
      <w:tr w14:paraId="1C9EBAEA">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0" w:type="auto"/>
          </w:tcPr>
          <w:p w14:paraId="7B95F432">
            <w:pPr>
              <w:spacing w:after="0"/>
              <w:rPr>
                <w:sz w:val="24"/>
                <w:lang w:val="en-GB"/>
              </w:rPr>
            </w:pPr>
            <w:r>
              <w:rPr>
                <w:sz w:val="24"/>
                <w:lang w:val="en-GB"/>
              </w:rPr>
              <w:t>Psychographic</w:t>
            </w:r>
          </w:p>
        </w:tc>
        <w:tc>
          <w:tcPr>
            <w:tcW w:w="0" w:type="auto"/>
          </w:tcPr>
          <w:p w14:paraId="42C6169A">
            <w:pPr>
              <w:spacing w:after="0"/>
              <w:rPr>
                <w:sz w:val="24"/>
                <w:lang w:val="en-GB"/>
              </w:rPr>
            </w:pPr>
            <w:r>
              <w:rPr>
                <w:sz w:val="24"/>
                <w:lang w:val="en-GB"/>
              </w:rPr>
              <w:t xml:space="preserve">Health-conscious individuals </w:t>
            </w:r>
          </w:p>
        </w:tc>
        <w:tc>
          <w:tcPr>
            <w:tcW w:w="0" w:type="auto"/>
          </w:tcPr>
          <w:p w14:paraId="445DF646">
            <w:pPr>
              <w:pStyle w:val="18"/>
              <w:numPr>
                <w:ilvl w:val="0"/>
                <w:numId w:val="1"/>
              </w:numPr>
              <w:spacing w:after="0"/>
              <w:rPr>
                <w:sz w:val="24"/>
                <w:lang w:val="en-GB"/>
              </w:rPr>
            </w:pPr>
            <w:r>
              <w:rPr>
                <w:b/>
                <w:sz w:val="24"/>
                <w:lang w:val="en-GB"/>
              </w:rPr>
              <w:t>Lifestyle:</w:t>
            </w:r>
            <w:r>
              <w:rPr>
                <w:sz w:val="24"/>
                <w:lang w:val="en-GB"/>
              </w:rPr>
              <w:t xml:space="preserve"> Health-conscious </w:t>
            </w:r>
          </w:p>
          <w:p w14:paraId="63BDBD95">
            <w:pPr>
              <w:pStyle w:val="18"/>
              <w:numPr>
                <w:ilvl w:val="0"/>
                <w:numId w:val="1"/>
              </w:numPr>
              <w:spacing w:after="0"/>
              <w:rPr>
                <w:sz w:val="24"/>
                <w:lang w:val="en-GB"/>
              </w:rPr>
            </w:pPr>
            <w:r>
              <w:rPr>
                <w:b/>
                <w:sz w:val="24"/>
                <w:lang w:val="en-GB"/>
              </w:rPr>
              <w:t>Personality:</w:t>
            </w:r>
            <w:r>
              <w:rPr>
                <w:sz w:val="24"/>
                <w:lang w:val="en-GB"/>
              </w:rPr>
              <w:t xml:space="preserve"> Believes in wellness investments </w:t>
            </w:r>
          </w:p>
          <w:p w14:paraId="011EFB63">
            <w:pPr>
              <w:pStyle w:val="18"/>
              <w:numPr>
                <w:ilvl w:val="0"/>
                <w:numId w:val="1"/>
              </w:numPr>
              <w:spacing w:after="0"/>
              <w:rPr>
                <w:sz w:val="24"/>
                <w:lang w:val="en-GB"/>
              </w:rPr>
            </w:pPr>
            <w:r>
              <w:rPr>
                <w:b/>
                <w:sz w:val="24"/>
                <w:lang w:val="en-GB"/>
              </w:rPr>
              <w:t>Attitude:</w:t>
            </w:r>
            <w:r>
              <w:rPr>
                <w:sz w:val="24"/>
                <w:lang w:val="en-GB"/>
              </w:rPr>
              <w:t xml:space="preserve"> Looks out for health needs</w:t>
            </w:r>
          </w:p>
        </w:tc>
      </w:tr>
      <w:tr w14:paraId="2301C385">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0" w:type="auto"/>
          </w:tcPr>
          <w:p w14:paraId="10757476">
            <w:pPr>
              <w:spacing w:after="0"/>
              <w:rPr>
                <w:sz w:val="24"/>
                <w:lang w:val="en-GB"/>
              </w:rPr>
            </w:pPr>
            <w:r>
              <w:rPr>
                <w:sz w:val="24"/>
                <w:lang w:val="en-GB"/>
              </w:rPr>
              <w:t>Behavioural</w:t>
            </w:r>
          </w:p>
        </w:tc>
        <w:tc>
          <w:tcPr>
            <w:tcW w:w="0" w:type="auto"/>
          </w:tcPr>
          <w:p w14:paraId="05017C7E">
            <w:pPr>
              <w:spacing w:after="0"/>
              <w:rPr>
                <w:sz w:val="24"/>
                <w:lang w:val="en-GB"/>
              </w:rPr>
            </w:pPr>
            <w:r>
              <w:rPr>
                <w:sz w:val="24"/>
                <w:lang w:val="en-GB"/>
              </w:rPr>
              <w:t xml:space="preserve">Daily office commuters </w:t>
            </w:r>
          </w:p>
        </w:tc>
        <w:tc>
          <w:tcPr>
            <w:tcW w:w="0" w:type="auto"/>
          </w:tcPr>
          <w:p w14:paraId="2511B0A6">
            <w:pPr>
              <w:pStyle w:val="18"/>
              <w:numPr>
                <w:ilvl w:val="0"/>
                <w:numId w:val="1"/>
              </w:numPr>
              <w:spacing w:after="0"/>
              <w:rPr>
                <w:sz w:val="24"/>
                <w:lang w:val="en-GB"/>
              </w:rPr>
            </w:pPr>
            <w:r>
              <w:rPr>
                <w:b/>
                <w:sz w:val="24"/>
                <w:lang w:val="en-GB"/>
              </w:rPr>
              <w:t>Purchase:</w:t>
            </w:r>
            <w:r>
              <w:rPr>
                <w:sz w:val="24"/>
                <w:lang w:val="en-GB"/>
              </w:rPr>
              <w:t xml:space="preserve"> Spends on healthcare due to air pollution</w:t>
            </w:r>
          </w:p>
          <w:p w14:paraId="32B29B59">
            <w:pPr>
              <w:pStyle w:val="18"/>
              <w:numPr>
                <w:ilvl w:val="0"/>
                <w:numId w:val="1"/>
              </w:numPr>
              <w:spacing w:after="0"/>
              <w:rPr>
                <w:sz w:val="24"/>
                <w:lang w:val="en-GB"/>
              </w:rPr>
            </w:pPr>
            <w:r>
              <w:rPr>
                <w:b/>
                <w:sz w:val="24"/>
                <w:lang w:val="en-GB"/>
              </w:rPr>
              <w:t>Consumption:</w:t>
            </w:r>
            <w:r>
              <w:rPr>
                <w:sz w:val="24"/>
                <w:lang w:val="en-GB"/>
              </w:rPr>
              <w:t xml:space="preserve"> Uses regular masks</w:t>
            </w:r>
          </w:p>
          <w:p w14:paraId="08FE68A9">
            <w:pPr>
              <w:pStyle w:val="18"/>
              <w:keepNext/>
              <w:numPr>
                <w:ilvl w:val="0"/>
                <w:numId w:val="1"/>
              </w:numPr>
              <w:spacing w:after="0"/>
              <w:rPr>
                <w:sz w:val="24"/>
                <w:lang w:val="en-GB"/>
              </w:rPr>
            </w:pPr>
            <w:r>
              <w:rPr>
                <w:b/>
                <w:sz w:val="24"/>
                <w:lang w:val="en-GB"/>
              </w:rPr>
              <w:t>Media use:</w:t>
            </w:r>
            <w:r>
              <w:rPr>
                <w:sz w:val="24"/>
                <w:lang w:val="en-GB"/>
              </w:rPr>
              <w:t xml:space="preserve"> Social media, internet </w:t>
            </w:r>
          </w:p>
        </w:tc>
      </w:tr>
    </w:tbl>
    <w:p w14:paraId="15B69648">
      <w:pPr>
        <w:jc w:val="center"/>
        <w:rPr>
          <w:b/>
          <w:lang w:val="en-GB"/>
        </w:rPr>
      </w:pPr>
      <w:r>
        <w:rPr>
          <w:b/>
          <w:lang w:val="en-GB"/>
        </w:rPr>
        <w:t xml:space="preserve">Table </w:t>
      </w:r>
      <w:r>
        <w:rPr>
          <w:b/>
          <w:lang w:val="en-GB"/>
        </w:rPr>
        <w:fldChar w:fldCharType="begin"/>
      </w:r>
      <w:r>
        <w:rPr>
          <w:b/>
          <w:lang w:val="en-GB"/>
        </w:rPr>
        <w:instrText xml:space="preserve"> SEQ Table \* ARABIC </w:instrText>
      </w:r>
      <w:r>
        <w:rPr>
          <w:b/>
          <w:lang w:val="en-GB"/>
        </w:rPr>
        <w:fldChar w:fldCharType="separate"/>
      </w:r>
      <w:r>
        <w:rPr>
          <w:b/>
          <w:lang w:val="en-GB"/>
        </w:rPr>
        <w:t>1</w:t>
      </w:r>
      <w:r>
        <w:rPr>
          <w:b/>
          <w:lang w:val="en-GB"/>
        </w:rPr>
        <w:fldChar w:fldCharType="end"/>
      </w:r>
      <w:r>
        <w:rPr>
          <w:b/>
          <w:lang w:val="en-GB"/>
        </w:rPr>
        <w:t>: Key segments for Dyson Smart Air Ecosystem</w:t>
      </w:r>
    </w:p>
    <w:p w14:paraId="18AFF288">
      <w:pPr>
        <w:jc w:val="center"/>
        <w:rPr>
          <w:bCs/>
          <w:lang w:val="en-GB"/>
        </w:rPr>
      </w:pPr>
      <w:r>
        <w:rPr>
          <w:bCs/>
          <w:lang w:val="en-GB"/>
        </w:rPr>
        <w:t>(Source: Self-developed)</w:t>
      </w:r>
    </w:p>
    <w:p w14:paraId="30F8073D">
      <w:pPr>
        <w:pStyle w:val="3"/>
        <w:rPr>
          <w:lang w:val="en-GB"/>
        </w:rPr>
      </w:pPr>
      <w:r>
        <w:rPr>
          <w:lang w:val="en-GB"/>
        </w:rPr>
        <w:t>Chosen target audience</w:t>
      </w:r>
    </w:p>
    <w:p w14:paraId="363A775B">
      <w:pPr>
        <w:rPr>
          <w:lang w:val="en-GB"/>
        </w:rPr>
      </w:pPr>
      <w:r>
        <w:rPr>
          <w:lang w:val="en-GB"/>
        </w:rPr>
        <w:t>The second stage for marketing should focus on choosing the target audience. For this, the chosen segments are evaluated to identify specific segments that will be more likely to become potential customers. This helps to narrow down the market further (</w:t>
      </w:r>
      <w:r>
        <w:rPr>
          <w:shd w:val="clear" w:color="auto" w:fill="FFFFFF"/>
          <w:lang w:val="en-GB"/>
        </w:rPr>
        <w:t xml:space="preserve">Talaat </w:t>
      </w:r>
      <w:r>
        <w:rPr>
          <w:i/>
          <w:lang w:val="en-GB"/>
        </w:rPr>
        <w:t>et al</w:t>
      </w:r>
      <w:r>
        <w:rPr>
          <w:lang w:val="en-GB"/>
        </w:rPr>
        <w:t xml:space="preserve">., </w:t>
      </w:r>
      <w:r>
        <w:rPr>
          <w:shd w:val="clear" w:color="auto" w:fill="FFFFFF"/>
          <w:lang w:val="en-GB"/>
        </w:rPr>
        <w:t>2023</w:t>
      </w:r>
      <w:r>
        <w:rPr>
          <w:lang w:val="en-GB"/>
        </w:rPr>
        <w:t>). Here is a detailed account of the target market for Dyson Smart Air Ecosystem:</w:t>
      </w:r>
    </w:p>
    <w:tbl>
      <w:tblPr>
        <w:tblStyle w:val="13"/>
        <w:tblW w:w="0" w:type="auto"/>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autofit"/>
        <w:tblCellMar>
          <w:top w:w="0" w:type="dxa"/>
          <w:left w:w="108" w:type="dxa"/>
          <w:bottom w:w="0" w:type="dxa"/>
          <w:right w:w="108" w:type="dxa"/>
        </w:tblCellMar>
      </w:tblPr>
      <w:tblGrid>
        <w:gridCol w:w="2975"/>
        <w:gridCol w:w="1755"/>
        <w:gridCol w:w="4846"/>
      </w:tblGrid>
      <w:tr w14:paraId="316FFCFD">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0" w:type="auto"/>
          </w:tcPr>
          <w:p w14:paraId="7C01A520">
            <w:pPr>
              <w:spacing w:after="0"/>
              <w:jc w:val="center"/>
              <w:rPr>
                <w:b/>
                <w:sz w:val="24"/>
                <w:lang w:val="en-GB"/>
              </w:rPr>
            </w:pPr>
            <w:r>
              <w:rPr>
                <w:b/>
                <w:sz w:val="24"/>
                <w:lang w:val="en-GB"/>
              </w:rPr>
              <w:t>Segment</w:t>
            </w:r>
          </w:p>
        </w:tc>
        <w:tc>
          <w:tcPr>
            <w:tcW w:w="0" w:type="auto"/>
          </w:tcPr>
          <w:p w14:paraId="6628B4A8">
            <w:pPr>
              <w:spacing w:after="0"/>
              <w:jc w:val="center"/>
              <w:rPr>
                <w:b/>
                <w:sz w:val="24"/>
                <w:lang w:val="en-GB"/>
              </w:rPr>
            </w:pPr>
            <w:r>
              <w:rPr>
                <w:b/>
                <w:sz w:val="24"/>
                <w:lang w:val="en-GB"/>
              </w:rPr>
              <w:t>Target market</w:t>
            </w:r>
          </w:p>
        </w:tc>
        <w:tc>
          <w:tcPr>
            <w:tcW w:w="0" w:type="auto"/>
          </w:tcPr>
          <w:p w14:paraId="42A790EF">
            <w:pPr>
              <w:spacing w:after="0"/>
              <w:jc w:val="center"/>
              <w:rPr>
                <w:b/>
                <w:sz w:val="24"/>
                <w:lang w:val="en-GB"/>
              </w:rPr>
            </w:pPr>
            <w:r>
              <w:rPr>
                <w:b/>
                <w:sz w:val="24"/>
                <w:lang w:val="en-GB"/>
              </w:rPr>
              <w:t>Pain points</w:t>
            </w:r>
          </w:p>
        </w:tc>
      </w:tr>
      <w:tr w14:paraId="72546DEC">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0" w:type="auto"/>
          </w:tcPr>
          <w:p w14:paraId="3049396C">
            <w:pPr>
              <w:spacing w:after="0"/>
              <w:rPr>
                <w:sz w:val="24"/>
                <w:lang w:val="en-GB"/>
              </w:rPr>
            </w:pPr>
            <w:r>
              <w:rPr>
                <w:sz w:val="24"/>
                <w:lang w:val="en-GB"/>
              </w:rPr>
              <w:t>Health-conscious individuals</w:t>
            </w:r>
          </w:p>
        </w:tc>
        <w:tc>
          <w:tcPr>
            <w:tcW w:w="0" w:type="auto"/>
          </w:tcPr>
          <w:p w14:paraId="042CB0F7">
            <w:pPr>
              <w:spacing w:after="0"/>
              <w:rPr>
                <w:sz w:val="24"/>
                <w:lang w:val="en-GB"/>
              </w:rPr>
            </w:pPr>
            <w:r>
              <w:rPr>
                <w:sz w:val="24"/>
                <w:lang w:val="en-GB"/>
              </w:rPr>
              <w:t xml:space="preserve">Primary target market </w:t>
            </w:r>
          </w:p>
        </w:tc>
        <w:tc>
          <w:tcPr>
            <w:tcW w:w="0" w:type="auto"/>
          </w:tcPr>
          <w:p w14:paraId="418DA735">
            <w:pPr>
              <w:spacing w:after="0"/>
              <w:rPr>
                <w:sz w:val="24"/>
                <w:lang w:val="en-GB"/>
              </w:rPr>
            </w:pPr>
            <w:r>
              <w:rPr>
                <w:sz w:val="24"/>
                <w:lang w:val="en-GB"/>
              </w:rPr>
              <w:t xml:space="preserve">They are concerned about the air quality and are looking for an innovative solution for this. </w:t>
            </w:r>
          </w:p>
        </w:tc>
      </w:tr>
      <w:tr w14:paraId="1D9716F7">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0" w:type="auto"/>
          </w:tcPr>
          <w:p w14:paraId="2C09F67D">
            <w:pPr>
              <w:spacing w:after="0"/>
              <w:rPr>
                <w:sz w:val="24"/>
                <w:lang w:val="en-GB"/>
              </w:rPr>
            </w:pPr>
            <w:r>
              <w:rPr>
                <w:sz w:val="24"/>
                <w:lang w:val="en-GB"/>
              </w:rPr>
              <w:t xml:space="preserve">School going children and young adult professionals </w:t>
            </w:r>
          </w:p>
        </w:tc>
        <w:tc>
          <w:tcPr>
            <w:tcW w:w="0" w:type="auto"/>
          </w:tcPr>
          <w:p w14:paraId="1541E7B7">
            <w:pPr>
              <w:spacing w:after="0"/>
              <w:rPr>
                <w:sz w:val="24"/>
                <w:lang w:val="en-GB"/>
              </w:rPr>
            </w:pPr>
            <w:r>
              <w:rPr>
                <w:sz w:val="24"/>
                <w:lang w:val="en-GB"/>
              </w:rPr>
              <w:t>Secondary target market</w:t>
            </w:r>
          </w:p>
        </w:tc>
        <w:tc>
          <w:tcPr>
            <w:tcW w:w="0" w:type="auto"/>
          </w:tcPr>
          <w:p w14:paraId="1C6303D7">
            <w:pPr>
              <w:keepNext/>
              <w:spacing w:after="0"/>
              <w:rPr>
                <w:sz w:val="24"/>
                <w:lang w:val="en-GB"/>
              </w:rPr>
            </w:pPr>
            <w:r>
              <w:rPr>
                <w:sz w:val="24"/>
                <w:lang w:val="en-GB"/>
              </w:rPr>
              <w:t xml:space="preserve">They are regular commuters and need access to a simple wearable that completely addresses the concern. </w:t>
            </w:r>
          </w:p>
        </w:tc>
      </w:tr>
    </w:tbl>
    <w:p w14:paraId="4858BCA0">
      <w:pPr>
        <w:jc w:val="center"/>
        <w:rPr>
          <w:b/>
          <w:lang w:val="en-GB"/>
        </w:rPr>
      </w:pPr>
      <w:r>
        <w:rPr>
          <w:b/>
          <w:lang w:val="en-GB"/>
        </w:rPr>
        <w:t xml:space="preserve">Table </w:t>
      </w:r>
      <w:r>
        <w:rPr>
          <w:b/>
          <w:lang w:val="en-GB"/>
        </w:rPr>
        <w:fldChar w:fldCharType="begin"/>
      </w:r>
      <w:r>
        <w:rPr>
          <w:b/>
          <w:lang w:val="en-GB"/>
        </w:rPr>
        <w:instrText xml:space="preserve"> SEQ Table \* ARABIC </w:instrText>
      </w:r>
      <w:r>
        <w:rPr>
          <w:b/>
          <w:lang w:val="en-GB"/>
        </w:rPr>
        <w:fldChar w:fldCharType="separate"/>
      </w:r>
      <w:r>
        <w:rPr>
          <w:b/>
          <w:lang w:val="en-GB"/>
        </w:rPr>
        <w:t>2</w:t>
      </w:r>
      <w:r>
        <w:rPr>
          <w:b/>
          <w:lang w:val="en-GB"/>
        </w:rPr>
        <w:fldChar w:fldCharType="end"/>
      </w:r>
      <w:r>
        <w:rPr>
          <w:b/>
          <w:lang w:val="en-GB"/>
        </w:rPr>
        <w:t>: Chosen target market</w:t>
      </w:r>
    </w:p>
    <w:p w14:paraId="0F491720">
      <w:pPr>
        <w:rPr>
          <w:lang w:val="en-GB"/>
        </w:rPr>
      </w:pPr>
      <w:r>
        <w:rPr>
          <w:lang w:val="en-GB"/>
        </w:rPr>
        <w:t>The target market primarily chosen for Dyson Smart Air Ecosystem is the health-conscious citizens of the UK. Secondary target market includes demographic segments like young adult professionals and school going children. The differentiation marketing strategy will be prioritised here, as two markets are targeted. It believes in having different marketing strategies to attract the target market (</w:t>
      </w:r>
      <w:r>
        <w:rPr>
          <w:shd w:val="clear" w:color="auto" w:fill="FFFFFF"/>
          <w:lang w:val="en-GB"/>
        </w:rPr>
        <w:t>Gabellini and Scaramuzzi</w:t>
      </w:r>
      <w:r>
        <w:rPr>
          <w:lang w:val="en-GB"/>
        </w:rPr>
        <w:t xml:space="preserve">, </w:t>
      </w:r>
      <w:r>
        <w:rPr>
          <w:shd w:val="clear" w:color="auto" w:fill="FFFFFF"/>
          <w:lang w:val="en-GB"/>
        </w:rPr>
        <w:t>2022</w:t>
      </w:r>
      <w:r>
        <w:rPr>
          <w:lang w:val="en-GB"/>
        </w:rPr>
        <w:t xml:space="preserve">). This will help Dyson to gain more brand awareness among the chosen target market with this strategy. </w:t>
      </w:r>
    </w:p>
    <w:p w14:paraId="0208E7AB">
      <w:pPr>
        <w:pStyle w:val="3"/>
        <w:rPr>
          <w:lang w:val="en-GB"/>
        </w:rPr>
      </w:pPr>
      <w:r>
        <w:rPr>
          <w:lang w:val="en-GB"/>
        </w:rPr>
        <w:t xml:space="preserve">Differentiation from competitors </w:t>
      </w:r>
    </w:p>
    <w:p w14:paraId="2AAC31B6">
      <w:pPr>
        <w:rPr>
          <w:lang w:val="en-GB"/>
        </w:rPr>
      </w:pPr>
      <w:r>
        <w:rPr>
          <w:lang w:val="en-GB"/>
        </w:rPr>
        <w:t xml:space="preserve">There is severe competition in the current technology and electronics industry. Some of the biggest competitors of Dyson include Panasonic Holdings, Bajaj Electricals, Eureka Forbes, and others (GlobalData, 2026). Most of these companies have been working on air purifiers to improve health and wellbeing. For instance, Panasonic’s nanoe-G air purifier uses nano technology to address fine particles from air (Panasonic, 2026). However, it is important to note that none of the competitors have yet introduced a smart mask like Dyson’s brand extension that can ensure real-time air purification. </w:t>
      </w:r>
    </w:p>
    <w:p w14:paraId="2AFBDB80">
      <w:pPr>
        <w:rPr>
          <w:lang w:val="en-GB"/>
        </w:rPr>
      </w:pPr>
      <w:r>
        <w:rPr>
          <w:lang w:val="en-GB"/>
        </w:rPr>
        <w:t>The differentiation being formed within Dyson is related to the unique piece of technology being used to develop a wearable product. It is using artificial intelligence (AI) to map air quality and get real-time updates on the same. AI is an evolving technology that uses machine learning algorithms (</w:t>
      </w:r>
      <w:r>
        <w:rPr>
          <w:shd w:val="clear" w:color="auto" w:fill="FFFFFF"/>
          <w:lang w:val="en-GB"/>
        </w:rPr>
        <w:t>Theodosiou and Read</w:t>
      </w:r>
      <w:r>
        <w:rPr>
          <w:lang w:val="en-GB"/>
        </w:rPr>
        <w:t xml:space="preserve">, </w:t>
      </w:r>
      <w:r>
        <w:rPr>
          <w:shd w:val="clear" w:color="auto" w:fill="FFFFFF"/>
          <w:lang w:val="en-GB"/>
        </w:rPr>
        <w:t>2023</w:t>
      </w:r>
      <w:r>
        <w:rPr>
          <w:lang w:val="en-GB"/>
        </w:rPr>
        <w:t xml:space="preserve">). With this, Dyson is addressing a current problem in the environment related to deteriorating air quality and environmental condition. It is helping UK citizens to directly address two of their current concerns, including the air quality issues and address health conditions due to air quality. </w:t>
      </w:r>
    </w:p>
    <w:p w14:paraId="1B2099D0">
      <w:pPr>
        <w:rPr>
          <w:lang w:val="en-GB"/>
        </w:rPr>
      </w:pPr>
      <w:r>
        <w:rPr>
          <w:lang w:val="en-GB"/>
        </w:rPr>
        <w:t xml:space="preserve">This shows a differential strategy for Dyson with its brand extension. Most of its competitors are working on technologies to improve the features of existing products like air purifiers. However, with Dyson Smart Air Ecosystem, there is a unique disruptive product with an innovative smart mask. This can be helpful for Dyson to stand out and gain strong brand awareness. </w:t>
      </w:r>
    </w:p>
    <w:p w14:paraId="4CB99202">
      <w:pPr>
        <w:pStyle w:val="3"/>
        <w:rPr>
          <w:lang w:val="en-GB"/>
        </w:rPr>
      </w:pPr>
      <w:r>
        <w:rPr>
          <w:lang w:val="en-GB"/>
        </w:rPr>
        <w:t xml:space="preserve">Positioning strategy  </w:t>
      </w:r>
    </w:p>
    <w:p w14:paraId="06234194">
      <w:pPr>
        <w:rPr>
          <w:lang w:val="en-GB"/>
        </w:rPr>
      </w:pPr>
      <w:r>
        <w:rPr>
          <w:lang w:val="en-GB"/>
        </w:rPr>
        <w:t>The positioning stage usually comes at the end of the process of planning a marketing strategy. With this, companies can identify their chosen positioning strategy considering the market conditions and competitors. This helps them to identify the approach for positioning the products considering the target audience (</w:t>
      </w:r>
      <w:r>
        <w:rPr>
          <w:shd w:val="clear" w:color="auto" w:fill="FFFFFF"/>
          <w:lang w:val="en-GB"/>
        </w:rPr>
        <w:t>Setyawati</w:t>
      </w:r>
      <w:r>
        <w:rPr>
          <w:i/>
          <w:lang w:val="en-GB"/>
        </w:rPr>
        <w:t>et al</w:t>
      </w:r>
      <w:r>
        <w:rPr>
          <w:lang w:val="en-GB"/>
        </w:rPr>
        <w:t xml:space="preserve">., </w:t>
      </w:r>
      <w:r>
        <w:rPr>
          <w:shd w:val="clear" w:color="auto" w:fill="FFFFFF"/>
          <w:lang w:val="en-GB"/>
        </w:rPr>
        <w:t>2025</w:t>
      </w:r>
      <w:r>
        <w:rPr>
          <w:lang w:val="en-GB"/>
        </w:rPr>
        <w:t>). Here is a positioning map for Dyson:</w:t>
      </w:r>
    </w:p>
    <w:p w14:paraId="11977EFE">
      <w:pPr>
        <w:jc w:val="center"/>
        <w:rPr>
          <w:lang w:val="en-GB"/>
        </w:rPr>
      </w:pPr>
      <w:r>
        <w:rPr>
          <w:lang w:val="en-GB"/>
        </w:rPr>
        <w:pict>
          <v:group id="_x0000_s1028" o:spid="_x0000_s1028" o:spt="203" style="height:280.8pt;width:468pt;" coordorigin="2445,10730" coordsize="7200,4320" editas="canvas">
            <o:lock v:ext="edit"/>
            <v:shape id="_x0000_s1029" o:spid="_x0000_s1029" o:spt="75" type="#_x0000_t75" style="position:absolute;left:2445;top:10730;height:4320;width:7200;" fillcolor="#EEECE1" filled="t" o:preferrelative="f" stroked="t" coordsize="21600,21600">
              <v:fill on="t" focussize="0,0"/>
              <v:stroke color="#000000" joinstyle="miter"/>
              <v:imagedata o:title=""/>
              <o:lock v:ext="edit" text="t" aspectratio="t"/>
            </v:shape>
            <v:rect id="_x0000_s1030" o:spid="_x0000_s1030" o:spt="1" style="position:absolute;left:5287;top:10888;height:583;width:1510;" coordsize="21600,21600">
              <v:path/>
              <v:fill focussize="0,0"/>
              <v:stroke/>
              <v:imagedata o:title=""/>
              <o:lock v:ext="edit"/>
              <v:textbox>
                <w:txbxContent>
                  <w:p w14:paraId="20B75FF8">
                    <w:pPr>
                      <w:jc w:val="center"/>
                      <w:rPr>
                        <w:b/>
                      </w:rPr>
                    </w:pPr>
                    <w:r>
                      <w:rPr>
                        <w:b/>
                      </w:rPr>
                      <w:t>High Quality</w:t>
                    </w:r>
                  </w:p>
                </w:txbxContent>
              </v:textbox>
            </v:rect>
            <v:rect id="_x0000_s1031" o:spid="_x0000_s1031" o:spt="1" style="position:absolute;left:5328;top:14275;height:583;width:1510;" coordsize="21600,21600">
              <v:path/>
              <v:fill focussize="0,0"/>
              <v:stroke/>
              <v:imagedata o:title=""/>
              <o:lock v:ext="edit"/>
              <v:textbox>
                <w:txbxContent>
                  <w:p w14:paraId="551393BF">
                    <w:pPr>
                      <w:jc w:val="center"/>
                      <w:rPr>
                        <w:b/>
                      </w:rPr>
                    </w:pPr>
                    <w:r>
                      <w:rPr>
                        <w:b/>
                      </w:rPr>
                      <w:t>Low Quality</w:t>
                    </w:r>
                  </w:p>
                </w:txbxContent>
              </v:textbox>
            </v:rect>
            <v:rect id="_x0000_s1032" o:spid="_x0000_s1032" o:spt="1" style="position:absolute;left:7960;top:12578;height:584;width:1510;" coordsize="21600,21600">
              <v:path/>
              <v:fill focussize="0,0"/>
              <v:stroke/>
              <v:imagedata o:title=""/>
              <o:lock v:ext="edit"/>
              <v:textbox>
                <w:txbxContent>
                  <w:p w14:paraId="0D21ACD5">
                    <w:pPr>
                      <w:jc w:val="center"/>
                      <w:rPr>
                        <w:b/>
                      </w:rPr>
                    </w:pPr>
                    <w:r>
                      <w:rPr>
                        <w:b/>
                      </w:rPr>
                      <w:t>High Price</w:t>
                    </w:r>
                  </w:p>
                </w:txbxContent>
              </v:textbox>
            </v:rect>
            <v:rect id="_x0000_s1033" o:spid="_x0000_s1033" o:spt="1" style="position:absolute;left:2616;top:12579;height:583;width:1510;" coordsize="21600,21600">
              <v:path/>
              <v:fill focussize="0,0"/>
              <v:stroke/>
              <v:imagedata o:title=""/>
              <o:lock v:ext="edit"/>
              <v:textbox>
                <w:txbxContent>
                  <w:p w14:paraId="1B5F7CEB">
                    <w:pPr>
                      <w:jc w:val="center"/>
                      <w:rPr>
                        <w:b/>
                      </w:rPr>
                    </w:pPr>
                    <w:r>
                      <w:rPr>
                        <w:b/>
                      </w:rPr>
                      <w:t>LowPrice</w:t>
                    </w:r>
                  </w:p>
                </w:txbxContent>
              </v:textbox>
            </v:rect>
            <v:shape id="_x0000_s1034" o:spid="_x0000_s1034" o:spt="32" type="#_x0000_t32" style="position:absolute;left:6043;top:11471;height:2804;width:40;" o:connectortype="straight" filled="f" coordsize="21600,21600">
              <v:path arrowok="t"/>
              <v:fill on="f" focussize="0,0"/>
              <v:stroke startarrow="block" endarrow="block"/>
              <v:imagedata o:title=""/>
              <o:lock v:ext="edit"/>
            </v:shape>
            <v:shape id="_x0000_s1035" o:spid="_x0000_s1035" o:spt="32" type="#_x0000_t32" style="position:absolute;left:4126;top:12870;flip:y;height:1;width:3834;" o:connectortype="straight" filled="f" coordsize="21600,21600">
              <v:path arrowok="t"/>
              <v:fill on="f" focussize="0,0"/>
              <v:stroke startarrow="block" endarrow="block"/>
              <v:imagedata o:title=""/>
              <o:lock v:ext="edit"/>
            </v:shape>
            <v:shape id="_x0000_s1042" o:spid="_x0000_s1042" o:spt="75" type="#_x0000_t75" style="position:absolute;left:7264;top:10888;height:575;width:1463;" filled="f" o:preferrelative="t" stroked="f" coordsize="21600,21600">
              <v:path/>
              <v:fill on="f" focussize="0,0"/>
              <v:stroke on="f" joinstyle="miter"/>
              <v:imagedata r:id="rId8" o:title=""/>
              <o:lock v:ext="edit" aspectratio="t"/>
            </v:shape>
            <v:shape id="_x0000_s1043" o:spid="_x0000_s1043" o:spt="75" type="#_x0000_t75" style="position:absolute;left:6950;top:13580;height:393;width:2297;" filled="f" o:preferrelative="t" stroked="f" coordsize="21600,21600">
              <v:path/>
              <v:fill on="f" focussize="0,0"/>
              <v:stroke on="f" joinstyle="miter"/>
              <v:imagedata r:id="rId9" o:title=""/>
              <o:lock v:ext="edit" aspectratio="t"/>
            </v:shape>
            <v:shape id="_x0000_s1046" o:spid="_x0000_s1046" o:spt="75" type="#_x0000_t75" style="position:absolute;left:3261;top:11072;height:569;width:1639;" filled="f" o:preferrelative="t" stroked="f" coordsize="21600,21600">
              <v:path/>
              <v:fill on="f" focussize="0,0"/>
              <v:stroke on="f" joinstyle="miter"/>
              <v:imagedata r:id="rId10" o:title=""/>
              <o:lock v:ext="edit" aspectratio="t"/>
            </v:shape>
            <v:shape id="_x0000_s1047" o:spid="_x0000_s1047" o:spt="75" type="#_x0000_t75" style="position:absolute;left:7335;top:12002;height:444;width:1613;" filled="f" o:preferrelative="t" stroked="f" coordsize="21600,21600">
              <v:path/>
              <v:fill on="f" focussize="0,0"/>
              <v:stroke on="f" joinstyle="miter"/>
              <v:imagedata r:id="rId11" o:title=""/>
              <o:lock v:ext="edit" aspectratio="t"/>
            </v:shape>
            <v:shape id="_x0000_s1048" o:spid="_x0000_s1048" o:spt="75" type="#_x0000_t75" style="position:absolute;left:4408;top:12002;height:503;width:1440;" filled="f" o:preferrelative="t" stroked="f" coordsize="21600,21600">
              <v:path/>
              <v:fill on="f" focussize="0,0"/>
              <v:stroke on="f" joinstyle="miter"/>
              <v:imagedata r:id="rId12" o:title=""/>
              <o:lock v:ext="edit" aspectratio="t"/>
            </v:shape>
            <v:shape id="_x0000_s1049" o:spid="_x0000_s1049" o:spt="75" type="#_x0000_t75" style="position:absolute;left:3261;top:13422;height:983;width:996;" filled="f" o:preferrelative="t" stroked="f" coordsize="21600,21600">
              <v:path/>
              <v:fill on="f" focussize="0,0"/>
              <v:stroke on="f" joinstyle="miter"/>
              <v:imagedata r:id="rId13" o:title=""/>
              <o:lock v:ext="edit" aspectratio="t"/>
            </v:shape>
            <w10:wrap type="none"/>
            <w10:anchorlock/>
          </v:group>
        </w:pict>
      </w:r>
    </w:p>
    <w:p w14:paraId="7BEFA0E6">
      <w:pPr>
        <w:jc w:val="center"/>
        <w:rPr>
          <w:b/>
          <w:lang w:val="en-GB"/>
        </w:rPr>
      </w:pPr>
      <w:r>
        <w:rPr>
          <w:b/>
          <w:lang w:val="en-GB"/>
        </w:rPr>
        <w:t xml:space="preserve">Figure </w:t>
      </w:r>
      <w:r>
        <w:rPr>
          <w:b/>
          <w:lang w:val="en-GB"/>
        </w:rPr>
        <w:fldChar w:fldCharType="begin"/>
      </w:r>
      <w:r>
        <w:rPr>
          <w:b/>
          <w:lang w:val="en-GB"/>
        </w:rPr>
        <w:instrText xml:space="preserve"> SEQ Figure \* ARABIC </w:instrText>
      </w:r>
      <w:r>
        <w:rPr>
          <w:b/>
          <w:lang w:val="en-GB"/>
        </w:rPr>
        <w:fldChar w:fldCharType="separate"/>
      </w:r>
      <w:r>
        <w:rPr>
          <w:b/>
          <w:lang w:val="en-GB"/>
        </w:rPr>
        <w:t>2</w:t>
      </w:r>
      <w:r>
        <w:rPr>
          <w:b/>
          <w:lang w:val="en-GB"/>
        </w:rPr>
        <w:fldChar w:fldCharType="end"/>
      </w:r>
      <w:r>
        <w:rPr>
          <w:b/>
          <w:lang w:val="en-GB"/>
        </w:rPr>
        <w:t>: Positioning map</w:t>
      </w:r>
    </w:p>
    <w:p w14:paraId="32FC9476">
      <w:pPr>
        <w:rPr>
          <w:lang w:val="en-GB"/>
        </w:rPr>
      </w:pPr>
      <w:r>
        <w:rPr>
          <w:lang w:val="en-GB"/>
        </w:rPr>
        <w:t xml:space="preserve">Based on this perceptual map, Dyson positions itself in the high quality and high price segment. Here, the biggest competitor of the company is SharkNinja in the UK context, as it also offers similar products in the same pricing range (SharkNinja, 2025). On the other hand, VAX can also be a competitor with similar products (Vax, 2026). However, the pricing is lower in this company. This means Dyson aims to position its brand extension with a vision of offering high-quality products at a premium pricing range. This way, it will stand out in the market offering a unique piece of product. </w:t>
      </w:r>
    </w:p>
    <w:p w14:paraId="1ED844EB">
      <w:pPr>
        <w:pStyle w:val="2"/>
        <w:rPr>
          <w:lang w:val="en-GB"/>
        </w:rPr>
      </w:pPr>
      <w:r>
        <w:rPr>
          <w:lang w:val="en-GB"/>
        </w:rPr>
        <w:t>Element 3: Marketing Mix</w:t>
      </w:r>
    </w:p>
    <w:p w14:paraId="69D89AE0">
      <w:pPr>
        <w:rPr>
          <w:lang w:val="en-GB"/>
        </w:rPr>
      </w:pPr>
      <w:r>
        <w:rPr>
          <w:lang w:val="en-GB"/>
        </w:rPr>
        <w:t>A strong marketing mix strategy is essential for brands, particularly if they introduce a brand extension. The framework helps to evaluate different elements of marketing activities and make the right decisions considering the current strategies and their gaps (</w:t>
      </w:r>
      <w:r>
        <w:rPr>
          <w:shd w:val="clear" w:color="auto" w:fill="FFFFFF"/>
          <w:lang w:val="en-GB"/>
        </w:rPr>
        <w:t>Ho</w:t>
      </w:r>
      <w:r>
        <w:rPr>
          <w:lang w:val="en-GB"/>
        </w:rPr>
        <w:t xml:space="preserve"> </w:t>
      </w:r>
      <w:r>
        <w:rPr>
          <w:i/>
          <w:lang w:val="en-GB"/>
        </w:rPr>
        <w:t>et al</w:t>
      </w:r>
      <w:r>
        <w:rPr>
          <w:lang w:val="en-GB"/>
        </w:rPr>
        <w:t xml:space="preserve">., </w:t>
      </w:r>
      <w:r>
        <w:rPr>
          <w:shd w:val="clear" w:color="auto" w:fill="FFFFFF"/>
          <w:lang w:val="en-GB"/>
        </w:rPr>
        <w:t>2022</w:t>
      </w:r>
      <w:r>
        <w:rPr>
          <w:lang w:val="en-GB"/>
        </w:rPr>
        <w:t>). As Dyson is planning to expand with Dyson Smart Air Ecosystem, the following marketing mix analysis can be helpful for its strategic decisions:</w:t>
      </w:r>
    </w:p>
    <w:p w14:paraId="35BA635C">
      <w:pPr>
        <w:pStyle w:val="18"/>
        <w:numPr>
          <w:ilvl w:val="0"/>
          <w:numId w:val="2"/>
        </w:numPr>
        <w:rPr>
          <w:b/>
          <w:lang w:val="en-GB"/>
        </w:rPr>
      </w:pPr>
      <w:r>
        <w:rPr>
          <w:b/>
          <w:lang w:val="en-GB"/>
        </w:rPr>
        <w:t>Product</w:t>
      </w:r>
    </w:p>
    <w:p w14:paraId="4A828E0C">
      <w:pPr>
        <w:rPr>
          <w:lang w:val="en-GB"/>
        </w:rPr>
      </w:pPr>
      <w:r>
        <w:rPr>
          <w:lang w:val="en-GB"/>
        </w:rPr>
        <w:t xml:space="preserve">Dyson stands out for offering a range of innovative electronics items. With its new brand extension, it is planning to introduce a unique face mask. This helps users to filter air pollutants in real time, while a mobile app keeps track of the same. There can be different criteria for product or service choice. According to </w:t>
      </w:r>
      <w:r>
        <w:rPr>
          <w:shd w:val="clear" w:color="auto" w:fill="FFFFFF"/>
          <w:lang w:val="en-GB"/>
        </w:rPr>
        <w:t>Hooley</w:t>
      </w:r>
      <w:r>
        <w:rPr>
          <w:lang w:val="en-GB"/>
        </w:rPr>
        <w:t xml:space="preserve"> </w:t>
      </w:r>
      <w:r>
        <w:rPr>
          <w:i/>
          <w:lang w:val="en-GB"/>
        </w:rPr>
        <w:t>et al</w:t>
      </w:r>
      <w:r>
        <w:rPr>
          <w:lang w:val="en-GB"/>
        </w:rPr>
        <w:t>. (</w:t>
      </w:r>
      <w:r>
        <w:rPr>
          <w:shd w:val="clear" w:color="auto" w:fill="FFFFFF"/>
          <w:lang w:val="en-GB"/>
        </w:rPr>
        <w:t>2020</w:t>
      </w:r>
      <w:r>
        <w:rPr>
          <w:lang w:val="en-GB"/>
        </w:rPr>
        <w:t xml:space="preserve">), the criteria can be either practical and rational or symbolic and emotional. In this context, the new brand extension focuses on the elements of practical and rational product sentiment. </w:t>
      </w:r>
    </w:p>
    <w:p w14:paraId="0D904318">
      <w:pPr>
        <w:keepNext/>
        <w:jc w:val="center"/>
        <w:rPr>
          <w:lang w:val="en-GB"/>
        </w:rPr>
      </w:pPr>
      <w:r>
        <w:drawing>
          <wp:inline distT="0" distB="0" distL="0" distR="0">
            <wp:extent cx="5246370" cy="2857500"/>
            <wp:effectExtent l="38100" t="57150" r="106320" b="95226"/>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14"/>
                    <a:srcRect l="43137" t="48548" r="28876" b="24289"/>
                    <a:stretch>
                      <a:fillRect/>
                    </a:stretch>
                  </pic:blipFill>
                  <pic:spPr>
                    <a:xfrm>
                      <a:off x="0" y="0"/>
                      <a:ext cx="5246730" cy="2857524"/>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726AB64C">
      <w:pPr>
        <w:jc w:val="center"/>
        <w:rPr>
          <w:b/>
          <w:lang w:val="en-GB"/>
        </w:rPr>
      </w:pPr>
      <w:r>
        <w:rPr>
          <w:b/>
          <w:lang w:val="en-GB"/>
        </w:rPr>
        <w:t xml:space="preserve">Figure </w:t>
      </w:r>
      <w:r>
        <w:rPr>
          <w:b/>
          <w:lang w:val="en-GB"/>
        </w:rPr>
        <w:fldChar w:fldCharType="begin"/>
      </w:r>
      <w:r>
        <w:rPr>
          <w:b/>
          <w:lang w:val="en-GB"/>
        </w:rPr>
        <w:instrText xml:space="preserve"> SEQ Figure \* ARABIC </w:instrText>
      </w:r>
      <w:r>
        <w:rPr>
          <w:b/>
          <w:lang w:val="en-GB"/>
        </w:rPr>
        <w:fldChar w:fldCharType="separate"/>
      </w:r>
      <w:r>
        <w:rPr>
          <w:b/>
          <w:lang w:val="en-GB"/>
        </w:rPr>
        <w:t>3</w:t>
      </w:r>
      <w:r>
        <w:rPr>
          <w:b/>
          <w:lang w:val="en-GB"/>
        </w:rPr>
        <w:fldChar w:fldCharType="end"/>
      </w:r>
      <w:r>
        <w:rPr>
          <w:b/>
          <w:lang w:val="en-GB"/>
        </w:rPr>
        <w:t>: Product/service Choice Criteria</w:t>
      </w:r>
    </w:p>
    <w:p w14:paraId="02E085DD">
      <w:pPr>
        <w:jc w:val="center"/>
        <w:rPr>
          <w:lang w:val="en-GB"/>
        </w:rPr>
      </w:pPr>
      <w:r>
        <w:rPr>
          <w:lang w:val="en-GB"/>
        </w:rPr>
        <w:t>(Source: Week 4 slide 8)</w:t>
      </w:r>
    </w:p>
    <w:p w14:paraId="7A7C1353">
      <w:pPr>
        <w:rPr>
          <w:lang w:val="en-GB"/>
        </w:rPr>
      </w:pPr>
      <w:r>
        <w:rPr>
          <w:lang w:val="en-GB"/>
        </w:rPr>
        <w:t xml:space="preserve">The practical element can be seen as the smart face mask under Dyson Smart Air Ecosystem will help in solving a major problem. As mentioned previously, UK’s air quality and presence of pollutants can be concerning (IQAir, 2026). Here, the new product under the extension helps people not only to save themselves from poor air quality but also contribute to addressing the issue in general. This way, it builds a practical purpose. It stands out from competitors as they are not offering a similar smart face mask for air purification. </w:t>
      </w:r>
    </w:p>
    <w:p w14:paraId="04FE3F29">
      <w:pPr>
        <w:pStyle w:val="18"/>
        <w:numPr>
          <w:ilvl w:val="0"/>
          <w:numId w:val="2"/>
        </w:numPr>
        <w:rPr>
          <w:b/>
          <w:lang w:val="en-GB"/>
        </w:rPr>
      </w:pPr>
      <w:r>
        <w:rPr>
          <w:b/>
          <w:lang w:val="en-GB"/>
        </w:rPr>
        <w:t>Pricing</w:t>
      </w:r>
    </w:p>
    <w:p w14:paraId="28C9B095">
      <w:pPr>
        <w:rPr>
          <w:lang w:val="en-GB"/>
        </w:rPr>
      </w:pPr>
      <w:r>
        <w:rPr>
          <w:lang w:val="en-GB"/>
        </w:rPr>
        <w:t>Dyson has always been known for being a luxury brand. As mentioned previously, with this new extension, the company plans to position itself in the high quality and high price segment. This means that the brand will promise top quality product while charging premium prices. It will follow the skimming pricing strategy here. This strategy believes in keeping the prices high initially, and then gradually bringing them down based on market conditions (</w:t>
      </w:r>
      <w:r>
        <w:rPr>
          <w:shd w:val="clear" w:color="auto" w:fill="FFFFFF"/>
          <w:lang w:val="en-GB"/>
        </w:rPr>
        <w:t>Lotfi</w:t>
      </w:r>
      <w:r>
        <w:rPr>
          <w:lang w:val="en-GB"/>
        </w:rPr>
        <w:t xml:space="preserve"> </w:t>
      </w:r>
      <w:r>
        <w:rPr>
          <w:i/>
          <w:lang w:val="en-GB"/>
        </w:rPr>
        <w:t>et al</w:t>
      </w:r>
      <w:r>
        <w:rPr>
          <w:lang w:val="en-GB"/>
        </w:rPr>
        <w:t xml:space="preserve">., </w:t>
      </w:r>
      <w:r>
        <w:rPr>
          <w:shd w:val="clear" w:color="auto" w:fill="FFFFFF"/>
          <w:lang w:val="en-GB"/>
        </w:rPr>
        <w:t>2024</w:t>
      </w:r>
      <w:r>
        <w:rPr>
          <w:lang w:val="en-GB"/>
        </w:rPr>
        <w:t xml:space="preserve">). With this, the new brand extension will keep the price high for both the mask and subscription on the app. </w:t>
      </w:r>
    </w:p>
    <w:p w14:paraId="5C880FCE">
      <w:pPr>
        <w:rPr>
          <w:lang w:val="en-GB"/>
        </w:rPr>
      </w:pPr>
      <w:r>
        <w:rPr>
          <w:lang w:val="en-GB"/>
        </w:rPr>
        <w:t xml:space="preserve">With the rising concerns for the environment and air quality, it is expected that customers will be open to premium pricing with the new product. A 2024 PwC study conducted in London found that consumers are willing to spend 9.7% more on sustainable products (PwC, 2024). This product will be promoted as a one-time investment for long-term sustainability and wellness outcomes. </w:t>
      </w:r>
    </w:p>
    <w:p w14:paraId="6AD33D35">
      <w:pPr>
        <w:pStyle w:val="18"/>
        <w:numPr>
          <w:ilvl w:val="0"/>
          <w:numId w:val="2"/>
        </w:numPr>
        <w:rPr>
          <w:b/>
          <w:lang w:val="en-GB"/>
        </w:rPr>
      </w:pPr>
      <w:r>
        <w:rPr>
          <w:b/>
          <w:lang w:val="en-GB"/>
        </w:rPr>
        <w:t>Place</w:t>
      </w:r>
    </w:p>
    <w:p w14:paraId="44DFFF42">
      <w:pPr>
        <w:rPr>
          <w:lang w:val="en-GB"/>
        </w:rPr>
      </w:pPr>
      <w:r>
        <w:rPr>
          <w:lang w:val="en-GB"/>
        </w:rPr>
        <w:t xml:space="preserve">A direct-to-customer (D2C) format will be followed with the new brand extension. Primarily, the product will be available on the official ecommerce website of Dyson and its demo stores across the UK. According to </w:t>
      </w:r>
      <w:r>
        <w:rPr>
          <w:shd w:val="clear" w:color="auto" w:fill="FFFFFF"/>
          <w:lang w:val="en-GB"/>
        </w:rPr>
        <w:t>Kotler</w:t>
      </w:r>
      <w:r>
        <w:rPr>
          <w:lang w:val="en-GB"/>
        </w:rPr>
        <w:t xml:space="preserve"> </w:t>
      </w:r>
      <w:r>
        <w:rPr>
          <w:i/>
          <w:lang w:val="en-GB"/>
        </w:rPr>
        <w:t>et al</w:t>
      </w:r>
      <w:r>
        <w:rPr>
          <w:lang w:val="en-GB"/>
        </w:rPr>
        <w:t>. (</w:t>
      </w:r>
      <w:r>
        <w:rPr>
          <w:shd w:val="clear" w:color="auto" w:fill="FFFFFF"/>
          <w:lang w:val="en-GB"/>
        </w:rPr>
        <w:t>2020</w:t>
      </w:r>
      <w:r>
        <w:rPr>
          <w:lang w:val="en-GB"/>
        </w:rPr>
        <w:t xml:space="preserve">), consumer marketing channels may go through the wholesaler and retailer as intermediaries. With this new product extension, Dyson’s masks will be available on retail electronics stores and other ecommerce portals like Amazon. Customers will receive a brochure with each purchase that includes a QR code to the app and offers guidance to making subscription to the app for utilising all the features. </w:t>
      </w:r>
    </w:p>
    <w:p w14:paraId="60505B1F">
      <w:pPr>
        <w:keepNext/>
        <w:jc w:val="center"/>
        <w:rPr>
          <w:lang w:val="en-GB"/>
        </w:rPr>
      </w:pPr>
      <w:r>
        <w:drawing>
          <wp:inline distT="0" distB="0" distL="0" distR="0">
            <wp:extent cx="3845560" cy="3326130"/>
            <wp:effectExtent l="38100" t="57150" r="116816" b="102276"/>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noChangeArrowheads="1"/>
                    </pic:cNvPicPr>
                  </pic:nvPicPr>
                  <pic:blipFill>
                    <a:blip r:embed="rId15"/>
                    <a:srcRect l="46728" t="33592" r="30619" b="31524"/>
                    <a:stretch>
                      <a:fillRect/>
                    </a:stretch>
                  </pic:blipFill>
                  <pic:spPr>
                    <a:xfrm>
                      <a:off x="0" y="0"/>
                      <a:ext cx="3845584" cy="3326724"/>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05C48D6E">
      <w:pPr>
        <w:jc w:val="center"/>
        <w:rPr>
          <w:b/>
          <w:lang w:val="en-GB"/>
        </w:rPr>
      </w:pPr>
      <w:r>
        <w:rPr>
          <w:b/>
          <w:lang w:val="en-GB"/>
        </w:rPr>
        <w:t xml:space="preserve">Figure </w:t>
      </w:r>
      <w:r>
        <w:rPr>
          <w:b/>
          <w:lang w:val="en-GB"/>
        </w:rPr>
        <w:fldChar w:fldCharType="begin"/>
      </w:r>
      <w:r>
        <w:rPr>
          <w:b/>
          <w:lang w:val="en-GB"/>
        </w:rPr>
        <w:instrText xml:space="preserve"> SEQ Figure \* ARABIC </w:instrText>
      </w:r>
      <w:r>
        <w:rPr>
          <w:b/>
          <w:lang w:val="en-GB"/>
        </w:rPr>
        <w:fldChar w:fldCharType="separate"/>
      </w:r>
      <w:r>
        <w:rPr>
          <w:b/>
          <w:lang w:val="en-GB"/>
        </w:rPr>
        <w:t>4</w:t>
      </w:r>
      <w:r>
        <w:rPr>
          <w:b/>
          <w:lang w:val="en-GB"/>
        </w:rPr>
        <w:fldChar w:fldCharType="end"/>
      </w:r>
      <w:r>
        <w:rPr>
          <w:b/>
          <w:lang w:val="en-GB"/>
        </w:rPr>
        <w:t>: Consumer Marketing Channels</w:t>
      </w:r>
    </w:p>
    <w:p w14:paraId="60726E48">
      <w:pPr>
        <w:jc w:val="center"/>
        <w:rPr>
          <w:b/>
          <w:lang w:val="en-GB"/>
        </w:rPr>
      </w:pPr>
      <w:r>
        <w:rPr>
          <w:lang w:val="en-GB"/>
        </w:rPr>
        <w:t>(Source: Week 5 slide 7)</w:t>
      </w:r>
    </w:p>
    <w:p w14:paraId="20FD9846">
      <w:pPr>
        <w:pStyle w:val="18"/>
        <w:numPr>
          <w:ilvl w:val="0"/>
          <w:numId w:val="2"/>
        </w:numPr>
        <w:rPr>
          <w:b/>
          <w:lang w:val="en-GB"/>
        </w:rPr>
      </w:pPr>
      <w:r>
        <w:rPr>
          <w:b/>
          <w:lang w:val="en-GB"/>
        </w:rPr>
        <w:t>Promotion</w:t>
      </w:r>
    </w:p>
    <w:p w14:paraId="3BC78049">
      <w:r>
        <w:rPr>
          <w:lang w:val="en-GB"/>
        </w:rPr>
        <w:t>For promotion, Dyson will focus on both online and offline methods to attract both the chosen target markets. The push vs pull strategy helps to evaluate whether products are pushed or if consumers are pulled (</w:t>
      </w:r>
      <w:r>
        <w:rPr>
          <w:shd w:val="clear" w:color="auto" w:fill="FFFFFF"/>
        </w:rPr>
        <w:t>Hrelja</w:t>
      </w:r>
      <w:r>
        <w:t xml:space="preserve"> </w:t>
      </w:r>
      <w:r>
        <w:rPr>
          <w:shd w:val="clear" w:color="auto" w:fill="FFFFFF"/>
        </w:rPr>
        <w:t>and Rye</w:t>
      </w:r>
      <w:r>
        <w:t xml:space="preserve">, </w:t>
      </w:r>
      <w:r>
        <w:rPr>
          <w:shd w:val="clear" w:color="auto" w:fill="FFFFFF"/>
        </w:rPr>
        <w:t>2023</w:t>
      </w:r>
      <w:r>
        <w:rPr>
          <w:lang w:val="en-GB"/>
        </w:rPr>
        <w:t>). In this case, the pull strategy will be prioritised with a focus on strong marketing. For digital marketing, Dyson will utilise SEO and PPC ads. They are helpful for gaining brand awareness through relevant keywords and online adverts. Moreover, social media content will be created in the form of reels to highlight the benefits of the mask. Influencer marketing is also beneficial to gain more product awareness (</w:t>
      </w:r>
      <w:r>
        <w:rPr>
          <w:shd w:val="clear" w:color="auto" w:fill="FFFFFF"/>
        </w:rPr>
        <w:t>Pan</w:t>
      </w:r>
      <w:r>
        <w:t xml:space="preserve"> </w:t>
      </w:r>
      <w:r>
        <w:rPr>
          <w:i/>
        </w:rPr>
        <w:t>et al</w:t>
      </w:r>
      <w:r>
        <w:t xml:space="preserve">., </w:t>
      </w:r>
      <w:r>
        <w:rPr>
          <w:shd w:val="clear" w:color="auto" w:fill="FFFFFF"/>
        </w:rPr>
        <w:t>2025</w:t>
      </w:r>
      <w:r>
        <w:rPr>
          <w:lang w:val="en-GB"/>
        </w:rPr>
        <w:t xml:space="preserve">). Dyson can do paid partnerships with UK-based influencers. </w:t>
      </w:r>
    </w:p>
    <w:p w14:paraId="6F91359A">
      <w:r>
        <w:rPr>
          <w:lang w:val="en-GB"/>
        </w:rPr>
        <w:t>For offline marketing, the focus of Dyson will be on TV and print media advertising. It will create effective TV advertisements and promote the brand extension on billboards. Celebrity endorsements are often beneficial to attract people from different demographics (</w:t>
      </w:r>
      <w:r>
        <w:rPr>
          <w:shd w:val="clear" w:color="auto" w:fill="FFFFFF"/>
        </w:rPr>
        <w:t>Al Mamun</w:t>
      </w:r>
      <w:r>
        <w:t xml:space="preserve"> </w:t>
      </w:r>
      <w:r>
        <w:rPr>
          <w:i/>
        </w:rPr>
        <w:t>et al</w:t>
      </w:r>
      <w:r>
        <w:t xml:space="preserve">., </w:t>
      </w:r>
      <w:r>
        <w:rPr>
          <w:shd w:val="clear" w:color="auto" w:fill="FFFFFF"/>
        </w:rPr>
        <w:t>2023</w:t>
      </w:r>
      <w:r>
        <w:rPr>
          <w:lang w:val="en-GB"/>
        </w:rPr>
        <w:t xml:space="preserve">). Dyson will invest in these. Besides TV adverts, billboards and magazines will be prioritised to showcase the USP of the product. </w:t>
      </w:r>
    </w:p>
    <w:p w14:paraId="30C240EB">
      <w:pPr>
        <w:pStyle w:val="18"/>
        <w:numPr>
          <w:ilvl w:val="0"/>
          <w:numId w:val="2"/>
        </w:numPr>
        <w:rPr>
          <w:b/>
          <w:lang w:val="en-GB"/>
        </w:rPr>
      </w:pPr>
      <w:r>
        <w:rPr>
          <w:b/>
          <w:lang w:val="en-GB"/>
        </w:rPr>
        <w:t>People</w:t>
      </w:r>
    </w:p>
    <w:p w14:paraId="27414779">
      <w:pPr>
        <w:rPr>
          <w:lang w:val="en-GB"/>
        </w:rPr>
      </w:pPr>
      <w:r>
        <w:rPr>
          <w:lang w:val="en-GB"/>
        </w:rPr>
        <w:t>Dyson already has a strong and skilled team to handle the operations. Currently, it is operating with over 14,000 employees in across 65 countries (</w:t>
      </w:r>
      <w:r>
        <w:t>Dyson, 2026c</w:t>
      </w:r>
      <w:r>
        <w:rPr>
          <w:lang w:val="en-GB"/>
        </w:rPr>
        <w:t>). Moreover, the company has also developed the Dyson Institute of Technology, which offers training and guidance to employees regarding the latest innovative production ideas (</w:t>
      </w:r>
      <w:r>
        <w:t>Dyson, 2026d</w:t>
      </w:r>
      <w:r>
        <w:rPr>
          <w:lang w:val="en-GB"/>
        </w:rPr>
        <w:t xml:space="preserve">). For this new brand extension, employees will be provided with training regarding AI, which is the primary technology to be used. Here, the company may integrate AI experts and marketing advisers when working on the development and launch of the brand extension. </w:t>
      </w:r>
    </w:p>
    <w:p w14:paraId="0E5FA71B">
      <w:pPr>
        <w:pStyle w:val="18"/>
        <w:numPr>
          <w:ilvl w:val="0"/>
          <w:numId w:val="2"/>
        </w:numPr>
        <w:rPr>
          <w:b/>
          <w:lang w:val="en-GB"/>
        </w:rPr>
      </w:pPr>
      <w:r>
        <w:rPr>
          <w:b/>
          <w:lang w:val="en-GB"/>
        </w:rPr>
        <w:t>Process</w:t>
      </w:r>
    </w:p>
    <w:p w14:paraId="069A687D">
      <w:r>
        <w:rPr>
          <w:lang w:val="en-GB"/>
        </w:rPr>
        <w:t>Dyson stands out for its efficient process and service flow. Customers have the option of making purchases from either the official website or offline stores. They can also track the order status on the website, particularly for online purchases (</w:t>
      </w:r>
      <w:r>
        <w:t>Dyson, 2026e</w:t>
      </w:r>
      <w:r>
        <w:rPr>
          <w:lang w:val="en-GB"/>
        </w:rPr>
        <w:t>). Besides, the company also has strong customer services, allowing customers to enter serial number of their machines to launch complaints (</w:t>
      </w:r>
      <w:r>
        <w:t>Dyson, 2026f</w:t>
      </w:r>
      <w:r>
        <w:rPr>
          <w:lang w:val="en-GB"/>
        </w:rPr>
        <w:t>). With the new brand extension, the focus will be on customised services. AI-based chatbots and platforms help to understand specific problems of customers based on their purchase history (</w:t>
      </w:r>
      <w:r>
        <w:rPr>
          <w:shd w:val="clear" w:color="auto" w:fill="FFFFFF"/>
        </w:rPr>
        <w:t>Blümel</w:t>
      </w:r>
      <w:r>
        <w:t xml:space="preserve"> </w:t>
      </w:r>
      <w:r>
        <w:rPr>
          <w:i/>
        </w:rPr>
        <w:t>et al</w:t>
      </w:r>
      <w:r>
        <w:t xml:space="preserve">., </w:t>
      </w:r>
      <w:r>
        <w:rPr>
          <w:shd w:val="clear" w:color="auto" w:fill="FFFFFF"/>
        </w:rPr>
        <w:t>2024</w:t>
      </w:r>
      <w:r>
        <w:rPr>
          <w:lang w:val="en-GB"/>
        </w:rPr>
        <w:t xml:space="preserve">). This will be used in Dyson to make sure that customers receive top-notch services for both the mask and subscription with the app. </w:t>
      </w:r>
    </w:p>
    <w:p w14:paraId="6CA7474B">
      <w:pPr>
        <w:pStyle w:val="18"/>
        <w:numPr>
          <w:ilvl w:val="0"/>
          <w:numId w:val="2"/>
        </w:numPr>
        <w:rPr>
          <w:b/>
          <w:lang w:val="en-GB"/>
        </w:rPr>
      </w:pPr>
      <w:r>
        <w:rPr>
          <w:b/>
          <w:lang w:val="en-GB"/>
        </w:rPr>
        <w:t xml:space="preserve">Physical evidence </w:t>
      </w:r>
    </w:p>
    <w:p w14:paraId="6866F7D0">
      <w:pPr>
        <w:rPr>
          <w:lang w:val="en-GB"/>
        </w:rPr>
      </w:pPr>
      <w:r>
        <w:rPr>
          <w:lang w:val="en-GB"/>
        </w:rPr>
        <w:t>Dyson already has multiple demo stores across the UK, which will be prioritised for the new brand extension. The stores stand out for their unique décor and constant presence of customer service providers (</w:t>
      </w:r>
      <w:r>
        <w:t>Dyson, 2026g</w:t>
      </w:r>
      <w:r>
        <w:rPr>
          <w:lang w:val="en-GB"/>
        </w:rPr>
        <w:t>). Besides, the digital presence is also evident with its ecommerce platform. The company also offers a loyalty program to reward points (</w:t>
      </w:r>
      <w:r>
        <w:t>Dyson, 2026h</w:t>
      </w:r>
      <w:r>
        <w:rPr>
          <w:lang w:val="en-GB"/>
        </w:rPr>
        <w:t xml:space="preserve">). For the new brand extension, the loyalty program will be extended, allowing customers to earn reward points on each purchase and participate in exclusive events and campaigns. They will also be provided with top-notch recyclable packaging materials for the masks to ensure a sustainable angle. </w:t>
      </w:r>
    </w:p>
    <w:p w14:paraId="513DD23C">
      <w:pPr>
        <w:pStyle w:val="2"/>
        <w:rPr>
          <w:lang w:val="en-GB"/>
        </w:rPr>
      </w:pPr>
      <w:r>
        <w:rPr>
          <w:lang w:val="en-GB"/>
        </w:rPr>
        <w:t>Element 4: Reflection</w:t>
      </w:r>
    </w:p>
    <w:p w14:paraId="4BB7224F">
      <w:r>
        <w:rPr>
          <w:lang w:val="en-GB"/>
        </w:rPr>
        <w:t>A reflective account is essential to gain insights from a past experience. Gibbs’ reflective cycle is a relevant model that uses six stages to reflect upon experiences (</w:t>
      </w:r>
      <w:r>
        <w:rPr>
          <w:shd w:val="clear" w:color="auto" w:fill="FFFFFF"/>
        </w:rPr>
        <w:t>Ocampo</w:t>
      </w:r>
      <w:r>
        <w:t xml:space="preserve"> </w:t>
      </w:r>
      <w:r>
        <w:rPr>
          <w:i/>
        </w:rPr>
        <w:t>et al</w:t>
      </w:r>
      <w:r>
        <w:t xml:space="preserve">., </w:t>
      </w:r>
      <w:r>
        <w:rPr>
          <w:shd w:val="clear" w:color="auto" w:fill="FFFFFF"/>
        </w:rPr>
        <w:t>2025</w:t>
      </w:r>
      <w:r>
        <w:rPr>
          <w:lang w:val="en-GB"/>
        </w:rPr>
        <w:t>). Here is a detailed reflection on my experience of completing this portfolio:</w:t>
      </w:r>
    </w:p>
    <w:p w14:paraId="4BAC1AB9">
      <w:pPr>
        <w:pStyle w:val="18"/>
        <w:numPr>
          <w:ilvl w:val="0"/>
          <w:numId w:val="2"/>
        </w:numPr>
        <w:rPr>
          <w:b/>
          <w:lang w:val="en-GB"/>
        </w:rPr>
      </w:pPr>
      <w:r>
        <w:rPr>
          <w:b/>
          <w:lang w:val="en-GB"/>
        </w:rPr>
        <w:t>Description</w:t>
      </w:r>
    </w:p>
    <w:p w14:paraId="248A05DF">
      <w:pPr>
        <w:rPr>
          <w:lang w:val="en-GB"/>
        </w:rPr>
      </w:pPr>
      <w:r>
        <w:rPr>
          <w:lang w:val="en-GB"/>
        </w:rPr>
        <w:t xml:space="preserve">For this portfolio, I had to identify and explore a brand extension idea. I chose Dyson, and developed a unique brand extension named Dyson Smart Air Ecosystem, which offers a smart face mask that uses AI and air purification system to filter air pollutants in real time as users are travelling. I had to give a poster presentation in the first part, while the remaining parts of the portfolio focused on an STDP analysis for this brand extension idea and a 7Ps marketing mix. </w:t>
      </w:r>
    </w:p>
    <w:p w14:paraId="5E100D9B">
      <w:pPr>
        <w:pStyle w:val="18"/>
        <w:numPr>
          <w:ilvl w:val="0"/>
          <w:numId w:val="2"/>
        </w:numPr>
        <w:rPr>
          <w:b/>
          <w:lang w:val="en-GB"/>
        </w:rPr>
      </w:pPr>
      <w:r>
        <w:rPr>
          <w:b/>
          <w:lang w:val="en-GB"/>
        </w:rPr>
        <w:t>Feelings</w:t>
      </w:r>
    </w:p>
    <w:p w14:paraId="28E6EC18">
      <w:pPr>
        <w:rPr>
          <w:lang w:val="en-GB"/>
        </w:rPr>
      </w:pPr>
      <w:r>
        <w:rPr>
          <w:lang w:val="en-GB"/>
        </w:rPr>
        <w:t xml:space="preserve">I initially felt quite nervous for the requirements for this portfolio and the poster presentation. However, my confidence boosted as I started conducting my personal research and interacted with the peers. Moreover, as I worked on the content of the poster, I felt more confident about presenting it, as I knew that it contained relevant and creative information. The lecture materials and class discussions further boosted my confidence as connected them to my portfolio. Now that I have completed it, I have better understanding of marketing and management concepts. </w:t>
      </w:r>
    </w:p>
    <w:p w14:paraId="3DFC2711">
      <w:pPr>
        <w:pStyle w:val="18"/>
        <w:numPr>
          <w:ilvl w:val="0"/>
          <w:numId w:val="2"/>
        </w:numPr>
        <w:rPr>
          <w:b/>
          <w:lang w:val="en-GB"/>
        </w:rPr>
      </w:pPr>
      <w:r>
        <w:rPr>
          <w:b/>
          <w:lang w:val="en-GB"/>
        </w:rPr>
        <w:t>Evaluation</w:t>
      </w:r>
    </w:p>
    <w:p w14:paraId="0D73828F">
      <w:r>
        <w:rPr>
          <w:lang w:val="en-GB"/>
        </w:rPr>
        <w:t>There were some parts of the experience that were highly positive. For instance, I was patient and flexible with my approach. Research skills are beneficial to learn about something new and work on it. I was able to utilise this skill to get a primary understanding of the subject (</w:t>
      </w:r>
      <w:r>
        <w:rPr>
          <w:shd w:val="clear" w:color="auto" w:fill="FFFFFF"/>
        </w:rPr>
        <w:t>Maddens</w:t>
      </w:r>
      <w:r>
        <w:t xml:space="preserve"> </w:t>
      </w:r>
      <w:r>
        <w:rPr>
          <w:i/>
        </w:rPr>
        <w:t>et al</w:t>
      </w:r>
      <w:r>
        <w:t xml:space="preserve">., </w:t>
      </w:r>
      <w:r>
        <w:rPr>
          <w:shd w:val="clear" w:color="auto" w:fill="FFFFFF"/>
        </w:rPr>
        <w:t>2023</w:t>
      </w:r>
      <w:r>
        <w:rPr>
          <w:lang w:val="en-GB"/>
        </w:rPr>
        <w:t>). Moreover, strong critical thinking skills are essential for individuals to get familiar with concepts and get deeper understanding (</w:t>
      </w:r>
      <w:r>
        <w:rPr>
          <w:shd w:val="clear" w:color="auto" w:fill="FFFFFF"/>
        </w:rPr>
        <w:t>Ho</w:t>
      </w:r>
      <w:r>
        <w:t xml:space="preserve"> </w:t>
      </w:r>
      <w:r>
        <w:rPr>
          <w:i/>
        </w:rPr>
        <w:t>et al</w:t>
      </w:r>
      <w:r>
        <w:t xml:space="preserve">., </w:t>
      </w:r>
      <w:r>
        <w:rPr>
          <w:shd w:val="clear" w:color="auto" w:fill="FFFFFF"/>
        </w:rPr>
        <w:t>2023</w:t>
      </w:r>
      <w:r>
        <w:rPr>
          <w:lang w:val="en-GB"/>
        </w:rPr>
        <w:t xml:space="preserve">). This was another strong skill for me, with which I made sure to think critically of my brand extension idea. I could also get into the depths of the databases like the official website of Dyson, peer-reviewed articles and journals, news articles and other reliable websites. </w:t>
      </w:r>
    </w:p>
    <w:p w14:paraId="23645116">
      <w:pPr>
        <w:pStyle w:val="18"/>
        <w:numPr>
          <w:ilvl w:val="0"/>
          <w:numId w:val="2"/>
        </w:numPr>
        <w:rPr>
          <w:b/>
          <w:lang w:val="en-GB"/>
        </w:rPr>
      </w:pPr>
      <w:r>
        <w:rPr>
          <w:b/>
          <w:lang w:val="en-GB"/>
        </w:rPr>
        <w:t>Analysis</w:t>
      </w:r>
    </w:p>
    <w:p w14:paraId="5A87881D">
      <w:r>
        <w:rPr>
          <w:lang w:val="en-GB"/>
        </w:rPr>
        <w:t>However, some aspects of the experience went poorly. For instance, time management is essential for individuals to balance multiple activities (</w:t>
      </w:r>
      <w:r>
        <w:rPr>
          <w:shd w:val="clear" w:color="auto" w:fill="FFFFFF"/>
        </w:rPr>
        <w:t>van Sluijs</w:t>
      </w:r>
      <w:r>
        <w:t xml:space="preserve"> </w:t>
      </w:r>
      <w:r>
        <w:rPr>
          <w:shd w:val="clear" w:color="auto" w:fill="FFFFFF"/>
        </w:rPr>
        <w:t>and Matzat</w:t>
      </w:r>
      <w:r>
        <w:t xml:space="preserve">, </w:t>
      </w:r>
      <w:r>
        <w:rPr>
          <w:shd w:val="clear" w:color="auto" w:fill="FFFFFF"/>
        </w:rPr>
        <w:t>2024</w:t>
      </w:r>
      <w:r>
        <w:rPr>
          <w:lang w:val="en-GB"/>
        </w:rPr>
        <w:t>). I struggled to manage my time between classes and the portfolio development. This affected the quality of my work to some extent. Moreover, strong confidence and communication skills are essential for individuals to present work before an audience (</w:t>
      </w:r>
      <w:r>
        <w:rPr>
          <w:shd w:val="clear" w:color="auto" w:fill="FFFFFF"/>
        </w:rPr>
        <w:t>Ramadan Elbaioumi Shaddad</w:t>
      </w:r>
      <w:r>
        <w:t xml:space="preserve"> </w:t>
      </w:r>
      <w:r>
        <w:rPr>
          <w:shd w:val="clear" w:color="auto" w:fill="FFFFFF"/>
        </w:rPr>
        <w:t>and Jember</w:t>
      </w:r>
      <w:r>
        <w:t xml:space="preserve">, </w:t>
      </w:r>
      <w:r>
        <w:rPr>
          <w:shd w:val="clear" w:color="auto" w:fill="FFFFFF"/>
        </w:rPr>
        <w:t>2024</w:t>
      </w:r>
      <w:r>
        <w:rPr>
          <w:lang w:val="en-GB"/>
        </w:rPr>
        <w:t xml:space="preserve">). However, despite my ability to create the poster effectively, I felt nervous when presenting it. This affected the quality of my presentation, as I struggled to make eye contact during the process. </w:t>
      </w:r>
    </w:p>
    <w:p w14:paraId="1C7DB98C">
      <w:pPr>
        <w:pStyle w:val="18"/>
        <w:numPr>
          <w:ilvl w:val="0"/>
          <w:numId w:val="2"/>
        </w:numPr>
        <w:rPr>
          <w:b/>
          <w:lang w:val="en-GB"/>
        </w:rPr>
      </w:pPr>
      <w:r>
        <w:rPr>
          <w:b/>
          <w:lang w:val="en-GB"/>
        </w:rPr>
        <w:t>Conclusion</w:t>
      </w:r>
    </w:p>
    <w:p w14:paraId="1E43F0C0">
      <w:pPr>
        <w:rPr>
          <w:lang w:val="en-GB"/>
        </w:rPr>
      </w:pPr>
      <w:r>
        <w:rPr>
          <w:lang w:val="en-GB"/>
        </w:rPr>
        <w:t xml:space="preserve">The reflective account helped me understand the experience of working on this portfolio. I found that I have strong skills of critical thinking and research. However, I have limited time management and communication skills, which have undermined the quality of my portfolio and presentation. These areas need to be improved in future. </w:t>
      </w:r>
    </w:p>
    <w:p w14:paraId="2F77B4C4">
      <w:pPr>
        <w:pStyle w:val="18"/>
        <w:numPr>
          <w:ilvl w:val="0"/>
          <w:numId w:val="2"/>
        </w:numPr>
        <w:rPr>
          <w:b/>
          <w:lang w:val="en-GB"/>
        </w:rPr>
      </w:pPr>
      <w:r>
        <w:rPr>
          <w:b/>
          <w:lang w:val="en-GB"/>
        </w:rPr>
        <w:t>Action plan</w:t>
      </w:r>
    </w:p>
    <w:p w14:paraId="1E5E93D4">
      <w:pPr>
        <w:rPr>
          <w:lang w:val="en-GB"/>
        </w:rPr>
      </w:pPr>
      <w:r>
        <w:rPr>
          <w:lang w:val="en-GB"/>
        </w:rPr>
        <w:t xml:space="preserve">For improving my time management skills, I plan to utilise clear routines and timelines for my activities. With this, I will be able to avoid procrastination and meet the deadlines more effectively. Furthermore, for confidence and communication skills, I plan to take crash courses and watch relevant videos. I will also practice public speaking by taking initiatives in team tasks. </w:t>
      </w:r>
      <w:r>
        <w:rPr>
          <w:lang w:val="en-GB"/>
        </w:rPr>
        <w:br w:type="page"/>
      </w:r>
    </w:p>
    <w:p w14:paraId="2D59F094">
      <w:pPr>
        <w:pStyle w:val="2"/>
        <w:rPr>
          <w:lang w:val="en-GB"/>
        </w:rPr>
      </w:pPr>
      <w:r>
        <w:rPr>
          <w:lang w:val="en-GB"/>
        </w:rPr>
        <w:t>References</w:t>
      </w:r>
    </w:p>
    <w:p w14:paraId="6E6F18F5">
      <w:r>
        <w:rPr>
          <w:shd w:val="clear" w:color="auto" w:fill="FFFFFF"/>
        </w:rPr>
        <w:t>Al Mamun, A., Naznen, F., Yang, Q., Ali, M.H. and Hashim, N.M.H.N. (2023) ‘Modelling the significance of celebrity endorsement and consumer interest on attitude, purchase intention, and willingness to pay a premium price for green skincare products’, </w:t>
      </w:r>
      <w:r>
        <w:rPr>
          <w:i/>
          <w:iCs/>
          <w:shd w:val="clear" w:color="auto" w:fill="FFFFFF"/>
        </w:rPr>
        <w:t>Heliyon</w:t>
      </w:r>
      <w:r>
        <w:rPr>
          <w:shd w:val="clear" w:color="auto" w:fill="FFFFFF"/>
        </w:rPr>
        <w:t>, </w:t>
      </w:r>
      <w:r>
        <w:t>9</w:t>
      </w:r>
      <w:r>
        <w:rPr>
          <w:shd w:val="clear" w:color="auto" w:fill="FFFFFF"/>
        </w:rPr>
        <w:t>(6), pp.1-16.</w:t>
      </w:r>
      <w:r>
        <w:t xml:space="preserve"> </w:t>
      </w:r>
      <w:r>
        <w:fldChar w:fldCharType="begin"/>
      </w:r>
      <w:r>
        <w:instrText xml:space="preserve"> HYPERLINK "https://doi.org/10.1016/j.heliyon.2023.e16765" </w:instrText>
      </w:r>
      <w:r>
        <w:fldChar w:fldCharType="separate"/>
      </w:r>
      <w:r>
        <w:rPr>
          <w:rStyle w:val="12"/>
        </w:rPr>
        <w:t>https://doi.org/10.1016/j.heliyon.2023.e16765</w:t>
      </w:r>
      <w:r>
        <w:rPr>
          <w:rStyle w:val="12"/>
        </w:rPr>
        <w:fldChar w:fldCharType="end"/>
      </w:r>
      <w:r>
        <w:t xml:space="preserve"> </w:t>
      </w:r>
    </w:p>
    <w:p w14:paraId="371D5BE0">
      <w:pPr>
        <w:rPr>
          <w:shd w:val="clear" w:color="auto" w:fill="FFFFFF"/>
        </w:rPr>
      </w:pPr>
      <w:r>
        <w:rPr>
          <w:shd w:val="clear" w:color="auto" w:fill="FFFFFF"/>
        </w:rPr>
        <w:t>Blümel, J.H., Zaki, M. and Bohné, T. (2024) ‘Personal touch in digital customer service: a conceptual framework of relational personalization for conversational AI’, </w:t>
      </w:r>
      <w:r>
        <w:rPr>
          <w:i/>
          <w:iCs/>
          <w:shd w:val="clear" w:color="auto" w:fill="FFFFFF"/>
        </w:rPr>
        <w:t>Journal of Service Theory and Practice</w:t>
      </w:r>
      <w:r>
        <w:rPr>
          <w:shd w:val="clear" w:color="auto" w:fill="FFFFFF"/>
        </w:rPr>
        <w:t>, </w:t>
      </w:r>
      <w:r>
        <w:t>34</w:t>
      </w:r>
      <w:r>
        <w:rPr>
          <w:shd w:val="clear" w:color="auto" w:fill="FFFFFF"/>
        </w:rPr>
        <w:t>(1), pp.33-65.</w:t>
      </w:r>
      <w:r>
        <w:t xml:space="preserve"> </w:t>
      </w:r>
      <w:r>
        <w:fldChar w:fldCharType="begin"/>
      </w:r>
      <w:r>
        <w:instrText xml:space="preserve"> HYPERLINK "https://doi.org/10.1108/JSTP-03-2023-0098" </w:instrText>
      </w:r>
      <w:r>
        <w:fldChar w:fldCharType="separate"/>
      </w:r>
      <w:r>
        <w:rPr>
          <w:rStyle w:val="12"/>
          <w:shd w:val="clear" w:color="auto" w:fill="FFFFFF"/>
        </w:rPr>
        <w:t>https://doi.org/10.1108/JSTP-03-2023-0098</w:t>
      </w:r>
      <w:r>
        <w:rPr>
          <w:rStyle w:val="12"/>
          <w:shd w:val="clear" w:color="auto" w:fill="FFFFFF"/>
        </w:rPr>
        <w:fldChar w:fldCharType="end"/>
      </w:r>
      <w:r>
        <w:rPr>
          <w:shd w:val="clear" w:color="auto" w:fill="FFFFFF"/>
        </w:rPr>
        <w:t xml:space="preserve"> </w:t>
      </w:r>
    </w:p>
    <w:p w14:paraId="7C5A775D">
      <w:pPr>
        <w:rPr>
          <w:lang w:val="en-GB"/>
        </w:rPr>
      </w:pPr>
      <w:r>
        <w:rPr>
          <w:lang w:val="en-GB"/>
        </w:rPr>
        <w:t>Dyson (2026a) </w:t>
      </w:r>
      <w:r>
        <w:rPr>
          <w:i/>
          <w:lang w:val="en-GB"/>
        </w:rPr>
        <w:t>Official Dyson® Website | Shop Dyson.com for Exclusive Savings</w:t>
      </w:r>
      <w:r>
        <w:rPr>
          <w:lang w:val="en-GB"/>
        </w:rPr>
        <w:t xml:space="preserve">. Available at: </w:t>
      </w:r>
      <w:r>
        <w:fldChar w:fldCharType="begin"/>
      </w:r>
      <w:r>
        <w:instrText xml:space="preserve"> HYPERLINK "https://www.dyson.com/en" </w:instrText>
      </w:r>
      <w:r>
        <w:fldChar w:fldCharType="separate"/>
      </w:r>
      <w:r>
        <w:rPr>
          <w:rStyle w:val="12"/>
          <w:lang w:val="en-GB"/>
        </w:rPr>
        <w:t>https://www.dyson.com/en</w:t>
      </w:r>
      <w:r>
        <w:rPr>
          <w:rStyle w:val="12"/>
          <w:lang w:val="en-GB"/>
        </w:rPr>
        <w:fldChar w:fldCharType="end"/>
      </w:r>
      <w:r>
        <w:t xml:space="preserve"> </w:t>
      </w:r>
      <w:r>
        <w:rPr>
          <w:lang w:val="en-GB"/>
        </w:rPr>
        <w:t>(Accessed: 1 April 2026).</w:t>
      </w:r>
    </w:p>
    <w:p w14:paraId="35A22691">
      <w:pPr>
        <w:rPr>
          <w:lang w:val="en-GB"/>
        </w:rPr>
      </w:pPr>
      <w:r>
        <w:rPr>
          <w:lang w:val="en-GB"/>
        </w:rPr>
        <w:t>Dyson (2026b) </w:t>
      </w:r>
      <w:r>
        <w:rPr>
          <w:i/>
          <w:iCs/>
          <w:lang w:val="en-GB"/>
        </w:rPr>
        <w:t>Sustainability at Dyson</w:t>
      </w:r>
      <w:r>
        <w:rPr>
          <w:lang w:val="en-GB"/>
        </w:rPr>
        <w:t xml:space="preserve">. Available at: </w:t>
      </w:r>
      <w:r>
        <w:fldChar w:fldCharType="begin"/>
      </w:r>
      <w:r>
        <w:instrText xml:space="preserve"> HYPERLINK "https://www.dyson.com/sustainability" </w:instrText>
      </w:r>
      <w:r>
        <w:fldChar w:fldCharType="separate"/>
      </w:r>
      <w:r>
        <w:rPr>
          <w:rStyle w:val="12"/>
          <w:lang w:val="en-GB"/>
        </w:rPr>
        <w:t>https://www.dyson.com/sustainability</w:t>
      </w:r>
      <w:r>
        <w:rPr>
          <w:rStyle w:val="12"/>
          <w:lang w:val="en-GB"/>
        </w:rPr>
        <w:fldChar w:fldCharType="end"/>
      </w:r>
      <w:r>
        <w:rPr>
          <w:lang w:val="en-GB"/>
        </w:rPr>
        <w:t xml:space="preserve"> (Accessed: 1 April 2026).</w:t>
      </w:r>
    </w:p>
    <w:p w14:paraId="28AE6537">
      <w:r>
        <w:t>Dyson (2026c) </w:t>
      </w:r>
      <w:r>
        <w:rPr>
          <w:i/>
          <w:iCs/>
        </w:rPr>
        <w:t>Inside Dyson</w:t>
      </w:r>
      <w:r>
        <w:t xml:space="preserve">. Available at: </w:t>
      </w:r>
      <w:r>
        <w:fldChar w:fldCharType="begin"/>
      </w:r>
      <w:r>
        <w:instrText xml:space="preserve"> HYPERLINK "https://www.dyson.com/discover/inside-dyson" </w:instrText>
      </w:r>
      <w:r>
        <w:fldChar w:fldCharType="separate"/>
      </w:r>
      <w:r>
        <w:rPr>
          <w:rStyle w:val="12"/>
        </w:rPr>
        <w:t>https://www.dyson.com/discover/inside-dyson</w:t>
      </w:r>
      <w:r>
        <w:rPr>
          <w:rStyle w:val="12"/>
        </w:rPr>
        <w:fldChar w:fldCharType="end"/>
      </w:r>
      <w:r>
        <w:t xml:space="preserve"> (Accessed: 4 April 2026).</w:t>
      </w:r>
    </w:p>
    <w:p w14:paraId="456DAEF8">
      <w:r>
        <w:t>Dyson (2026d) </w:t>
      </w:r>
      <w:r>
        <w:rPr>
          <w:i/>
          <w:iCs/>
        </w:rPr>
        <w:t>The future of engineering</w:t>
      </w:r>
      <w:r>
        <w:t xml:space="preserve">. Available at: </w:t>
      </w:r>
      <w:r>
        <w:fldChar w:fldCharType="begin"/>
      </w:r>
      <w:r>
        <w:instrText xml:space="preserve"> HYPERLINK "https://www.dyson.com/inside-dyson/community/dyson-future-of-engineering" </w:instrText>
      </w:r>
      <w:r>
        <w:fldChar w:fldCharType="separate"/>
      </w:r>
      <w:r>
        <w:rPr>
          <w:rStyle w:val="12"/>
        </w:rPr>
        <w:t>https://www.dyson.com/inside-dyson/community/dyson-future-of-engineering</w:t>
      </w:r>
      <w:r>
        <w:rPr>
          <w:rStyle w:val="12"/>
        </w:rPr>
        <w:fldChar w:fldCharType="end"/>
      </w:r>
      <w:r>
        <w:t xml:space="preserve"> (Accessed: 4 April 2026).</w:t>
      </w:r>
    </w:p>
    <w:p w14:paraId="1BDE3E95">
      <w:r>
        <w:t>Dyson (2026e) </w:t>
      </w:r>
      <w:r>
        <w:rPr>
          <w:i/>
        </w:rPr>
        <w:t>Order Status. Dyson vacuum cleaners, hair dryers and stylers, fans, humidifiers, hand dryers and lighting</w:t>
      </w:r>
      <w:r>
        <w:t xml:space="preserve">. Available at: </w:t>
      </w:r>
      <w:r>
        <w:fldChar w:fldCharType="begin"/>
      </w:r>
      <w:r>
        <w:instrText xml:space="preserve"> HYPERLINK "https://www.dyson.com/order-status" </w:instrText>
      </w:r>
      <w:r>
        <w:fldChar w:fldCharType="separate"/>
      </w:r>
      <w:r>
        <w:rPr>
          <w:rStyle w:val="12"/>
        </w:rPr>
        <w:t>https://www.dyson.com/order-status</w:t>
      </w:r>
      <w:r>
        <w:rPr>
          <w:rStyle w:val="12"/>
        </w:rPr>
        <w:fldChar w:fldCharType="end"/>
      </w:r>
      <w:r>
        <w:t xml:space="preserve"> (Accessed: 4 April 2026).</w:t>
      </w:r>
    </w:p>
    <w:p w14:paraId="38138F7B">
      <w:r>
        <w:t>Dyson (2026f) </w:t>
      </w:r>
      <w:r>
        <w:rPr>
          <w:i/>
          <w:iCs/>
        </w:rPr>
        <w:t>Support</w:t>
      </w:r>
      <w:r>
        <w:t xml:space="preserve">. Available at: </w:t>
      </w:r>
      <w:r>
        <w:fldChar w:fldCharType="begin"/>
      </w:r>
      <w:r>
        <w:instrText xml:space="preserve"> HYPERLINK "https://support.dyson.in/supporthome.aspx?utm_redirect=dyson.com%2Fsupport" </w:instrText>
      </w:r>
      <w:r>
        <w:fldChar w:fldCharType="separate"/>
      </w:r>
      <w:r>
        <w:rPr>
          <w:rStyle w:val="12"/>
        </w:rPr>
        <w:t>https://support.dyson.in/supporthome.aspx?utm_redirect=dyson.com%2Fsupport</w:t>
      </w:r>
      <w:r>
        <w:rPr>
          <w:rStyle w:val="12"/>
        </w:rPr>
        <w:fldChar w:fldCharType="end"/>
      </w:r>
      <w:r>
        <w:t xml:space="preserve"> (Accessed: 4 April 2026).</w:t>
      </w:r>
    </w:p>
    <w:p w14:paraId="617421BF">
      <w:r>
        <w:t>Dyson (2026g) </w:t>
      </w:r>
      <w:r>
        <w:rPr>
          <w:i/>
          <w:iCs/>
        </w:rPr>
        <w:t>Reinventing retail - the Dyson way</w:t>
      </w:r>
      <w:r>
        <w:t xml:space="preserve">. Available at: </w:t>
      </w:r>
      <w:r>
        <w:fldChar w:fldCharType="begin"/>
      </w:r>
      <w:r>
        <w:instrText xml:space="preserve"> HYPERLINK "https://www.dyson.co.uk/discover/archive/2021/reinventing-retail-virtual-dyson-demo-store" </w:instrText>
      </w:r>
      <w:r>
        <w:fldChar w:fldCharType="separate"/>
      </w:r>
      <w:r>
        <w:rPr>
          <w:rStyle w:val="12"/>
        </w:rPr>
        <w:t>https://www.dyson.co.uk/discover/archive/2021/reinventing-retail-virtual-dyson-demo-store</w:t>
      </w:r>
      <w:r>
        <w:rPr>
          <w:rStyle w:val="12"/>
        </w:rPr>
        <w:fldChar w:fldCharType="end"/>
      </w:r>
      <w:r>
        <w:t xml:space="preserve"> (Accessed: 4 April 2026).</w:t>
      </w:r>
    </w:p>
    <w:p w14:paraId="3F3F81D7">
      <w:r>
        <w:t>Dyson (2026h) </w:t>
      </w:r>
      <w:r>
        <w:rPr>
          <w:i/>
          <w:iCs/>
        </w:rPr>
        <w:t>Dyson Owner Rewards</w:t>
      </w:r>
      <w:r>
        <w:t xml:space="preserve">. </w:t>
      </w:r>
      <w:r>
        <w:rPr>
          <w:i/>
          <w:iCs/>
        </w:rPr>
        <w:t>Save 20% on selected Dyson technology</w:t>
      </w:r>
      <w:r>
        <w:t xml:space="preserve">. Available at: </w:t>
      </w:r>
      <w:r>
        <w:fldChar w:fldCharType="begin"/>
      </w:r>
      <w:r>
        <w:instrText xml:space="preserve"> HYPERLINK "https://www.dyson.com/owner-rewards/select-your-machine" </w:instrText>
      </w:r>
      <w:r>
        <w:fldChar w:fldCharType="separate"/>
      </w:r>
      <w:r>
        <w:rPr>
          <w:rStyle w:val="12"/>
        </w:rPr>
        <w:t>https://www.dyson.com/owner-rewards/select-your-machine</w:t>
      </w:r>
      <w:r>
        <w:rPr>
          <w:rStyle w:val="12"/>
        </w:rPr>
        <w:fldChar w:fldCharType="end"/>
      </w:r>
      <w:r>
        <w:t xml:space="preserve"> (Accessed: 4 April 2026).</w:t>
      </w:r>
    </w:p>
    <w:p w14:paraId="0264ECB3">
      <w:pPr>
        <w:rPr>
          <w:shd w:val="clear" w:color="auto" w:fill="FFFFFF"/>
          <w:lang w:val="en-GB"/>
        </w:rPr>
      </w:pPr>
      <w:r>
        <w:rPr>
          <w:shd w:val="clear" w:color="auto" w:fill="FFFFFF"/>
          <w:lang w:val="en-GB"/>
        </w:rPr>
        <w:t>Gabellini, S. and Scaramuzzi, S. (2022) ‘Evolving consumption trends, marketing strategies, and governance settings in ornamental horticulture: A grey literature review’, </w:t>
      </w:r>
      <w:r>
        <w:rPr>
          <w:i/>
          <w:iCs/>
          <w:shd w:val="clear" w:color="auto" w:fill="FFFFFF"/>
          <w:lang w:val="en-GB"/>
        </w:rPr>
        <w:t>Horticulturae</w:t>
      </w:r>
      <w:r>
        <w:rPr>
          <w:shd w:val="clear" w:color="auto" w:fill="FFFFFF"/>
          <w:lang w:val="en-GB"/>
        </w:rPr>
        <w:t>, </w:t>
      </w:r>
      <w:r>
        <w:rPr>
          <w:lang w:val="en-GB"/>
        </w:rPr>
        <w:t>8</w:t>
      </w:r>
      <w:r>
        <w:rPr>
          <w:shd w:val="clear" w:color="auto" w:fill="FFFFFF"/>
          <w:lang w:val="en-GB"/>
        </w:rPr>
        <w:t>(3), pp.1-28.</w:t>
      </w:r>
      <w:r>
        <w:fldChar w:fldCharType="begin"/>
      </w:r>
      <w:r>
        <w:instrText xml:space="preserve"> HYPERLINK "https://doi.org/10.3390/horticulturae8030234" </w:instrText>
      </w:r>
      <w:r>
        <w:fldChar w:fldCharType="separate"/>
      </w:r>
      <w:r>
        <w:rPr>
          <w:rStyle w:val="12"/>
          <w:shd w:val="clear" w:color="auto" w:fill="FFFFFF"/>
          <w:lang w:val="en-GB"/>
        </w:rPr>
        <w:t>https://doi.org/10.3390/horticulturae8030234</w:t>
      </w:r>
      <w:r>
        <w:rPr>
          <w:rStyle w:val="12"/>
          <w:shd w:val="clear" w:color="auto" w:fill="FFFFFF"/>
          <w:lang w:val="en-GB"/>
        </w:rPr>
        <w:fldChar w:fldCharType="end"/>
      </w:r>
    </w:p>
    <w:p w14:paraId="74D94F76">
      <w:pPr>
        <w:rPr>
          <w:lang w:val="en-GB"/>
        </w:rPr>
      </w:pPr>
      <w:r>
        <w:rPr>
          <w:lang w:val="en-GB"/>
        </w:rPr>
        <w:t>GlobalData (2026) </w:t>
      </w:r>
      <w:r>
        <w:rPr>
          <w:i/>
          <w:iCs/>
          <w:lang w:val="en-GB"/>
        </w:rPr>
        <w:t>Dyson Ltd - Company Profile</w:t>
      </w:r>
      <w:r>
        <w:rPr>
          <w:lang w:val="en-GB"/>
        </w:rPr>
        <w:t xml:space="preserve">. Available at: </w:t>
      </w:r>
      <w:r>
        <w:fldChar w:fldCharType="begin"/>
      </w:r>
      <w:r>
        <w:instrText xml:space="preserve"> HYPERLINK "https://www.globaldata.com/company-profile/dyson-ltd/competitors/" </w:instrText>
      </w:r>
      <w:r>
        <w:fldChar w:fldCharType="separate"/>
      </w:r>
      <w:r>
        <w:rPr>
          <w:rStyle w:val="12"/>
          <w:lang w:val="en-GB"/>
        </w:rPr>
        <w:t>https://www.globaldata.com/company-profile/dyson-ltd/competitors/</w:t>
      </w:r>
      <w:r>
        <w:rPr>
          <w:rStyle w:val="12"/>
          <w:lang w:val="en-GB"/>
        </w:rPr>
        <w:fldChar w:fldCharType="end"/>
      </w:r>
      <w:r>
        <w:rPr>
          <w:lang w:val="en-GB"/>
        </w:rPr>
        <w:t xml:space="preserve"> (Accessed: 1 April 2026).</w:t>
      </w:r>
    </w:p>
    <w:p w14:paraId="4FCA6A2A">
      <w:pPr>
        <w:rPr>
          <w:lang w:val="en-GB"/>
        </w:rPr>
      </w:pPr>
      <w:r>
        <w:rPr>
          <w:lang w:val="en-GB"/>
        </w:rPr>
        <w:t>Gregory, A.(2025) </w:t>
      </w:r>
      <w:r>
        <w:rPr>
          <w:i/>
          <w:iCs/>
          <w:lang w:val="en-GB"/>
        </w:rPr>
        <w:t>UK air pollution killing more than 500 people a week, doctors say.</w:t>
      </w:r>
      <w:r>
        <w:rPr>
          <w:lang w:val="en-GB"/>
        </w:rPr>
        <w:t> </w:t>
      </w:r>
      <w:r>
        <w:rPr>
          <w:i/>
          <w:iCs/>
          <w:lang w:val="en-GB"/>
        </w:rPr>
        <w:t>The Guardian</w:t>
      </w:r>
      <w:r>
        <w:rPr>
          <w:lang w:val="en-GB"/>
        </w:rPr>
        <w:t xml:space="preserve">. Available at: </w:t>
      </w:r>
      <w:r>
        <w:fldChar w:fldCharType="begin"/>
      </w:r>
      <w:r>
        <w:instrText xml:space="preserve"> HYPERLINK "https://www.theguardian.com/environment/2025/jun/19/uk-toxic-air-killing-people-doctors-warn" </w:instrText>
      </w:r>
      <w:r>
        <w:fldChar w:fldCharType="separate"/>
      </w:r>
      <w:r>
        <w:rPr>
          <w:rStyle w:val="12"/>
          <w:lang w:val="en-GB"/>
        </w:rPr>
        <w:t>https://www.theguardian.com/environment/2025/jun/19/uk-toxic-air-killing-people-doctors-warn</w:t>
      </w:r>
      <w:r>
        <w:rPr>
          <w:rStyle w:val="12"/>
          <w:lang w:val="en-GB"/>
        </w:rPr>
        <w:fldChar w:fldCharType="end"/>
      </w:r>
      <w:r>
        <w:rPr>
          <w:lang w:val="en-GB"/>
        </w:rPr>
        <w:t xml:space="preserve"> (Accessed: 1 April 2026).</w:t>
      </w:r>
    </w:p>
    <w:p w14:paraId="2357A740">
      <w:pPr>
        <w:rPr>
          <w:shd w:val="clear" w:color="auto" w:fill="FFFFFF"/>
        </w:rPr>
      </w:pPr>
      <w:r>
        <w:rPr>
          <w:shd w:val="clear" w:color="auto" w:fill="FFFFFF"/>
        </w:rPr>
        <w:t xml:space="preserve">Ho, C.I., Liu, Y. and Chen, M.C. (2022) ‘Factors influencing watching and purchase intentions on live streaming platforms: From a 7Ps marketing mix perspective’, </w:t>
      </w:r>
      <w:r>
        <w:rPr>
          <w:i/>
          <w:iCs/>
          <w:shd w:val="clear" w:color="auto" w:fill="FFFFFF"/>
        </w:rPr>
        <w:t>Information</w:t>
      </w:r>
      <w:r>
        <w:rPr>
          <w:shd w:val="clear" w:color="auto" w:fill="FFFFFF"/>
        </w:rPr>
        <w:t>, </w:t>
      </w:r>
      <w:r>
        <w:t>13</w:t>
      </w:r>
      <w:r>
        <w:rPr>
          <w:shd w:val="clear" w:color="auto" w:fill="FFFFFF"/>
        </w:rPr>
        <w:t>(5), pp.1-19.</w:t>
      </w:r>
      <w:r>
        <w:t xml:space="preserve"> </w:t>
      </w:r>
      <w:r>
        <w:fldChar w:fldCharType="begin"/>
      </w:r>
      <w:r>
        <w:instrText xml:space="preserve"> HYPERLINK "https://doi.org/10.3390/info13050239" </w:instrText>
      </w:r>
      <w:r>
        <w:fldChar w:fldCharType="separate"/>
      </w:r>
      <w:r>
        <w:rPr>
          <w:rStyle w:val="12"/>
          <w:shd w:val="clear" w:color="auto" w:fill="FFFFFF"/>
        </w:rPr>
        <w:t>https://doi.org/10.3390/info13050239</w:t>
      </w:r>
      <w:r>
        <w:rPr>
          <w:rStyle w:val="12"/>
          <w:shd w:val="clear" w:color="auto" w:fill="FFFFFF"/>
        </w:rPr>
        <w:fldChar w:fldCharType="end"/>
      </w:r>
      <w:r>
        <w:rPr>
          <w:shd w:val="clear" w:color="auto" w:fill="FFFFFF"/>
        </w:rPr>
        <w:t xml:space="preserve"> </w:t>
      </w:r>
    </w:p>
    <w:p w14:paraId="74B7FB7E">
      <w:r>
        <w:rPr>
          <w:shd w:val="clear" w:color="auto" w:fill="FFFFFF"/>
        </w:rPr>
        <w:t>Ho, Y.R., Chen, B.Y. and Li, C.M. (2023) ‘Thinking more wisely: using the Socratic method to develop critical thinking skills amongst healthcare students’, </w:t>
      </w:r>
      <w:r>
        <w:rPr>
          <w:i/>
          <w:iCs/>
          <w:shd w:val="clear" w:color="auto" w:fill="FFFFFF"/>
        </w:rPr>
        <w:t>BMC medical education</w:t>
      </w:r>
      <w:r>
        <w:rPr>
          <w:shd w:val="clear" w:color="auto" w:fill="FFFFFF"/>
        </w:rPr>
        <w:t>, </w:t>
      </w:r>
      <w:r>
        <w:t>23</w:t>
      </w:r>
      <w:r>
        <w:rPr>
          <w:shd w:val="clear" w:color="auto" w:fill="FFFFFF"/>
        </w:rPr>
        <w:t>(1), pp.1-16.</w:t>
      </w:r>
      <w:r>
        <w:t xml:space="preserve"> </w:t>
      </w:r>
      <w:r>
        <w:fldChar w:fldCharType="begin"/>
      </w:r>
      <w:r>
        <w:instrText xml:space="preserve"> HYPERLINK "https://doi.org/10.1186/s12909-023-04134-2" </w:instrText>
      </w:r>
      <w:r>
        <w:fldChar w:fldCharType="separate"/>
      </w:r>
      <w:r>
        <w:rPr>
          <w:rStyle w:val="12"/>
          <w:shd w:val="clear" w:color="auto" w:fill="FFFFFF"/>
        </w:rPr>
        <w:t>https://doi.org/10.1186/s12909-023-04134-2</w:t>
      </w:r>
      <w:r>
        <w:rPr>
          <w:rStyle w:val="12"/>
          <w:shd w:val="clear" w:color="auto" w:fill="FFFFFF"/>
        </w:rPr>
        <w:fldChar w:fldCharType="end"/>
      </w:r>
    </w:p>
    <w:p w14:paraId="51380849">
      <w:pPr>
        <w:rPr>
          <w:shd w:val="clear" w:color="auto" w:fill="FFFFFF"/>
        </w:rPr>
      </w:pPr>
      <w:r>
        <w:rPr>
          <w:shd w:val="clear" w:color="auto" w:fill="FFFFFF"/>
        </w:rPr>
        <w:t>Hooley, G.J., Piercy, N. and Nicoulaud, B. (2020) </w:t>
      </w:r>
      <w:r>
        <w:rPr>
          <w:i/>
          <w:iCs/>
          <w:shd w:val="clear" w:color="auto" w:fill="FFFFFF"/>
        </w:rPr>
        <w:t>Marketing strategy and competitive positioning</w:t>
      </w:r>
      <w:r>
        <w:rPr>
          <w:shd w:val="clear" w:color="auto" w:fill="FFFFFF"/>
        </w:rPr>
        <w:t>. Seventh edition. Harlow, England; Pearson.</w:t>
      </w:r>
      <w:r>
        <w:t xml:space="preserve"> </w:t>
      </w:r>
      <w:r>
        <w:fldChar w:fldCharType="begin"/>
      </w:r>
      <w:r>
        <w:instrText xml:space="preserve"> HYPERLINK "https://www.imi-institute.org/k/Marketing%20Strategy.pdf" </w:instrText>
      </w:r>
      <w:r>
        <w:fldChar w:fldCharType="separate"/>
      </w:r>
      <w:r>
        <w:rPr>
          <w:rStyle w:val="12"/>
          <w:shd w:val="clear" w:color="auto" w:fill="FFFFFF"/>
        </w:rPr>
        <w:t>https://www.imi-institute.org/k/Marketing%20Strategy.pdf</w:t>
      </w:r>
      <w:r>
        <w:rPr>
          <w:rStyle w:val="12"/>
          <w:shd w:val="clear" w:color="auto" w:fill="FFFFFF"/>
        </w:rPr>
        <w:fldChar w:fldCharType="end"/>
      </w:r>
      <w:r>
        <w:rPr>
          <w:shd w:val="clear" w:color="auto" w:fill="FFFFFF"/>
        </w:rPr>
        <w:t xml:space="preserve"> </w:t>
      </w:r>
    </w:p>
    <w:p w14:paraId="6DA2A791">
      <w:pPr>
        <w:rPr>
          <w:shd w:val="clear" w:color="auto" w:fill="FFFFFF"/>
        </w:rPr>
      </w:pPr>
      <w:r>
        <w:rPr>
          <w:shd w:val="clear" w:color="auto" w:fill="FFFFFF"/>
        </w:rPr>
        <w:t>Hrelja, R. and Rye, T. (2023) ‘Decreasing the share of travel by car. Strategies for implementing ‘push’or ‘pull’measures in a traditionally car-centric transport and land use planning’, </w:t>
      </w:r>
      <w:r>
        <w:rPr>
          <w:i/>
          <w:iCs/>
          <w:shd w:val="clear" w:color="auto" w:fill="FFFFFF"/>
        </w:rPr>
        <w:t>International Journal of Sustainable Transportation</w:t>
      </w:r>
      <w:r>
        <w:rPr>
          <w:shd w:val="clear" w:color="auto" w:fill="FFFFFF"/>
        </w:rPr>
        <w:t>, </w:t>
      </w:r>
      <w:r>
        <w:t>17</w:t>
      </w:r>
      <w:r>
        <w:rPr>
          <w:shd w:val="clear" w:color="auto" w:fill="FFFFFF"/>
        </w:rPr>
        <w:t>(5), pp.446-458.</w:t>
      </w:r>
      <w:r>
        <w:t xml:space="preserve"> </w:t>
      </w:r>
      <w:r>
        <w:fldChar w:fldCharType="begin"/>
      </w:r>
      <w:r>
        <w:instrText xml:space="preserve"> HYPERLINK "https://doi.org/10.1080/15568318.2022.2051098" </w:instrText>
      </w:r>
      <w:r>
        <w:fldChar w:fldCharType="separate"/>
      </w:r>
      <w:r>
        <w:rPr>
          <w:rStyle w:val="12"/>
          <w:shd w:val="clear" w:color="auto" w:fill="FFFFFF"/>
        </w:rPr>
        <w:t>https://doi.org/10.1080/15568318.2022.2051098</w:t>
      </w:r>
      <w:r>
        <w:rPr>
          <w:rStyle w:val="12"/>
          <w:shd w:val="clear" w:color="auto" w:fill="FFFFFF"/>
        </w:rPr>
        <w:fldChar w:fldCharType="end"/>
      </w:r>
      <w:r>
        <w:rPr>
          <w:shd w:val="clear" w:color="auto" w:fill="FFFFFF"/>
        </w:rPr>
        <w:t xml:space="preserve"> </w:t>
      </w:r>
    </w:p>
    <w:p w14:paraId="140357B8">
      <w:pPr>
        <w:rPr>
          <w:lang w:val="en-GB"/>
        </w:rPr>
      </w:pPr>
      <w:r>
        <w:rPr>
          <w:lang w:val="en-GB"/>
        </w:rPr>
        <w:t xml:space="preserve">IQAir (2026) </w:t>
      </w:r>
      <w:r>
        <w:rPr>
          <w:i/>
          <w:lang w:val="en-GB"/>
        </w:rPr>
        <w:t>Air quality in United Kingdom</w:t>
      </w:r>
      <w:r>
        <w:rPr>
          <w:lang w:val="en-GB"/>
        </w:rPr>
        <w:t xml:space="preserve">.Available at: </w:t>
      </w:r>
      <w:r>
        <w:fldChar w:fldCharType="begin"/>
      </w:r>
      <w:r>
        <w:instrText xml:space="preserve"> HYPERLINK "https://www.iqair.com/in-en/uk" </w:instrText>
      </w:r>
      <w:r>
        <w:fldChar w:fldCharType="separate"/>
      </w:r>
      <w:r>
        <w:rPr>
          <w:rStyle w:val="12"/>
          <w:lang w:val="en-GB"/>
        </w:rPr>
        <w:t>https://www.iqair.com/in-en/uk</w:t>
      </w:r>
      <w:r>
        <w:rPr>
          <w:rStyle w:val="12"/>
          <w:lang w:val="en-GB"/>
        </w:rPr>
        <w:fldChar w:fldCharType="end"/>
      </w:r>
      <w:r>
        <w:rPr>
          <w:lang w:val="en-GB"/>
        </w:rPr>
        <w:t xml:space="preserve"> (Accessed: 1 April 2026).</w:t>
      </w:r>
    </w:p>
    <w:p w14:paraId="5F48F300">
      <w:pPr>
        <w:rPr>
          <w:shd w:val="clear" w:color="auto" w:fill="FFFFFF"/>
        </w:rPr>
      </w:pPr>
      <w:r>
        <w:rPr>
          <w:shd w:val="clear" w:color="auto" w:fill="FFFFFF"/>
        </w:rPr>
        <w:t xml:space="preserve">Kotler, P., Armstrong, G., Harris, L.C. and He, H. (2020) </w:t>
      </w:r>
      <w:r>
        <w:rPr>
          <w:i/>
          <w:shd w:val="clear" w:color="auto" w:fill="FFFFFF"/>
        </w:rPr>
        <w:t>Principles of Marketing Eight European Edition.</w:t>
      </w:r>
      <w:r>
        <w:rPr>
          <w:shd w:val="clear" w:color="auto" w:fill="FFFFFF"/>
        </w:rPr>
        <w:t> </w:t>
      </w:r>
      <w:r>
        <w:t xml:space="preserve">UK: Pearson. </w:t>
      </w:r>
      <w:r>
        <w:fldChar w:fldCharType="begin"/>
      </w:r>
      <w:r>
        <w:instrText xml:space="preserve"> HYPERLINK "https://www.google.co.in/books/edition/Principles_of_Marketing/neksEAAAQBAJ?hl=en" </w:instrText>
      </w:r>
      <w:r>
        <w:fldChar w:fldCharType="separate"/>
      </w:r>
      <w:r>
        <w:rPr>
          <w:rStyle w:val="12"/>
          <w:shd w:val="clear" w:color="auto" w:fill="FFFFFF"/>
        </w:rPr>
        <w:t>https://www.google.co.in/books/edition/Principles_of_Marketing/neksEAAAQBAJ?hl=en</w:t>
      </w:r>
      <w:r>
        <w:rPr>
          <w:rStyle w:val="12"/>
          <w:shd w:val="clear" w:color="auto" w:fill="FFFFFF"/>
        </w:rPr>
        <w:fldChar w:fldCharType="end"/>
      </w:r>
    </w:p>
    <w:p w14:paraId="0C9F39F2">
      <w:pPr>
        <w:rPr>
          <w:shd w:val="clear" w:color="auto" w:fill="FFFFFF"/>
        </w:rPr>
      </w:pPr>
      <w:r>
        <w:rPr>
          <w:shd w:val="clear" w:color="auto" w:fill="FFFFFF"/>
        </w:rPr>
        <w:t>Lotfi, A., Naoum-Sawaya, J., Lotfi, A. and Jiang, Z. (2024) ‘To skim or not to skim: studying the optimal pricing strategy for technology products’, </w:t>
      </w:r>
      <w:r>
        <w:rPr>
          <w:i/>
          <w:iCs/>
          <w:shd w:val="clear" w:color="auto" w:fill="FFFFFF"/>
        </w:rPr>
        <w:t>Omega</w:t>
      </w:r>
      <w:r>
        <w:rPr>
          <w:shd w:val="clear" w:color="auto" w:fill="FFFFFF"/>
        </w:rPr>
        <w:t>, </w:t>
      </w:r>
      <w:r>
        <w:t>127</w:t>
      </w:r>
      <w:r>
        <w:rPr>
          <w:shd w:val="clear" w:color="auto" w:fill="FFFFFF"/>
        </w:rPr>
        <w:t>, pp.1-19.</w:t>
      </w:r>
      <w:r>
        <w:t xml:space="preserve"> </w:t>
      </w:r>
      <w:r>
        <w:fldChar w:fldCharType="begin"/>
      </w:r>
      <w:r>
        <w:instrText xml:space="preserve"> HYPERLINK "https://doi.org/10.1016/j.omega.2024.103079" </w:instrText>
      </w:r>
      <w:r>
        <w:fldChar w:fldCharType="separate"/>
      </w:r>
      <w:r>
        <w:rPr>
          <w:rStyle w:val="12"/>
          <w:shd w:val="clear" w:color="auto" w:fill="FFFFFF"/>
        </w:rPr>
        <w:t>https://doi.org/10.1016/j.omega.2024.103079</w:t>
      </w:r>
      <w:r>
        <w:rPr>
          <w:rStyle w:val="12"/>
          <w:shd w:val="clear" w:color="auto" w:fill="FFFFFF"/>
        </w:rPr>
        <w:fldChar w:fldCharType="end"/>
      </w:r>
      <w:r>
        <w:rPr>
          <w:shd w:val="clear" w:color="auto" w:fill="FFFFFF"/>
        </w:rPr>
        <w:t xml:space="preserve"> </w:t>
      </w:r>
    </w:p>
    <w:p w14:paraId="537E9E74">
      <w:pPr>
        <w:rPr>
          <w:shd w:val="clear" w:color="auto" w:fill="FFFFFF"/>
        </w:rPr>
      </w:pPr>
      <w:r>
        <w:rPr>
          <w:shd w:val="clear" w:color="auto" w:fill="FFFFFF"/>
        </w:rPr>
        <w:t>Maddens, L., Depaepe, F., Raes, A. and Elen, J. (2023) ‘Fostering students’ motivation towards learning research skills: the role of autonomy, competence and relatedness support’, </w:t>
      </w:r>
      <w:r>
        <w:rPr>
          <w:i/>
          <w:iCs/>
          <w:shd w:val="clear" w:color="auto" w:fill="FFFFFF"/>
        </w:rPr>
        <w:t>Instructional Science</w:t>
      </w:r>
      <w:r>
        <w:rPr>
          <w:shd w:val="clear" w:color="auto" w:fill="FFFFFF"/>
        </w:rPr>
        <w:t>, </w:t>
      </w:r>
      <w:r>
        <w:t>51</w:t>
      </w:r>
      <w:r>
        <w:rPr>
          <w:shd w:val="clear" w:color="auto" w:fill="FFFFFF"/>
        </w:rPr>
        <w:t>(1), pp.165-199.</w:t>
      </w:r>
      <w:r>
        <w:t xml:space="preserve"> </w:t>
      </w:r>
      <w:r>
        <w:fldChar w:fldCharType="begin"/>
      </w:r>
      <w:r>
        <w:instrText xml:space="preserve"> HYPERLINK "https://doi.org/10.1007/s11251-022-09606-4" </w:instrText>
      </w:r>
      <w:r>
        <w:fldChar w:fldCharType="separate"/>
      </w:r>
      <w:r>
        <w:rPr>
          <w:rStyle w:val="12"/>
          <w:shd w:val="clear" w:color="auto" w:fill="FFFFFF"/>
        </w:rPr>
        <w:t>https://doi.org/10.1007/s11251-022-09606-4</w:t>
      </w:r>
      <w:r>
        <w:rPr>
          <w:rStyle w:val="12"/>
          <w:shd w:val="clear" w:color="auto" w:fill="FFFFFF"/>
        </w:rPr>
        <w:fldChar w:fldCharType="end"/>
      </w:r>
      <w:r>
        <w:rPr>
          <w:shd w:val="clear" w:color="auto" w:fill="FFFFFF"/>
        </w:rPr>
        <w:t xml:space="preserve"> </w:t>
      </w:r>
    </w:p>
    <w:p w14:paraId="3B91A20E">
      <w:pPr>
        <w:rPr>
          <w:shd w:val="clear" w:color="auto" w:fill="FFFFFF"/>
        </w:rPr>
      </w:pPr>
      <w:r>
        <w:rPr>
          <w:shd w:val="clear" w:color="auto" w:fill="FFFFFF"/>
        </w:rPr>
        <w:t>Ocampo, F.A., McIntyre, B.G., Massey, D. and Saunders, R. (2025) ‘Nursing student reflections on a research internship: A reflective discussion following the Gibbs' reflective cycle’, </w:t>
      </w:r>
      <w:r>
        <w:rPr>
          <w:i/>
          <w:iCs/>
          <w:shd w:val="clear" w:color="auto" w:fill="FFFFFF"/>
        </w:rPr>
        <w:t>Nurse education today</w:t>
      </w:r>
      <w:r>
        <w:rPr>
          <w:shd w:val="clear" w:color="auto" w:fill="FFFFFF"/>
        </w:rPr>
        <w:t>, </w:t>
      </w:r>
      <w:r>
        <w:t>145</w:t>
      </w:r>
      <w:r>
        <w:rPr>
          <w:shd w:val="clear" w:color="auto" w:fill="FFFFFF"/>
        </w:rPr>
        <w:t>, pp.1-6.</w:t>
      </w:r>
      <w:r>
        <w:t xml:space="preserve"> </w:t>
      </w:r>
      <w:r>
        <w:fldChar w:fldCharType="begin"/>
      </w:r>
      <w:r>
        <w:instrText xml:space="preserve"> HYPERLINK "https://doi.org/10.1016/j.nedt.2024.106481" </w:instrText>
      </w:r>
      <w:r>
        <w:fldChar w:fldCharType="separate"/>
      </w:r>
      <w:r>
        <w:rPr>
          <w:rStyle w:val="12"/>
          <w:shd w:val="clear" w:color="auto" w:fill="FFFFFF"/>
        </w:rPr>
        <w:t>https://doi.org/10.1016/j.nedt.2024.106481</w:t>
      </w:r>
      <w:r>
        <w:rPr>
          <w:rStyle w:val="12"/>
          <w:shd w:val="clear" w:color="auto" w:fill="FFFFFF"/>
        </w:rPr>
        <w:fldChar w:fldCharType="end"/>
      </w:r>
    </w:p>
    <w:p w14:paraId="5D02CBBA">
      <w:pPr>
        <w:rPr>
          <w:shd w:val="clear" w:color="auto" w:fill="FFFFFF"/>
        </w:rPr>
      </w:pPr>
      <w:r>
        <w:rPr>
          <w:shd w:val="clear" w:color="auto" w:fill="FFFFFF"/>
        </w:rPr>
        <w:t>Pan, M., Blut, M., Ghiassaleh, A. and Lee, Z.W. (2025) Influencer marketing effectiveness: A meta-analytic review. </w:t>
      </w:r>
      <w:r>
        <w:rPr>
          <w:i/>
          <w:iCs/>
          <w:shd w:val="clear" w:color="auto" w:fill="FFFFFF"/>
        </w:rPr>
        <w:t>Journal of the Academy of Marketing Science</w:t>
      </w:r>
      <w:r>
        <w:rPr>
          <w:shd w:val="clear" w:color="auto" w:fill="FFFFFF"/>
        </w:rPr>
        <w:t>, </w:t>
      </w:r>
      <w:r>
        <w:t>53</w:t>
      </w:r>
      <w:r>
        <w:rPr>
          <w:shd w:val="clear" w:color="auto" w:fill="FFFFFF"/>
        </w:rPr>
        <w:t>(1), pp.52-78.</w:t>
      </w:r>
      <w:r>
        <w:t xml:space="preserve"> </w:t>
      </w:r>
      <w:r>
        <w:fldChar w:fldCharType="begin"/>
      </w:r>
      <w:r>
        <w:instrText xml:space="preserve"> HYPERLINK "https://doi.org/10.1007/s11747-024-01052-7" </w:instrText>
      </w:r>
      <w:r>
        <w:fldChar w:fldCharType="separate"/>
      </w:r>
      <w:r>
        <w:rPr>
          <w:rStyle w:val="12"/>
          <w:shd w:val="clear" w:color="auto" w:fill="FFFFFF"/>
        </w:rPr>
        <w:t>https://doi.org/10.1007/s11747-024-01052-7</w:t>
      </w:r>
      <w:r>
        <w:rPr>
          <w:rStyle w:val="12"/>
          <w:shd w:val="clear" w:color="auto" w:fill="FFFFFF"/>
        </w:rPr>
        <w:fldChar w:fldCharType="end"/>
      </w:r>
      <w:r>
        <w:rPr>
          <w:shd w:val="clear" w:color="auto" w:fill="FFFFFF"/>
        </w:rPr>
        <w:t xml:space="preserve"> </w:t>
      </w:r>
    </w:p>
    <w:p w14:paraId="4F4E73D7">
      <w:pPr>
        <w:rPr>
          <w:lang w:val="en-GB"/>
        </w:rPr>
      </w:pPr>
      <w:r>
        <w:rPr>
          <w:lang w:val="en-GB"/>
        </w:rPr>
        <w:t>Panasonic (2026) </w:t>
      </w:r>
      <w:r>
        <w:rPr>
          <w:i/>
          <w:iCs/>
          <w:lang w:val="en-GB"/>
        </w:rPr>
        <w:t>Unique Air Purifying System: nanoe-G</w:t>
      </w:r>
      <w:r>
        <w:rPr>
          <w:lang w:val="en-GB"/>
        </w:rPr>
        <w:t xml:space="preserve">. Available at: </w:t>
      </w:r>
      <w:r>
        <w:fldChar w:fldCharType="begin"/>
      </w:r>
      <w:r>
        <w:instrText xml:space="preserve"> HYPERLINK "https://www.panasonic.com/in/consumer/air-conditioners/air-conditioner-learn/features/unique-air-purifying-system-nanoe-g.html" </w:instrText>
      </w:r>
      <w:r>
        <w:fldChar w:fldCharType="separate"/>
      </w:r>
      <w:r>
        <w:rPr>
          <w:rStyle w:val="12"/>
          <w:lang w:val="en-GB"/>
        </w:rPr>
        <w:t>https://www.panasonic.com/in/consumer/air-conditioners/air-conditioner-learn/features/unique-air-purifying-system-nanoe-g.html</w:t>
      </w:r>
      <w:r>
        <w:rPr>
          <w:rStyle w:val="12"/>
          <w:lang w:val="en-GB"/>
        </w:rPr>
        <w:fldChar w:fldCharType="end"/>
      </w:r>
      <w:r>
        <w:rPr>
          <w:lang w:val="en-GB"/>
        </w:rPr>
        <w:t xml:space="preserve"> (Accessed: 1 April 2026).</w:t>
      </w:r>
    </w:p>
    <w:p w14:paraId="0FBECDB5">
      <w:r>
        <w:t xml:space="preserve">PwC (2024) </w:t>
      </w:r>
      <w:r>
        <w:rPr>
          <w:i/>
        </w:rPr>
        <w:t>Consumers willing to pay 9.7% sustainability premium, even as cost-of-living and inflationary concerns weigh: PwC 2024 Voice of the Consumer Survey</w:t>
      </w:r>
      <w:r>
        <w:t xml:space="preserve">. Available at: </w:t>
      </w:r>
      <w:r>
        <w:fldChar w:fldCharType="begin"/>
      </w:r>
      <w:r>
        <w:instrText xml:space="preserve"> HYPERLINK "https://www.pwc.com/gx/en/news-room/press-releases/2024/pwc-2024-voice-of-consumer-survey.html" </w:instrText>
      </w:r>
      <w:r>
        <w:fldChar w:fldCharType="separate"/>
      </w:r>
      <w:r>
        <w:rPr>
          <w:rStyle w:val="12"/>
        </w:rPr>
        <w:t>https://www.pwc.com/gx/en/news-room/press-releases/2024/pwc-2024-voice-of-consumer-survey.html</w:t>
      </w:r>
      <w:r>
        <w:rPr>
          <w:rStyle w:val="12"/>
        </w:rPr>
        <w:fldChar w:fldCharType="end"/>
      </w:r>
      <w:r>
        <w:t xml:space="preserve"> (Accessed: 3 April 2026).</w:t>
      </w:r>
    </w:p>
    <w:p w14:paraId="25E660FD">
      <w:pPr>
        <w:rPr>
          <w:shd w:val="clear" w:color="auto" w:fill="FFFFFF"/>
        </w:rPr>
      </w:pPr>
      <w:r>
        <w:rPr>
          <w:shd w:val="clear" w:color="auto" w:fill="FFFFFF"/>
        </w:rPr>
        <w:t>Ramadan Elbaioumi Shaddad, A. and Jember, B. (2024) ‘A step toward effective language learning: An insight into the impacts of feedback-supported tasks and peer-work activities on learners’ engagement, self-esteem, and language growth’, </w:t>
      </w:r>
      <w:r>
        <w:rPr>
          <w:i/>
          <w:iCs/>
          <w:shd w:val="clear" w:color="auto" w:fill="FFFFFF"/>
        </w:rPr>
        <w:t>Asian-Pacific Journal of Second and Foreign Language Education</w:t>
      </w:r>
      <w:r>
        <w:rPr>
          <w:shd w:val="clear" w:color="auto" w:fill="FFFFFF"/>
        </w:rPr>
        <w:t>, </w:t>
      </w:r>
      <w:r>
        <w:t>9</w:t>
      </w:r>
      <w:r>
        <w:rPr>
          <w:shd w:val="clear" w:color="auto" w:fill="FFFFFF"/>
        </w:rPr>
        <w:t>(1), pp.1-31.</w:t>
      </w:r>
      <w:r>
        <w:t xml:space="preserve"> </w:t>
      </w:r>
      <w:r>
        <w:fldChar w:fldCharType="begin"/>
      </w:r>
      <w:r>
        <w:instrText xml:space="preserve"> HYPERLINK "https://doi.org/10.1186/s40862-024-00261-5" </w:instrText>
      </w:r>
      <w:r>
        <w:fldChar w:fldCharType="separate"/>
      </w:r>
      <w:r>
        <w:rPr>
          <w:rStyle w:val="12"/>
          <w:shd w:val="clear" w:color="auto" w:fill="FFFFFF"/>
        </w:rPr>
        <w:t>https://doi.org/10.1186/s40862-024-00261-5</w:t>
      </w:r>
      <w:r>
        <w:rPr>
          <w:rStyle w:val="12"/>
          <w:shd w:val="clear" w:color="auto" w:fill="FFFFFF"/>
        </w:rPr>
        <w:fldChar w:fldCharType="end"/>
      </w:r>
      <w:r>
        <w:rPr>
          <w:shd w:val="clear" w:color="auto" w:fill="FFFFFF"/>
        </w:rPr>
        <w:t xml:space="preserve"> </w:t>
      </w:r>
    </w:p>
    <w:p w14:paraId="12238149">
      <w:pPr>
        <w:rPr>
          <w:shd w:val="clear" w:color="auto" w:fill="FFFFFF"/>
          <w:lang w:val="en-GB"/>
        </w:rPr>
      </w:pPr>
      <w:r>
        <w:rPr>
          <w:shd w:val="clear" w:color="auto" w:fill="FFFFFF"/>
          <w:lang w:val="en-GB"/>
        </w:rPr>
        <w:t>Setyawati, D., Sudarmiatin, S., Handayati, P. and Suharsono, N. (2025) ‘ANALYSIS OF SEGMENTING, TARGETING, POSITIONING (STP) MARKETING STRATEGY IN MSME BATIK’, </w:t>
      </w:r>
      <w:r>
        <w:rPr>
          <w:i/>
          <w:iCs/>
          <w:shd w:val="clear" w:color="auto" w:fill="FFFFFF"/>
          <w:lang w:val="en-GB"/>
        </w:rPr>
        <w:t>Journal of Management: Small and Medium Enterprises (SMEs)</w:t>
      </w:r>
      <w:r>
        <w:rPr>
          <w:shd w:val="clear" w:color="auto" w:fill="FFFFFF"/>
          <w:lang w:val="en-GB"/>
        </w:rPr>
        <w:t>, </w:t>
      </w:r>
      <w:r>
        <w:rPr>
          <w:lang w:val="en-GB"/>
        </w:rPr>
        <w:t>18</w:t>
      </w:r>
      <w:r>
        <w:rPr>
          <w:shd w:val="clear" w:color="auto" w:fill="FFFFFF"/>
          <w:lang w:val="en-GB"/>
        </w:rPr>
        <w:t>(3), pp.2241-2249.</w:t>
      </w:r>
      <w:r>
        <w:fldChar w:fldCharType="begin"/>
      </w:r>
      <w:r>
        <w:instrText xml:space="preserve"> HYPERLINK "https://doi.org/10.35508/jom.v18i3.26144" </w:instrText>
      </w:r>
      <w:r>
        <w:fldChar w:fldCharType="separate"/>
      </w:r>
      <w:r>
        <w:rPr>
          <w:rStyle w:val="12"/>
          <w:shd w:val="clear" w:color="auto" w:fill="FFFFFF"/>
          <w:lang w:val="en-GB"/>
        </w:rPr>
        <w:t>https://doi.org/10.35508/jom.v18i3.26144</w:t>
      </w:r>
      <w:r>
        <w:rPr>
          <w:rStyle w:val="12"/>
          <w:shd w:val="clear" w:color="auto" w:fill="FFFFFF"/>
          <w:lang w:val="en-GB"/>
        </w:rPr>
        <w:fldChar w:fldCharType="end"/>
      </w:r>
    </w:p>
    <w:p w14:paraId="772389E9">
      <w:pPr>
        <w:rPr>
          <w:lang w:val="en-GB"/>
        </w:rPr>
      </w:pPr>
      <w:r>
        <w:rPr>
          <w:lang w:val="en-GB"/>
        </w:rPr>
        <w:t>SharkNinja (2025) </w:t>
      </w:r>
      <w:r>
        <w:rPr>
          <w:i/>
          <w:iCs/>
          <w:lang w:val="en-GB"/>
        </w:rPr>
        <w:t>The official new home of Shark® and Ninja® appliances</w:t>
      </w:r>
      <w:r>
        <w:rPr>
          <w:lang w:val="en-GB"/>
        </w:rPr>
        <w:t xml:space="preserve">. Available at: </w:t>
      </w:r>
      <w:r>
        <w:fldChar w:fldCharType="begin"/>
      </w:r>
      <w:r>
        <w:instrText xml:space="preserve"> HYPERLINK "https://www.sharkninja.co.uk/" </w:instrText>
      </w:r>
      <w:r>
        <w:fldChar w:fldCharType="separate"/>
      </w:r>
      <w:r>
        <w:rPr>
          <w:rStyle w:val="12"/>
          <w:lang w:val="en-GB"/>
        </w:rPr>
        <w:t>https://www.sharkninja.co.uk/</w:t>
      </w:r>
      <w:r>
        <w:rPr>
          <w:rStyle w:val="12"/>
          <w:lang w:val="en-GB"/>
        </w:rPr>
        <w:fldChar w:fldCharType="end"/>
      </w:r>
      <w:r>
        <w:rPr>
          <w:lang w:val="en-GB"/>
        </w:rPr>
        <w:t xml:space="preserve"> (Accessed: 1 April 2026).</w:t>
      </w:r>
    </w:p>
    <w:p w14:paraId="296E98EC">
      <w:pPr>
        <w:rPr>
          <w:shd w:val="clear" w:color="auto" w:fill="FFFFFF"/>
          <w:lang w:val="en-GB"/>
        </w:rPr>
      </w:pPr>
      <w:r>
        <w:rPr>
          <w:shd w:val="clear" w:color="auto" w:fill="FFFFFF"/>
          <w:lang w:val="en-GB"/>
        </w:rPr>
        <w:t>Talaat, F.M., Aljadani, A., Alharthi, B., Farsi, M.A., Badawy, M. and Elhosseini, M. (2023) ‘A mathematical model for customer segmentation leveraging deep learning, explainable AI, and RFM analysis in targeted marketing’, </w:t>
      </w:r>
      <w:r>
        <w:rPr>
          <w:i/>
          <w:iCs/>
          <w:shd w:val="clear" w:color="auto" w:fill="FFFFFF"/>
          <w:lang w:val="en-GB"/>
        </w:rPr>
        <w:t>Mathematics</w:t>
      </w:r>
      <w:r>
        <w:rPr>
          <w:shd w:val="clear" w:color="auto" w:fill="FFFFFF"/>
          <w:lang w:val="en-GB"/>
        </w:rPr>
        <w:t>, </w:t>
      </w:r>
      <w:r>
        <w:rPr>
          <w:lang w:val="en-GB"/>
        </w:rPr>
        <w:t>11</w:t>
      </w:r>
      <w:r>
        <w:rPr>
          <w:shd w:val="clear" w:color="auto" w:fill="FFFFFF"/>
          <w:lang w:val="en-GB"/>
        </w:rPr>
        <w:t>(18), pp.1-26.</w:t>
      </w:r>
      <w:r>
        <w:fldChar w:fldCharType="begin"/>
      </w:r>
      <w:r>
        <w:instrText xml:space="preserve"> HYPERLINK "https://doi.org/10.3390/math11183930" </w:instrText>
      </w:r>
      <w:r>
        <w:fldChar w:fldCharType="separate"/>
      </w:r>
      <w:r>
        <w:rPr>
          <w:rStyle w:val="12"/>
          <w:shd w:val="clear" w:color="auto" w:fill="FFFFFF"/>
          <w:lang w:val="en-GB"/>
        </w:rPr>
        <w:t>https://doi.org/10.3390/math11183930</w:t>
      </w:r>
      <w:r>
        <w:rPr>
          <w:rStyle w:val="12"/>
          <w:shd w:val="clear" w:color="auto" w:fill="FFFFFF"/>
          <w:lang w:val="en-GB"/>
        </w:rPr>
        <w:fldChar w:fldCharType="end"/>
      </w:r>
    </w:p>
    <w:p w14:paraId="12ED5128">
      <w:pPr>
        <w:rPr>
          <w:shd w:val="clear" w:color="auto" w:fill="FFFFFF"/>
          <w:lang w:val="en-GB"/>
        </w:rPr>
      </w:pPr>
      <w:r>
        <w:rPr>
          <w:shd w:val="clear" w:color="auto" w:fill="FFFFFF"/>
          <w:lang w:val="en-GB"/>
        </w:rPr>
        <w:t>Theodosiou, A.A. and Read, R.C. (2023) ‘Artificial intelligence, machine learning and deep learning: Potential resources for the infection clinician’, </w:t>
      </w:r>
      <w:r>
        <w:rPr>
          <w:i/>
          <w:iCs/>
          <w:shd w:val="clear" w:color="auto" w:fill="FFFFFF"/>
          <w:lang w:val="en-GB"/>
        </w:rPr>
        <w:t>Journal of Infection</w:t>
      </w:r>
      <w:r>
        <w:rPr>
          <w:shd w:val="clear" w:color="auto" w:fill="FFFFFF"/>
          <w:lang w:val="en-GB"/>
        </w:rPr>
        <w:t>, </w:t>
      </w:r>
      <w:r>
        <w:rPr>
          <w:lang w:val="en-GB"/>
        </w:rPr>
        <w:t>87</w:t>
      </w:r>
      <w:r>
        <w:rPr>
          <w:shd w:val="clear" w:color="auto" w:fill="FFFFFF"/>
          <w:lang w:val="en-GB"/>
        </w:rPr>
        <w:t>(4), pp.287-294.</w:t>
      </w:r>
      <w:r>
        <w:fldChar w:fldCharType="begin"/>
      </w:r>
      <w:r>
        <w:instrText xml:space="preserve"> HYPERLINK "https://doi.org/10.1016/j.jinf.2023.07.006" </w:instrText>
      </w:r>
      <w:r>
        <w:fldChar w:fldCharType="separate"/>
      </w:r>
      <w:r>
        <w:rPr>
          <w:rStyle w:val="12"/>
          <w:shd w:val="clear" w:color="auto" w:fill="FFFFFF"/>
          <w:lang w:val="en-GB"/>
        </w:rPr>
        <w:t>https://doi.org/10.1016/j.jinf.2023.07.006</w:t>
      </w:r>
      <w:r>
        <w:rPr>
          <w:rStyle w:val="12"/>
          <w:shd w:val="clear" w:color="auto" w:fill="FFFFFF"/>
          <w:lang w:val="en-GB"/>
        </w:rPr>
        <w:fldChar w:fldCharType="end"/>
      </w:r>
    </w:p>
    <w:p w14:paraId="354F2095">
      <w:pPr>
        <w:rPr>
          <w:lang w:val="en-GB"/>
        </w:rPr>
      </w:pPr>
      <w:r>
        <w:rPr>
          <w:lang w:val="en-GB"/>
        </w:rPr>
        <w:t>United Nations(n.d.) </w:t>
      </w:r>
      <w:r>
        <w:rPr>
          <w:i/>
          <w:iCs/>
          <w:lang w:val="en-GB"/>
        </w:rPr>
        <w:t>THE 17 GOALS | Sustainable Development</w:t>
      </w:r>
      <w:r>
        <w:rPr>
          <w:lang w:val="en-GB"/>
        </w:rPr>
        <w:t xml:space="preserve">. Available at: </w:t>
      </w:r>
      <w:r>
        <w:fldChar w:fldCharType="begin"/>
      </w:r>
      <w:r>
        <w:instrText xml:space="preserve"> HYPERLINK "https://sdgs.un.org/goals" </w:instrText>
      </w:r>
      <w:r>
        <w:fldChar w:fldCharType="separate"/>
      </w:r>
      <w:r>
        <w:rPr>
          <w:rStyle w:val="12"/>
          <w:lang w:val="en-GB"/>
        </w:rPr>
        <w:t>https://sdgs.un.org/goals</w:t>
      </w:r>
      <w:r>
        <w:rPr>
          <w:rStyle w:val="12"/>
          <w:lang w:val="en-GB"/>
        </w:rPr>
        <w:fldChar w:fldCharType="end"/>
      </w:r>
      <w:r>
        <w:rPr>
          <w:lang w:val="en-GB"/>
        </w:rPr>
        <w:t xml:space="preserve"> (Accessed: 1 April 2026).</w:t>
      </w:r>
    </w:p>
    <w:p w14:paraId="37A1BEAF">
      <w:pPr>
        <w:rPr>
          <w:shd w:val="clear" w:color="auto" w:fill="FFFFFF"/>
        </w:rPr>
      </w:pPr>
      <w:r>
        <w:rPr>
          <w:shd w:val="clear" w:color="auto" w:fill="FFFFFF"/>
        </w:rPr>
        <w:t>van Sluijs, M. and Matzat, U. (2024) ‘Predicting time</w:t>
      </w:r>
      <w:r>
        <w:rPr>
          <w:rFonts w:ascii="Cambria Math" w:hAnsi="Cambria Math" w:cs="Cambria Math"/>
          <w:shd w:val="clear" w:color="auto" w:fill="FFFFFF"/>
        </w:rPr>
        <w:t>‐</w:t>
      </w:r>
      <w:r>
        <w:rPr>
          <w:shd w:val="clear" w:color="auto" w:fill="FFFFFF"/>
        </w:rPr>
        <w:t>management skills from learning analytics’, </w:t>
      </w:r>
      <w:r>
        <w:rPr>
          <w:i/>
          <w:iCs/>
          <w:shd w:val="clear" w:color="auto" w:fill="FFFFFF"/>
        </w:rPr>
        <w:t>Journal of Computer Assisted Learning</w:t>
      </w:r>
      <w:r>
        <w:rPr>
          <w:shd w:val="clear" w:color="auto" w:fill="FFFFFF"/>
        </w:rPr>
        <w:t>, </w:t>
      </w:r>
      <w:r>
        <w:t>40</w:t>
      </w:r>
      <w:r>
        <w:rPr>
          <w:shd w:val="clear" w:color="auto" w:fill="FFFFFF"/>
        </w:rPr>
        <w:t>(2), pp.525-537.</w:t>
      </w:r>
      <w:r>
        <w:t xml:space="preserve"> </w:t>
      </w:r>
      <w:r>
        <w:fldChar w:fldCharType="begin"/>
      </w:r>
      <w:r>
        <w:instrText xml:space="preserve"> HYPERLINK "https://doi.org/10.1111/jcal.12893" </w:instrText>
      </w:r>
      <w:r>
        <w:fldChar w:fldCharType="separate"/>
      </w:r>
      <w:r>
        <w:rPr>
          <w:rStyle w:val="12"/>
          <w:shd w:val="clear" w:color="auto" w:fill="FFFFFF"/>
        </w:rPr>
        <w:t>https://doi.org/10.1111/jcal.12893</w:t>
      </w:r>
      <w:r>
        <w:rPr>
          <w:rStyle w:val="12"/>
          <w:shd w:val="clear" w:color="auto" w:fill="FFFFFF"/>
        </w:rPr>
        <w:fldChar w:fldCharType="end"/>
      </w:r>
      <w:r>
        <w:rPr>
          <w:shd w:val="clear" w:color="auto" w:fill="FFFFFF"/>
        </w:rPr>
        <w:t xml:space="preserve"> </w:t>
      </w:r>
    </w:p>
    <w:p w14:paraId="531D0F26">
      <w:pPr>
        <w:rPr>
          <w:lang w:val="en-GB"/>
        </w:rPr>
      </w:pPr>
      <w:r>
        <w:rPr>
          <w:lang w:val="en-GB"/>
        </w:rPr>
        <w:t>Vax (2026) </w:t>
      </w:r>
      <w:r>
        <w:rPr>
          <w:i/>
          <w:iCs/>
          <w:lang w:val="en-GB"/>
        </w:rPr>
        <w:t>About VAX - History and Vision: VAX Official Website</w:t>
      </w:r>
      <w:r>
        <w:rPr>
          <w:lang w:val="en-GB"/>
        </w:rPr>
        <w:t xml:space="preserve">. Available at: </w:t>
      </w:r>
      <w:r>
        <w:fldChar w:fldCharType="begin"/>
      </w:r>
      <w:r>
        <w:instrText xml:space="preserve"> HYPERLINK "https://www.vax.co.uk/about" </w:instrText>
      </w:r>
      <w:r>
        <w:fldChar w:fldCharType="separate"/>
      </w:r>
      <w:r>
        <w:rPr>
          <w:rStyle w:val="12"/>
          <w:lang w:val="en-GB"/>
        </w:rPr>
        <w:t>https://www.vax.co.uk/about</w:t>
      </w:r>
      <w:r>
        <w:rPr>
          <w:rStyle w:val="12"/>
          <w:lang w:val="en-GB"/>
        </w:rPr>
        <w:fldChar w:fldCharType="end"/>
      </w:r>
      <w:r>
        <w:rPr>
          <w:lang w:val="en-GB"/>
        </w:rPr>
        <w:t xml:space="preserve"> (Accessed: 1 April 2026).</w:t>
      </w:r>
    </w:p>
    <w:p w14:paraId="1CDAFAE6">
      <w:r>
        <w:rPr>
          <w:shd w:val="clear" w:color="auto" w:fill="FFFFFF"/>
          <w:lang w:val="en-GB"/>
        </w:rPr>
        <w:t>Wongsaichia, S., Naruetharadhol, P., Schrank, J., Phoomsom, P., Sirisoonthonkul, K., Paiyasen, V., Srichaingwang, S. and Ketkaew, C. (2022) ‘Influences of green eating behaviors underlying the extended theory of planned behavior: a study of market segmentation and purchase intention’, </w:t>
      </w:r>
      <w:r>
        <w:rPr>
          <w:i/>
          <w:iCs/>
          <w:shd w:val="clear" w:color="auto" w:fill="FFFFFF"/>
          <w:lang w:val="en-GB"/>
        </w:rPr>
        <w:t>Sustainability</w:t>
      </w:r>
      <w:r>
        <w:rPr>
          <w:shd w:val="clear" w:color="auto" w:fill="FFFFFF"/>
          <w:lang w:val="en-GB"/>
        </w:rPr>
        <w:t>, </w:t>
      </w:r>
      <w:r>
        <w:rPr>
          <w:lang w:val="en-GB"/>
        </w:rPr>
        <w:t>14</w:t>
      </w:r>
      <w:r>
        <w:rPr>
          <w:shd w:val="clear" w:color="auto" w:fill="FFFFFF"/>
          <w:lang w:val="en-GB"/>
        </w:rPr>
        <w:t>(13), pp.1-20.</w:t>
      </w:r>
      <w:r>
        <w:fldChar w:fldCharType="begin"/>
      </w:r>
      <w:r>
        <w:instrText xml:space="preserve"> HYPERLINK "https://doi.org/10.3390/su14138050" </w:instrText>
      </w:r>
      <w:r>
        <w:fldChar w:fldCharType="separate"/>
      </w:r>
      <w:r>
        <w:rPr>
          <w:rStyle w:val="12"/>
          <w:shd w:val="clear" w:color="auto" w:fill="FFFFFF"/>
          <w:lang w:val="en-GB"/>
        </w:rPr>
        <w:t>https://doi.org/10.3390/su14138050</w:t>
      </w:r>
      <w:r>
        <w:rPr>
          <w:rStyle w:val="12"/>
          <w:shd w:val="clear" w:color="auto" w:fill="FFFFFF"/>
          <w:lang w:val="en-GB"/>
        </w:rPr>
        <w:fldChar w:fldCharType="end"/>
      </w:r>
    </w:p>
    <w:sectPr>
      <w:footerReference r:id="rId5" w:type="default"/>
      <w:pgSz w:w="12240" w:h="15840"/>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等线">
    <w:altName w:val="Arial Unicode MS"/>
    <w:panose1 w:val="00000000000000000000"/>
    <w:charset w:val="86"/>
    <w:family w:val="auto"/>
    <w:pitch w:val="default"/>
    <w:sig w:usb0="00000000" w:usb1="00000000" w:usb2="00000000" w:usb3="00000000" w:csb0="00000000" w:csb1="00000000"/>
  </w:font>
  <w:font w:name="Calibri">
    <w:panose1 w:val="020F0502020204030204"/>
    <w:charset w:val="00"/>
    <w:family w:val="auto"/>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Symbol">
    <w:panose1 w:val="05050102010706020507"/>
    <w:charset w:val="02"/>
    <w:family w:val="roman"/>
    <w:pitch w:val="default"/>
    <w:sig w:usb0="00000000" w:usb1="00000000" w:usb2="00000000" w:usb3="00000000" w:csb0="80000000" w:csb1="00000000"/>
  </w:font>
  <w:font w:name="Cambria Math">
    <w:panose1 w:val="02040503050406030204"/>
    <w:charset w:val="00"/>
    <w:family w:val="roman"/>
    <w:pitch w:val="default"/>
    <w:sig w:usb0="E00006FF" w:usb1="420024FF" w:usb2="02000000" w:usb3="00000000" w:csb0="2000019F" w:csb1="00000000"/>
  </w:font>
  <w:font w:name="Segoe UI">
    <w:panose1 w:val="020B0502040204020203"/>
    <w:charset w:val="00"/>
    <w:family w:val="auto"/>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461407391"/>
      <w:docPartObj>
        <w:docPartGallery w:val="AutoText"/>
      </w:docPartObj>
    </w:sdtPr>
    <w:sdtContent>
      <w:p w14:paraId="68127795">
        <w:pPr>
          <w:pStyle w:val="10"/>
          <w:jc w:val="right"/>
        </w:pPr>
        <w:r>
          <w:fldChar w:fldCharType="begin"/>
        </w:r>
        <w:r>
          <w:instrText xml:space="preserve"> PAGE   \* MERGEFORMAT </w:instrText>
        </w:r>
        <w:r>
          <w:fldChar w:fldCharType="separate"/>
        </w:r>
        <w:r>
          <w:t>14</w:t>
        </w:r>
        <w:r>
          <w:fldChar w:fldCharType="end"/>
        </w:r>
      </w:p>
    </w:sdtContent>
  </w:sdt>
  <w:p w14:paraId="278271A9">
    <w:pPr>
      <w:pStyle w:val="1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7323259"/>
    <w:multiLevelType w:val="multilevel"/>
    <w:tmpl w:val="37323259"/>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68334369"/>
    <w:multiLevelType w:val="multilevel"/>
    <w:tmpl w:val="68334369"/>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2"/>
  </w:compat>
  <w:rsids>
    <w:rsidRoot w:val="00C21FCB"/>
    <w:rsid w:val="0007552D"/>
    <w:rsid w:val="000B0A25"/>
    <w:rsid w:val="0010651A"/>
    <w:rsid w:val="001D128F"/>
    <w:rsid w:val="001D6A54"/>
    <w:rsid w:val="001F4E6D"/>
    <w:rsid w:val="00235FFB"/>
    <w:rsid w:val="002569A9"/>
    <w:rsid w:val="00266D9B"/>
    <w:rsid w:val="00303EB5"/>
    <w:rsid w:val="00343A05"/>
    <w:rsid w:val="00371592"/>
    <w:rsid w:val="00375A2F"/>
    <w:rsid w:val="0039296E"/>
    <w:rsid w:val="003A346D"/>
    <w:rsid w:val="003B433E"/>
    <w:rsid w:val="003F244D"/>
    <w:rsid w:val="0046250D"/>
    <w:rsid w:val="0047687D"/>
    <w:rsid w:val="004A58D5"/>
    <w:rsid w:val="004B15C5"/>
    <w:rsid w:val="004F720E"/>
    <w:rsid w:val="00534E6C"/>
    <w:rsid w:val="00544A70"/>
    <w:rsid w:val="005866D2"/>
    <w:rsid w:val="0059033B"/>
    <w:rsid w:val="005B5A7E"/>
    <w:rsid w:val="00641DD3"/>
    <w:rsid w:val="006D09DF"/>
    <w:rsid w:val="006D157B"/>
    <w:rsid w:val="006E7C83"/>
    <w:rsid w:val="00726D2D"/>
    <w:rsid w:val="007620FB"/>
    <w:rsid w:val="00763C57"/>
    <w:rsid w:val="007B0201"/>
    <w:rsid w:val="0081610D"/>
    <w:rsid w:val="0087204B"/>
    <w:rsid w:val="008765D7"/>
    <w:rsid w:val="00892179"/>
    <w:rsid w:val="008A0F20"/>
    <w:rsid w:val="008A69A4"/>
    <w:rsid w:val="008E28CA"/>
    <w:rsid w:val="008E6DFD"/>
    <w:rsid w:val="009B4B61"/>
    <w:rsid w:val="009D704A"/>
    <w:rsid w:val="009E1D94"/>
    <w:rsid w:val="009F52C7"/>
    <w:rsid w:val="00A105A9"/>
    <w:rsid w:val="00A22E11"/>
    <w:rsid w:val="00A459A0"/>
    <w:rsid w:val="00A459F5"/>
    <w:rsid w:val="00A50371"/>
    <w:rsid w:val="00A6485F"/>
    <w:rsid w:val="00AC5A77"/>
    <w:rsid w:val="00B0238A"/>
    <w:rsid w:val="00BD2E19"/>
    <w:rsid w:val="00C11C0F"/>
    <w:rsid w:val="00C21FCB"/>
    <w:rsid w:val="00C312A3"/>
    <w:rsid w:val="00C90EDF"/>
    <w:rsid w:val="00CA113C"/>
    <w:rsid w:val="00CF2EF2"/>
    <w:rsid w:val="00CF482F"/>
    <w:rsid w:val="00D114E0"/>
    <w:rsid w:val="00D2587D"/>
    <w:rsid w:val="00D30855"/>
    <w:rsid w:val="00D33093"/>
    <w:rsid w:val="00D42F0A"/>
    <w:rsid w:val="00E1741C"/>
    <w:rsid w:val="00E37247"/>
    <w:rsid w:val="00E50FCF"/>
    <w:rsid w:val="00EC2259"/>
    <w:rsid w:val="00F42249"/>
    <w:rsid w:val="00FA6D96"/>
    <w:rsid w:val="00FC4CAD"/>
    <w:rsid w:val="00FD462D"/>
    <w:rsid w:val="00FE767E"/>
    <w:rsid w:val="6A39475A"/>
  </w:rsids>
  <m:mathPr>
    <m:mathFont m:val="Cambria Math"/>
    <m:brkBin m:val="before"/>
    <m:brkBinSub m:val="--"/>
    <m:smallFrac m:val="1"/>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rules v:ext="edit">
        <o:r id="V:Rule1" type="connector" idref="#_x0000_s1034"/>
        <o:r id="V:Rule2" type="connector" idref="#_x0000_s1035"/>
      </o:rules>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iPriority="99" w:name="header"/>
    <w:lsdException w:qFormat="1" w:uiPriority="99" w:semiHidden="0" w:name="footer"/>
    <w:lsdException w:uiPriority="99" w:name="index heading"/>
    <w:lsdException w:qFormat="1" w:uiPriority="35" w:semiHidden="0"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before="120" w:after="200" w:line="360" w:lineRule="auto"/>
      <w:jc w:val="both"/>
    </w:pPr>
    <w:rPr>
      <w:rFonts w:ascii="Times New Roman" w:hAnsi="Times New Roman" w:eastAsiaTheme="minorHAnsi" w:cstheme="minorBidi"/>
      <w:sz w:val="24"/>
      <w:szCs w:val="22"/>
      <w:lang w:val="en-US" w:eastAsia="en-US" w:bidi="ar-SA"/>
    </w:rPr>
  </w:style>
  <w:style w:type="paragraph" w:styleId="2">
    <w:name w:val="heading 1"/>
    <w:basedOn w:val="1"/>
    <w:next w:val="1"/>
    <w:link w:val="15"/>
    <w:qFormat/>
    <w:uiPriority w:val="9"/>
    <w:pPr>
      <w:keepNext/>
      <w:keepLines/>
      <w:spacing w:before="240" w:after="0"/>
      <w:outlineLvl w:val="0"/>
    </w:pPr>
    <w:rPr>
      <w:rFonts w:eastAsiaTheme="majorEastAsia" w:cstheme="majorBidi"/>
      <w:b/>
      <w:bCs/>
      <w:sz w:val="28"/>
      <w:szCs w:val="28"/>
    </w:rPr>
  </w:style>
  <w:style w:type="paragraph" w:styleId="3">
    <w:name w:val="heading 2"/>
    <w:basedOn w:val="1"/>
    <w:next w:val="1"/>
    <w:link w:val="17"/>
    <w:unhideWhenUsed/>
    <w:qFormat/>
    <w:uiPriority w:val="9"/>
    <w:pPr>
      <w:keepNext/>
      <w:keepLines/>
      <w:spacing w:before="200" w:after="0"/>
      <w:outlineLvl w:val="1"/>
    </w:pPr>
    <w:rPr>
      <w:rFonts w:eastAsiaTheme="majorEastAsia" w:cstheme="majorBidi"/>
      <w:b/>
      <w:bCs/>
      <w:sz w:val="26"/>
      <w:szCs w:val="26"/>
    </w:rPr>
  </w:style>
  <w:style w:type="character" w:default="1" w:styleId="4">
    <w:name w:val="Default Paragraph Font"/>
    <w:semiHidden/>
    <w:unhideWhenUsed/>
    <w:qFormat/>
    <w:uiPriority w:val="1"/>
  </w:style>
  <w:style w:type="table" w:default="1" w:styleId="5">
    <w:name w:val="Normal Table"/>
    <w:semiHidden/>
    <w:unhideWhenUsed/>
    <w:qFormat/>
    <w:uiPriority w:val="99"/>
    <w:tblPr>
      <w:tblCellMar>
        <w:top w:w="0" w:type="dxa"/>
        <w:left w:w="108" w:type="dxa"/>
        <w:bottom w:w="0" w:type="dxa"/>
        <w:right w:w="108" w:type="dxa"/>
      </w:tblCellMar>
    </w:tblPr>
  </w:style>
  <w:style w:type="paragraph" w:styleId="6">
    <w:name w:val="Balloon Text"/>
    <w:basedOn w:val="1"/>
    <w:link w:val="19"/>
    <w:semiHidden/>
    <w:unhideWhenUsed/>
    <w:uiPriority w:val="99"/>
    <w:pPr>
      <w:spacing w:before="0" w:after="0" w:line="240" w:lineRule="auto"/>
    </w:pPr>
    <w:rPr>
      <w:rFonts w:ascii="Tahoma" w:hAnsi="Tahoma" w:cs="Tahoma"/>
      <w:sz w:val="16"/>
      <w:szCs w:val="16"/>
    </w:rPr>
  </w:style>
  <w:style w:type="paragraph" w:styleId="7">
    <w:name w:val="caption"/>
    <w:basedOn w:val="1"/>
    <w:next w:val="1"/>
    <w:unhideWhenUsed/>
    <w:qFormat/>
    <w:uiPriority w:val="35"/>
    <w:pPr>
      <w:spacing w:before="0" w:line="240" w:lineRule="auto"/>
    </w:pPr>
    <w:rPr>
      <w:b/>
      <w:bCs/>
      <w:color w:val="4F81BD" w:themeColor="accent1"/>
      <w:sz w:val="18"/>
      <w:szCs w:val="18"/>
    </w:rPr>
  </w:style>
  <w:style w:type="character" w:styleId="8">
    <w:name w:val="annotation reference"/>
    <w:basedOn w:val="4"/>
    <w:semiHidden/>
    <w:unhideWhenUsed/>
    <w:qFormat/>
    <w:uiPriority w:val="99"/>
    <w:rPr>
      <w:sz w:val="16"/>
      <w:szCs w:val="16"/>
    </w:rPr>
  </w:style>
  <w:style w:type="paragraph" w:styleId="9">
    <w:name w:val="annotation text"/>
    <w:basedOn w:val="1"/>
    <w:link w:val="22"/>
    <w:semiHidden/>
    <w:unhideWhenUsed/>
    <w:qFormat/>
    <w:uiPriority w:val="99"/>
    <w:pPr>
      <w:spacing w:line="240" w:lineRule="auto"/>
    </w:pPr>
    <w:rPr>
      <w:sz w:val="20"/>
      <w:szCs w:val="20"/>
    </w:rPr>
  </w:style>
  <w:style w:type="paragraph" w:styleId="10">
    <w:name w:val="footer"/>
    <w:basedOn w:val="1"/>
    <w:link w:val="21"/>
    <w:unhideWhenUsed/>
    <w:qFormat/>
    <w:uiPriority w:val="99"/>
    <w:pPr>
      <w:tabs>
        <w:tab w:val="center" w:pos="4680"/>
        <w:tab w:val="right" w:pos="9360"/>
      </w:tabs>
      <w:spacing w:before="0" w:after="0" w:line="240" w:lineRule="auto"/>
    </w:pPr>
  </w:style>
  <w:style w:type="paragraph" w:styleId="11">
    <w:name w:val="header"/>
    <w:basedOn w:val="1"/>
    <w:link w:val="20"/>
    <w:semiHidden/>
    <w:unhideWhenUsed/>
    <w:qFormat/>
    <w:uiPriority w:val="99"/>
    <w:pPr>
      <w:tabs>
        <w:tab w:val="center" w:pos="4680"/>
        <w:tab w:val="right" w:pos="9360"/>
      </w:tabs>
      <w:spacing w:before="0" w:after="0" w:line="240" w:lineRule="auto"/>
    </w:pPr>
  </w:style>
  <w:style w:type="character" w:styleId="12">
    <w:name w:val="Hyperlink"/>
    <w:basedOn w:val="4"/>
    <w:unhideWhenUsed/>
    <w:qFormat/>
    <w:uiPriority w:val="99"/>
    <w:rPr>
      <w:color w:val="0000FF" w:themeColor="hyperlink"/>
      <w:u w:val="single"/>
    </w:rPr>
  </w:style>
  <w:style w:type="table" w:styleId="13">
    <w:name w:val="Table Grid"/>
    <w:basedOn w:val="5"/>
    <w:qFormat/>
    <w:uiPriority w:val="59"/>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14">
    <w:name w:val="Title"/>
    <w:basedOn w:val="1"/>
    <w:next w:val="1"/>
    <w:link w:val="16"/>
    <w:qFormat/>
    <w:uiPriority w:val="10"/>
    <w:pPr>
      <w:spacing w:after="300"/>
      <w:contextualSpacing/>
      <w:jc w:val="center"/>
    </w:pPr>
    <w:rPr>
      <w:rFonts w:eastAsiaTheme="majorEastAsia" w:cstheme="majorBidi"/>
      <w:b/>
      <w:spacing w:val="5"/>
      <w:kern w:val="28"/>
      <w:sz w:val="36"/>
      <w:szCs w:val="52"/>
    </w:rPr>
  </w:style>
  <w:style w:type="character" w:customStyle="1" w:styleId="15">
    <w:name w:val="Heading 1 Char"/>
    <w:basedOn w:val="4"/>
    <w:link w:val="2"/>
    <w:qFormat/>
    <w:uiPriority w:val="9"/>
    <w:rPr>
      <w:rFonts w:ascii="Times New Roman" w:hAnsi="Times New Roman" w:eastAsiaTheme="majorEastAsia" w:cstheme="majorBidi"/>
      <w:b/>
      <w:bCs/>
      <w:sz w:val="28"/>
      <w:szCs w:val="28"/>
    </w:rPr>
  </w:style>
  <w:style w:type="character" w:customStyle="1" w:styleId="16">
    <w:name w:val="Title Char"/>
    <w:basedOn w:val="4"/>
    <w:link w:val="14"/>
    <w:qFormat/>
    <w:uiPriority w:val="10"/>
    <w:rPr>
      <w:rFonts w:ascii="Times New Roman" w:hAnsi="Times New Roman" w:eastAsiaTheme="majorEastAsia" w:cstheme="majorBidi"/>
      <w:b/>
      <w:spacing w:val="5"/>
      <w:kern w:val="28"/>
      <w:sz w:val="36"/>
      <w:szCs w:val="52"/>
    </w:rPr>
  </w:style>
  <w:style w:type="character" w:customStyle="1" w:styleId="17">
    <w:name w:val="Heading 2 Char"/>
    <w:basedOn w:val="4"/>
    <w:link w:val="3"/>
    <w:qFormat/>
    <w:uiPriority w:val="9"/>
    <w:rPr>
      <w:rFonts w:ascii="Times New Roman" w:hAnsi="Times New Roman" w:eastAsiaTheme="majorEastAsia" w:cstheme="majorBidi"/>
      <w:b/>
      <w:bCs/>
      <w:sz w:val="26"/>
      <w:szCs w:val="26"/>
    </w:rPr>
  </w:style>
  <w:style w:type="paragraph" w:styleId="18">
    <w:name w:val="List Paragraph"/>
    <w:basedOn w:val="1"/>
    <w:qFormat/>
    <w:uiPriority w:val="34"/>
    <w:pPr>
      <w:ind w:left="720"/>
      <w:contextualSpacing/>
    </w:pPr>
  </w:style>
  <w:style w:type="character" w:customStyle="1" w:styleId="19">
    <w:name w:val="Balloon Text Char"/>
    <w:basedOn w:val="4"/>
    <w:link w:val="6"/>
    <w:semiHidden/>
    <w:qFormat/>
    <w:uiPriority w:val="99"/>
    <w:rPr>
      <w:rFonts w:ascii="Tahoma" w:hAnsi="Tahoma" w:cs="Tahoma"/>
      <w:sz w:val="16"/>
      <w:szCs w:val="16"/>
    </w:rPr>
  </w:style>
  <w:style w:type="character" w:customStyle="1" w:styleId="20">
    <w:name w:val="Header Char"/>
    <w:basedOn w:val="4"/>
    <w:link w:val="11"/>
    <w:semiHidden/>
    <w:qFormat/>
    <w:uiPriority w:val="99"/>
    <w:rPr>
      <w:rFonts w:ascii="Times New Roman" w:hAnsi="Times New Roman"/>
      <w:sz w:val="24"/>
    </w:rPr>
  </w:style>
  <w:style w:type="character" w:customStyle="1" w:styleId="21">
    <w:name w:val="Footer Char"/>
    <w:basedOn w:val="4"/>
    <w:link w:val="10"/>
    <w:qFormat/>
    <w:uiPriority w:val="99"/>
    <w:rPr>
      <w:rFonts w:ascii="Times New Roman" w:hAnsi="Times New Roman"/>
      <w:sz w:val="24"/>
    </w:rPr>
  </w:style>
  <w:style w:type="character" w:customStyle="1" w:styleId="22">
    <w:name w:val="Comment Text Char"/>
    <w:basedOn w:val="4"/>
    <w:link w:val="9"/>
    <w:semiHidden/>
    <w:qFormat/>
    <w:uiPriority w:val="99"/>
    <w:rPr>
      <w:rFonts w:ascii="Times New Roman" w:hAnsi="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8" Type="http://schemas.openxmlformats.org/officeDocument/2006/relationships/fontTable" Target="fontTable.xml"/><Relationship Id="rId17" Type="http://schemas.openxmlformats.org/officeDocument/2006/relationships/numbering" Target="numbering.xml"/><Relationship Id="rId16" Type="http://schemas.openxmlformats.org/officeDocument/2006/relationships/customXml" Target="../customXml/item1.xml"/><Relationship Id="rId15" Type="http://schemas.openxmlformats.org/officeDocument/2006/relationships/image" Target="media/image9.png"/><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9"/>
    <customShpInfo spid="_x0000_s1030"/>
    <customShpInfo spid="_x0000_s1031"/>
    <customShpInfo spid="_x0000_s1032"/>
    <customShpInfo spid="_x0000_s1033"/>
    <customShpInfo spid="_x0000_s1034"/>
    <customShpInfo spid="_x0000_s1035"/>
    <customShpInfo spid="_x0000_s1042"/>
    <customShpInfo spid="_x0000_s1043"/>
    <customShpInfo spid="_x0000_s1046"/>
    <customShpInfo spid="_x0000_s1047"/>
    <customShpInfo spid="_x0000_s1048"/>
    <customShpInfo spid="_x0000_s1049"/>
    <customShpInfo spid="_x0000_s1028"/>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17</Pages>
  <Words>3995</Words>
  <Characters>22775</Characters>
  <Lines>189</Lines>
  <Paragraphs>53</Paragraphs>
  <TotalTime>365</TotalTime>
  <ScaleCrop>false</ScaleCrop>
  <LinksUpToDate>false</LinksUpToDate>
  <CharactersWithSpaces>26717</CharactersWithSpaces>
  <Application>WPS Office_12.2.0.23196_F1E327BC-269C-435d-A152-05C5408002CA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2026-04-01T06:57:00Z</dcterms:created>
  <dc:creator>ADMIN</dc:creator>
  <cp:lastModifiedBy>Roshan Shah</cp:lastModifiedBy>
  <dcterms:modified xsi:type="dcterms:W3CDTF">2026-04-06T05:56:13Z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EFA3AA787B4F406F994F49D286D77CC5_12</vt:lpwstr>
  </property>
</Properties>
</file>