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D495B" w14:textId="5C432D61" w:rsidR="00D45D33" w:rsidRPr="00C04E13" w:rsidRDefault="001E4ACC">
      <w:pPr>
        <w:rPr>
          <w:rFonts w:cstheme="minorHAnsi"/>
          <w:u w:val="single"/>
        </w:rPr>
      </w:pPr>
      <w:r w:rsidRPr="00C04E13">
        <w:rPr>
          <w:rFonts w:cstheme="minorHAnsi"/>
          <w:u w:val="single"/>
        </w:rPr>
        <w:t>Literature review</w:t>
      </w:r>
    </w:p>
    <w:p w14:paraId="1830C034" w14:textId="77777777" w:rsidR="00AA7C3E" w:rsidRPr="00C04E13" w:rsidRDefault="00AA7C3E">
      <w:pPr>
        <w:rPr>
          <w:rFonts w:cstheme="minorHAnsi"/>
          <w:u w:val="single"/>
        </w:rPr>
      </w:pPr>
    </w:p>
    <w:p w14:paraId="1EB36C87" w14:textId="1C04D3F7" w:rsidR="006D3B74" w:rsidRPr="00C04E13" w:rsidRDefault="0002587C" w:rsidP="006D3B74">
      <w:pPr>
        <w:rPr>
          <w:rFonts w:cstheme="minorHAnsi"/>
        </w:rPr>
      </w:pPr>
      <w:r w:rsidRPr="00C04E13">
        <w:rPr>
          <w:rFonts w:cstheme="minorHAnsi"/>
        </w:rPr>
        <w:t>From March 2021 to March 2022 only 5.5% of offences that were recorded by the police in England and Wales let to a charge and</w:t>
      </w:r>
      <w:r w:rsidR="00F710A1" w:rsidRPr="00C04E13">
        <w:rPr>
          <w:rFonts w:cstheme="minorHAnsi"/>
        </w:rPr>
        <w:t xml:space="preserve"> </w:t>
      </w:r>
      <w:r w:rsidRPr="00C04E13">
        <w:rPr>
          <w:rFonts w:cstheme="minorHAnsi"/>
        </w:rPr>
        <w:t>/ or summonses</w:t>
      </w:r>
      <w:r w:rsidR="00F710A1" w:rsidRPr="00C04E13">
        <w:rPr>
          <w:rFonts w:cstheme="minorHAnsi"/>
        </w:rPr>
        <w:t>. T</w:t>
      </w:r>
      <w:r w:rsidRPr="00C04E13">
        <w:rPr>
          <w:rFonts w:cstheme="minorHAnsi"/>
        </w:rPr>
        <w:t>his is a 1.5% decrease from the previous year and a 10.4% drop from 2015 where 16% of offences reported led to a charge and</w:t>
      </w:r>
      <w:r w:rsidR="00F710A1" w:rsidRPr="00C04E13">
        <w:rPr>
          <w:rFonts w:cstheme="minorHAnsi"/>
        </w:rPr>
        <w:t xml:space="preserve"> </w:t>
      </w:r>
      <w:r w:rsidRPr="00C04E13">
        <w:rPr>
          <w:rFonts w:cstheme="minorHAnsi"/>
        </w:rPr>
        <w:t xml:space="preserve">/or summons. Within this literature review I will </w:t>
      </w:r>
      <w:r w:rsidR="00900FF6" w:rsidRPr="00C04E13">
        <w:rPr>
          <w:rFonts w:cstheme="minorHAnsi"/>
        </w:rPr>
        <w:t>discuss</w:t>
      </w:r>
      <w:r w:rsidRPr="00C04E13">
        <w:rPr>
          <w:rFonts w:cstheme="minorHAnsi"/>
        </w:rPr>
        <w:t xml:space="preserve"> what vigilan</w:t>
      </w:r>
      <w:r w:rsidR="00900FF6" w:rsidRPr="00C04E13">
        <w:rPr>
          <w:rFonts w:cstheme="minorHAnsi"/>
        </w:rPr>
        <w:t xml:space="preserve">tism is and </w:t>
      </w:r>
      <w:r w:rsidR="00A6362A" w:rsidRPr="00C04E13">
        <w:rPr>
          <w:rFonts w:cstheme="minorHAnsi"/>
        </w:rPr>
        <w:t>explore its role in contemporary policing</w:t>
      </w:r>
      <w:r w:rsidR="00900FF6" w:rsidRPr="00C04E13">
        <w:rPr>
          <w:rFonts w:cstheme="minorHAnsi"/>
        </w:rPr>
        <w:t xml:space="preserve">. </w:t>
      </w:r>
      <w:r w:rsidR="00BF6BF8" w:rsidRPr="00C04E13">
        <w:rPr>
          <w:rFonts w:cstheme="minorHAnsi"/>
        </w:rPr>
        <w:t xml:space="preserve">Alongside this, I will look to explore the </w:t>
      </w:r>
      <w:r w:rsidR="00AA7C3E" w:rsidRPr="00C04E13">
        <w:rPr>
          <w:rFonts w:cstheme="minorHAnsi"/>
        </w:rPr>
        <w:t>public’s</w:t>
      </w:r>
      <w:r w:rsidR="00BF6BF8" w:rsidRPr="00C04E13">
        <w:rPr>
          <w:rFonts w:cstheme="minorHAnsi"/>
        </w:rPr>
        <w:t xml:space="preserve"> perception of vigilantes</w:t>
      </w:r>
      <w:r w:rsidR="00AA7C3E" w:rsidRPr="00C04E13">
        <w:rPr>
          <w:rFonts w:cstheme="minorHAnsi"/>
        </w:rPr>
        <w:t xml:space="preserve"> and vigilantism and analyse the reasons for supporting such acts</w:t>
      </w:r>
      <w:r w:rsidR="00B72DA2" w:rsidRPr="00C04E13">
        <w:rPr>
          <w:rFonts w:cstheme="minorHAnsi"/>
        </w:rPr>
        <w:t xml:space="preserve">. </w:t>
      </w:r>
    </w:p>
    <w:p w14:paraId="7EC20517" w14:textId="77777777" w:rsidR="006D3B74" w:rsidRPr="00C04E13" w:rsidRDefault="006D3B74" w:rsidP="006D3B74">
      <w:pPr>
        <w:rPr>
          <w:rFonts w:cstheme="minorHAnsi"/>
        </w:rPr>
      </w:pPr>
    </w:p>
    <w:p w14:paraId="1BDA05C5" w14:textId="645728B8" w:rsidR="00A65393" w:rsidRPr="00B72DA2" w:rsidRDefault="00A65393" w:rsidP="006D3B74">
      <w:pPr>
        <w:rPr>
          <w:rFonts w:cstheme="minorHAnsi"/>
        </w:rPr>
      </w:pPr>
      <w:r w:rsidRPr="00B72DA2">
        <w:rPr>
          <w:rFonts w:eastAsia="Times New Roman" w:cstheme="minorHAnsi"/>
          <w:b/>
          <w:bCs/>
          <w:color w:val="0B0C0C"/>
          <w:lang w:eastAsia="en-GB"/>
        </w:rPr>
        <w:t>Proportion of offences resulting in a charge and/or summons or evidential difficulties outcome, or where an outcome is yet to be assigned, year ending March 2015 to year ending March 2022, England and Wales</w:t>
      </w:r>
    </w:p>
    <w:p w14:paraId="161C29E4" w14:textId="77777777" w:rsidR="00A65393" w:rsidRPr="00B72DA2" w:rsidRDefault="00A65393" w:rsidP="00A65393">
      <w:pPr>
        <w:spacing w:after="0" w:line="240" w:lineRule="auto"/>
        <w:rPr>
          <w:rFonts w:eastAsia="Times New Roman" w:cstheme="minorHAnsi"/>
          <w:lang w:eastAsia="en-GB"/>
        </w:rPr>
      </w:pPr>
      <w:r w:rsidRPr="00B72DA2">
        <w:rPr>
          <w:rFonts w:eastAsia="Times New Roman" w:cstheme="minorHAnsi"/>
          <w:noProof/>
          <w:lang w:eastAsia="en-GB"/>
        </w:rPr>
        <w:drawing>
          <wp:inline distT="0" distB="0" distL="0" distR="0" wp14:anchorId="4332DD7F" wp14:editId="116819F8">
            <wp:extent cx="5626100" cy="3750733"/>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7951" cy="3758634"/>
                    </a:xfrm>
                    <a:prstGeom prst="rect">
                      <a:avLst/>
                    </a:prstGeom>
                    <a:noFill/>
                    <a:ln>
                      <a:noFill/>
                    </a:ln>
                  </pic:spPr>
                </pic:pic>
              </a:graphicData>
            </a:graphic>
          </wp:inline>
        </w:drawing>
      </w:r>
    </w:p>
    <w:p w14:paraId="517FC2B4" w14:textId="77777777" w:rsidR="00A65393" w:rsidRPr="00C04E13" w:rsidRDefault="00A65393" w:rsidP="00A65393">
      <w:pPr>
        <w:rPr>
          <w:rFonts w:cstheme="minorHAnsi"/>
          <w:i/>
          <w:iCs/>
        </w:rPr>
      </w:pPr>
      <w:r w:rsidRPr="00C04E13">
        <w:rPr>
          <w:rFonts w:cstheme="minorHAnsi"/>
          <w:i/>
          <w:iCs/>
        </w:rPr>
        <w:t>Figure 1 - Proportion of offences resulting in a charge and/or summons or evidential difficulties outcome, or where an outcome is yet to be assigned, year ending March 2015 to year ending March 2022, England and Wales (Home Office, 2022)</w:t>
      </w:r>
    </w:p>
    <w:p w14:paraId="2D5D5A0B" w14:textId="77777777" w:rsidR="00A65393" w:rsidRPr="00C04E13" w:rsidRDefault="00A65393" w:rsidP="00A65393">
      <w:pPr>
        <w:rPr>
          <w:rFonts w:cstheme="minorHAnsi"/>
          <w:i/>
          <w:iCs/>
        </w:rPr>
      </w:pPr>
    </w:p>
    <w:p w14:paraId="27FCA87E" w14:textId="354FE2D7" w:rsidR="006E49F6" w:rsidRPr="00C04E13" w:rsidRDefault="00A65393" w:rsidP="00A65393">
      <w:pPr>
        <w:rPr>
          <w:rFonts w:cstheme="minorHAnsi"/>
          <w:u w:val="single"/>
        </w:rPr>
      </w:pPr>
      <w:r w:rsidRPr="00C04E13">
        <w:rPr>
          <w:rFonts w:cstheme="minorHAnsi"/>
          <w:u w:val="single"/>
        </w:rPr>
        <w:t>What is Vigilant</w:t>
      </w:r>
      <w:r w:rsidR="00E71988" w:rsidRPr="00C04E13">
        <w:rPr>
          <w:rFonts w:cstheme="minorHAnsi"/>
          <w:u w:val="single"/>
        </w:rPr>
        <w:t>ism</w:t>
      </w:r>
      <w:r w:rsidRPr="00C04E13">
        <w:rPr>
          <w:rFonts w:cstheme="minorHAnsi"/>
          <w:u w:val="single"/>
        </w:rPr>
        <w:t>?</w:t>
      </w:r>
    </w:p>
    <w:p w14:paraId="1DD3FE29" w14:textId="2C9FF853" w:rsidR="002A2D51" w:rsidRPr="00C04E13" w:rsidRDefault="002A2D51" w:rsidP="002A2D51">
      <w:pPr>
        <w:rPr>
          <w:rFonts w:cstheme="minorHAnsi"/>
          <w:color w:val="000000"/>
          <w:shd w:val="clear" w:color="auto" w:fill="FFFFFF"/>
        </w:rPr>
      </w:pPr>
      <w:r w:rsidRPr="00C04E13">
        <w:rPr>
          <w:rFonts w:cstheme="minorHAnsi"/>
        </w:rPr>
        <w:t xml:space="preserve">There are numerous stories of vigilantism throughout history, whereby vigilantes are usually depicted as heroes and their actions deemed heroic regardless of whether this was the case.  </w:t>
      </w:r>
      <w:r w:rsidRPr="00C04E13">
        <w:rPr>
          <w:rFonts w:cstheme="minorHAnsi"/>
          <w:color w:val="000000"/>
          <w:shd w:val="clear" w:color="auto" w:fill="FFFFFF"/>
        </w:rPr>
        <w:t>(Lisa Arellano, 2012, p. 133–134)</w:t>
      </w:r>
      <w:r w:rsidRPr="00C04E13">
        <w:rPr>
          <w:rFonts w:cstheme="minorHAnsi"/>
        </w:rPr>
        <w:t xml:space="preserve"> </w:t>
      </w:r>
    </w:p>
    <w:p w14:paraId="0AF1FC5A" w14:textId="50FED20B" w:rsidR="00537013" w:rsidRPr="00C04E13" w:rsidRDefault="00E71988" w:rsidP="00A65393">
      <w:pPr>
        <w:rPr>
          <w:rFonts w:cstheme="minorHAnsi"/>
          <w:color w:val="000000"/>
          <w:shd w:val="clear" w:color="auto" w:fill="FFFFFF"/>
        </w:rPr>
      </w:pPr>
      <w:r w:rsidRPr="00C04E13">
        <w:rPr>
          <w:rFonts w:cstheme="minorHAnsi"/>
          <w:color w:val="000000"/>
          <w:shd w:val="clear" w:color="auto" w:fill="FFFFFF"/>
        </w:rPr>
        <w:t>Vigilantes and vigilantism have always existed as a form of social justice</w:t>
      </w:r>
      <w:r w:rsidR="00F710A1" w:rsidRPr="00C04E13">
        <w:rPr>
          <w:rFonts w:cstheme="minorHAnsi"/>
          <w:color w:val="000000"/>
          <w:shd w:val="clear" w:color="auto" w:fill="FFFFFF"/>
        </w:rPr>
        <w:t>, f</w:t>
      </w:r>
      <w:r w:rsidRPr="00C04E13">
        <w:rPr>
          <w:rFonts w:cstheme="minorHAnsi"/>
          <w:color w:val="000000"/>
          <w:shd w:val="clear" w:color="auto" w:fill="FFFFFF"/>
        </w:rPr>
        <w:t xml:space="preserve">rom the San Francisco Committee of vigilance, which was founded in the 1850s in response to the widespread crime and </w:t>
      </w:r>
      <w:r w:rsidRPr="00C04E13">
        <w:rPr>
          <w:rFonts w:cstheme="minorHAnsi"/>
          <w:color w:val="000000"/>
          <w:shd w:val="clear" w:color="auto" w:fill="FFFFFF"/>
        </w:rPr>
        <w:lastRenderedPageBreak/>
        <w:t>corruption in the municipal government (Walker, 2000), to the more recent "Dark Justice" group in the United Kingdom, which was established in 2014 to catch online child predators (</w:t>
      </w:r>
      <w:proofErr w:type="spellStart"/>
      <w:r w:rsidRPr="00C04E13">
        <w:rPr>
          <w:rFonts w:cstheme="minorHAnsi"/>
          <w:color w:val="000000"/>
          <w:shd w:val="clear" w:color="auto" w:fill="FFFFFF"/>
        </w:rPr>
        <w:t>Tippett</w:t>
      </w:r>
      <w:proofErr w:type="spellEnd"/>
      <w:r w:rsidRPr="00C04E13">
        <w:rPr>
          <w:rFonts w:cstheme="minorHAnsi"/>
          <w:color w:val="000000"/>
          <w:shd w:val="clear" w:color="auto" w:fill="FFFFFF"/>
        </w:rPr>
        <w:t>, 2022).</w:t>
      </w:r>
      <w:r w:rsidRPr="00C04E13">
        <w:rPr>
          <w:rFonts w:cstheme="minorHAnsi"/>
          <w:color w:val="000000"/>
          <w:shd w:val="clear" w:color="auto" w:fill="FFFFFF"/>
        </w:rPr>
        <w:t xml:space="preserve"> </w:t>
      </w:r>
      <w:r w:rsidRPr="00C04E13">
        <w:rPr>
          <w:rFonts w:cstheme="minorHAnsi"/>
          <w:color w:val="000000"/>
          <w:shd w:val="clear" w:color="auto" w:fill="FFFFFF"/>
        </w:rPr>
        <w:t xml:space="preserve">According to </w:t>
      </w:r>
      <w:proofErr w:type="spellStart"/>
      <w:r w:rsidRPr="00C04E13">
        <w:rPr>
          <w:rFonts w:cstheme="minorHAnsi"/>
          <w:color w:val="000000"/>
          <w:shd w:val="clear" w:color="auto" w:fill="FFFFFF"/>
        </w:rPr>
        <w:t>Sederberg</w:t>
      </w:r>
      <w:proofErr w:type="spellEnd"/>
      <w:r w:rsidRPr="00C04E13">
        <w:rPr>
          <w:rFonts w:cstheme="minorHAnsi"/>
          <w:color w:val="000000"/>
          <w:shd w:val="clear" w:color="auto" w:fill="FFFFFF"/>
        </w:rPr>
        <w:t xml:space="preserve"> (1978), vigilantism stems from a need to protect social order in the face of behaviour that deviates from accepted social norms.</w:t>
      </w:r>
      <w:r w:rsidRPr="00C04E13">
        <w:rPr>
          <w:rFonts w:cstheme="minorHAnsi"/>
          <w:color w:val="000000"/>
          <w:shd w:val="clear" w:color="auto" w:fill="FFFFFF"/>
        </w:rPr>
        <w:t xml:space="preserve"> (</w:t>
      </w:r>
      <w:proofErr w:type="spellStart"/>
      <w:r w:rsidRPr="00C04E13">
        <w:rPr>
          <w:rFonts w:cstheme="minorHAnsi"/>
          <w:color w:val="000000"/>
          <w:shd w:val="clear" w:color="auto" w:fill="FFFFFF"/>
        </w:rPr>
        <w:t>Sederberg</w:t>
      </w:r>
      <w:proofErr w:type="spellEnd"/>
      <w:r w:rsidRPr="00C04E13">
        <w:rPr>
          <w:rFonts w:cstheme="minorHAnsi"/>
          <w:color w:val="000000"/>
          <w:shd w:val="clear" w:color="auto" w:fill="FFFFFF"/>
        </w:rPr>
        <w:t>, 1978)</w:t>
      </w:r>
      <w:r w:rsidR="00E1597C" w:rsidRPr="00C04E13">
        <w:rPr>
          <w:rFonts w:cstheme="minorHAnsi"/>
        </w:rPr>
        <w:t xml:space="preserve"> </w:t>
      </w:r>
    </w:p>
    <w:p w14:paraId="2EAEE4A9" w14:textId="64B0A1D2" w:rsidR="00BD1F30" w:rsidRPr="00C04E13" w:rsidRDefault="00BD1F30" w:rsidP="00A65393">
      <w:pPr>
        <w:rPr>
          <w:rFonts w:cstheme="minorHAnsi"/>
          <w:color w:val="000000"/>
          <w:shd w:val="clear" w:color="auto" w:fill="FFFFFF"/>
        </w:rPr>
      </w:pPr>
    </w:p>
    <w:p w14:paraId="3DA7FF5C" w14:textId="76ADBEE1" w:rsidR="00E1597C" w:rsidRPr="00C04E13" w:rsidRDefault="00BD1F30" w:rsidP="00A65393">
      <w:pPr>
        <w:rPr>
          <w:rFonts w:cstheme="minorHAnsi"/>
        </w:rPr>
      </w:pPr>
      <w:r w:rsidRPr="00C04E13">
        <w:rPr>
          <w:rFonts w:cstheme="minorHAnsi"/>
          <w:color w:val="000000"/>
          <w:shd w:val="clear" w:color="auto" w:fill="FFFFFF"/>
        </w:rPr>
        <w:t xml:space="preserve">Defining the term “Vigilante” </w:t>
      </w:r>
      <w:r w:rsidR="00A10272" w:rsidRPr="00C04E13">
        <w:rPr>
          <w:rFonts w:cstheme="minorHAnsi"/>
          <w:color w:val="000000"/>
          <w:shd w:val="clear" w:color="auto" w:fill="FFFFFF"/>
        </w:rPr>
        <w:t xml:space="preserve">however, </w:t>
      </w:r>
      <w:r w:rsidRPr="00C04E13">
        <w:rPr>
          <w:rFonts w:cstheme="minorHAnsi"/>
          <w:color w:val="000000"/>
          <w:shd w:val="clear" w:color="auto" w:fill="FFFFFF"/>
        </w:rPr>
        <w:t xml:space="preserve">can be extremely difficult as everyone has a different opinion on what it is. </w:t>
      </w:r>
      <w:r w:rsidRPr="00C04E13">
        <w:rPr>
          <w:rFonts w:cstheme="minorHAnsi"/>
        </w:rPr>
        <w:t>According to Abrahams (1998), “vigilantism is not easy to define in rigorous, authoritative terms” (p. 6). The term "vigilantism" in scien</w:t>
      </w:r>
      <w:r w:rsidR="00FF6545" w:rsidRPr="00C04E13">
        <w:rPr>
          <w:rFonts w:cstheme="minorHAnsi"/>
        </w:rPr>
        <w:t>tific</w:t>
      </w:r>
      <w:r w:rsidRPr="00C04E13">
        <w:rPr>
          <w:rFonts w:cstheme="minorHAnsi"/>
        </w:rPr>
        <w:t xml:space="preserve"> literature can be used to describe a wide range of actions, including terrorism, establishment violence, and uncivil disobedience.</w:t>
      </w:r>
      <w:r w:rsidRPr="00C04E13">
        <w:rPr>
          <w:rFonts w:cstheme="minorHAnsi"/>
        </w:rPr>
        <w:t xml:space="preserve"> </w:t>
      </w:r>
      <w:r w:rsidRPr="00C04E13">
        <w:rPr>
          <w:rFonts w:cstheme="minorHAnsi"/>
        </w:rPr>
        <w:t xml:space="preserve">(Rosenbaum &amp; </w:t>
      </w:r>
      <w:proofErr w:type="spellStart"/>
      <w:r w:rsidRPr="00C04E13">
        <w:rPr>
          <w:rFonts w:cstheme="minorHAnsi"/>
        </w:rPr>
        <w:t>Sederberg</w:t>
      </w:r>
      <w:proofErr w:type="spellEnd"/>
      <w:r w:rsidRPr="00C04E13">
        <w:rPr>
          <w:rFonts w:cstheme="minorHAnsi"/>
        </w:rPr>
        <w:t>, 1974, p. 542).</w:t>
      </w:r>
      <w:r w:rsidR="00E1597C" w:rsidRPr="00C04E13">
        <w:rPr>
          <w:rFonts w:cstheme="minorHAnsi"/>
        </w:rPr>
        <w:t xml:space="preserve"> </w:t>
      </w:r>
      <w:r w:rsidR="00E1597C" w:rsidRPr="00C04E13">
        <w:rPr>
          <w:rFonts w:cstheme="minorHAnsi"/>
        </w:rPr>
        <w:t>Intuitively, "taking the law into one's own hands" is a common definition of vigilantism. However, because it is unclear what exactly "taking the law into one's own hands" implies, this informal interpretation is an inadequate basis for social scientific on vigilantism.</w:t>
      </w:r>
    </w:p>
    <w:p w14:paraId="4FEEC260" w14:textId="2D1E5BB2" w:rsidR="00E1597C" w:rsidRPr="00C04E13" w:rsidRDefault="00E1597C" w:rsidP="00E1597C">
      <w:pPr>
        <w:rPr>
          <w:rFonts w:cstheme="minorHAnsi"/>
          <w:color w:val="000000"/>
          <w:shd w:val="clear" w:color="auto" w:fill="FFFFFF"/>
        </w:rPr>
      </w:pPr>
      <w:r w:rsidRPr="00C04E13">
        <w:rPr>
          <w:rFonts w:cstheme="minorHAnsi"/>
          <w:color w:val="000000"/>
          <w:shd w:val="clear" w:color="auto" w:fill="FFFFFF"/>
        </w:rPr>
        <w:t xml:space="preserve">Even more constraints are placed on the idea by Johnston (1996), who defines vigilantism in terms of a number of </w:t>
      </w:r>
      <w:r w:rsidR="00A10272" w:rsidRPr="00C04E13">
        <w:rPr>
          <w:rFonts w:cstheme="minorHAnsi"/>
          <w:color w:val="000000"/>
          <w:shd w:val="clear" w:color="auto" w:fill="FFFFFF"/>
        </w:rPr>
        <w:t>requirements</w:t>
      </w:r>
      <w:r w:rsidRPr="00C04E13">
        <w:rPr>
          <w:rFonts w:cstheme="minorHAnsi"/>
          <w:color w:val="000000"/>
          <w:shd w:val="clear" w:color="auto" w:fill="FFFFFF"/>
        </w:rPr>
        <w:t xml:space="preserve"> such as premeditation, voluntary action by private persons, group action, the use of force or threats of force, and security assurances.</w:t>
      </w:r>
    </w:p>
    <w:p w14:paraId="65131699" w14:textId="45085F9F" w:rsidR="00537013" w:rsidRPr="00C04E13" w:rsidRDefault="00FF6545" w:rsidP="00A65393">
      <w:pPr>
        <w:rPr>
          <w:rFonts w:cstheme="minorHAnsi"/>
          <w:color w:val="000000"/>
          <w:shd w:val="clear" w:color="auto" w:fill="FFFFFF"/>
        </w:rPr>
      </w:pPr>
      <w:r w:rsidRPr="00C04E13">
        <w:rPr>
          <w:rFonts w:cstheme="minorHAnsi"/>
          <w:color w:val="000000"/>
          <w:shd w:val="clear" w:color="auto" w:fill="FFFFFF"/>
        </w:rPr>
        <w:t>I will require a definition of vigilantism for this survey that is clear enough to avoid conceptual deliberation to the point of ineffectiveness, inclusive enough to allow comparison and for it to be operationalizable.</w:t>
      </w:r>
      <w:r w:rsidRPr="00C04E13">
        <w:rPr>
          <w:rFonts w:cstheme="minorHAnsi"/>
          <w:color w:val="000000"/>
          <w:shd w:val="clear" w:color="auto" w:fill="FFFFFF"/>
        </w:rPr>
        <w:t xml:space="preserve"> F or this I have chosen Regina </w:t>
      </w:r>
      <w:proofErr w:type="spellStart"/>
      <w:r w:rsidRPr="00C04E13">
        <w:rPr>
          <w:rFonts w:cstheme="minorHAnsi"/>
          <w:color w:val="000000"/>
          <w:shd w:val="clear" w:color="auto" w:fill="FFFFFF"/>
        </w:rPr>
        <w:t>Batesons</w:t>
      </w:r>
      <w:proofErr w:type="spellEnd"/>
      <w:r w:rsidRPr="00C04E13">
        <w:rPr>
          <w:rFonts w:cstheme="minorHAnsi"/>
          <w:color w:val="000000"/>
          <w:shd w:val="clear" w:color="auto" w:fill="FFFFFF"/>
        </w:rPr>
        <w:t xml:space="preserve"> (2020) definition. </w:t>
      </w:r>
      <w:r w:rsidR="006E49F6" w:rsidRPr="00C04E13">
        <w:rPr>
          <w:rFonts w:cstheme="minorHAnsi"/>
          <w:color w:val="000000"/>
          <w:shd w:val="clear" w:color="auto" w:fill="FFFFFF"/>
        </w:rPr>
        <w:t>Bateson defines Vigilantism</w:t>
      </w:r>
      <w:r w:rsidRPr="00C04E13">
        <w:rPr>
          <w:rFonts w:cstheme="minorHAnsi"/>
          <w:color w:val="000000"/>
          <w:shd w:val="clear" w:color="auto" w:fill="FFFFFF"/>
        </w:rPr>
        <w:t xml:space="preserve"> as</w:t>
      </w:r>
      <w:r w:rsidR="00537013" w:rsidRPr="00C04E13">
        <w:rPr>
          <w:rFonts w:cstheme="minorHAnsi"/>
          <w:color w:val="000000"/>
          <w:shd w:val="clear" w:color="auto" w:fill="FFFFFF"/>
        </w:rPr>
        <w:t>:</w:t>
      </w:r>
    </w:p>
    <w:p w14:paraId="62EA60E9" w14:textId="2CADC6B4" w:rsidR="00133F45" w:rsidRPr="00C04E13" w:rsidRDefault="006E49F6" w:rsidP="00A65393">
      <w:pPr>
        <w:rPr>
          <w:rFonts w:cstheme="minorHAnsi"/>
          <w:color w:val="000000"/>
          <w:shd w:val="clear" w:color="auto" w:fill="FFFFFF"/>
        </w:rPr>
      </w:pPr>
      <w:r w:rsidRPr="00C04E13">
        <w:rPr>
          <w:rFonts w:cstheme="minorHAnsi"/>
          <w:color w:val="000000"/>
          <w:shd w:val="clear" w:color="auto" w:fill="FFFFFF"/>
        </w:rPr>
        <w:t xml:space="preserve"> “</w:t>
      </w:r>
      <w:r w:rsidRPr="00C04E13">
        <w:rPr>
          <w:rFonts w:cstheme="minorHAnsi"/>
          <w:i/>
          <w:iCs/>
          <w:color w:val="000000"/>
          <w:shd w:val="clear" w:color="auto" w:fill="FFFFFF"/>
        </w:rPr>
        <w:t xml:space="preserve">the </w:t>
      </w:r>
      <w:proofErr w:type="spellStart"/>
      <w:r w:rsidRPr="00C04E13">
        <w:rPr>
          <w:rFonts w:cstheme="minorHAnsi"/>
          <w:i/>
          <w:iCs/>
          <w:color w:val="000000"/>
          <w:shd w:val="clear" w:color="auto" w:fill="FFFFFF"/>
        </w:rPr>
        <w:t>extralegal</w:t>
      </w:r>
      <w:proofErr w:type="spellEnd"/>
      <w:r w:rsidRPr="00C04E13">
        <w:rPr>
          <w:rFonts w:cstheme="minorHAnsi"/>
          <w:i/>
          <w:iCs/>
          <w:color w:val="000000"/>
          <w:shd w:val="clear" w:color="auto" w:fill="FFFFFF"/>
        </w:rPr>
        <w:t xml:space="preserve"> prevention, investigation, or punishment of offense</w:t>
      </w:r>
      <w:r w:rsidRPr="00C04E13">
        <w:rPr>
          <w:rFonts w:cstheme="minorHAnsi"/>
          <w:color w:val="000000"/>
          <w:shd w:val="clear" w:color="auto" w:fill="FFFFFF"/>
        </w:rPr>
        <w:t>”</w:t>
      </w:r>
      <w:r w:rsidR="00537013" w:rsidRPr="00C04E13">
        <w:rPr>
          <w:rFonts w:cstheme="minorHAnsi"/>
          <w:color w:val="000000"/>
          <w:shd w:val="clear" w:color="auto" w:fill="FFFFFF"/>
        </w:rPr>
        <w:t xml:space="preserve"> </w:t>
      </w:r>
    </w:p>
    <w:p w14:paraId="2100E1C2" w14:textId="42DF7478" w:rsidR="0054061B" w:rsidRPr="00C04E13" w:rsidRDefault="006E49F6" w:rsidP="00A65393">
      <w:pPr>
        <w:rPr>
          <w:rFonts w:cstheme="minorHAnsi"/>
          <w:color w:val="000000"/>
          <w:shd w:val="clear" w:color="auto" w:fill="FFFFFF"/>
        </w:rPr>
      </w:pPr>
      <w:r w:rsidRPr="00C04E13">
        <w:rPr>
          <w:rFonts w:cstheme="minorHAnsi"/>
          <w:color w:val="000000"/>
          <w:shd w:val="clear" w:color="auto" w:fill="FFFFFF"/>
        </w:rPr>
        <w:t>Extra</w:t>
      </w:r>
      <w:r w:rsidR="00C04E13" w:rsidRPr="00C04E13">
        <w:rPr>
          <w:rFonts w:cstheme="minorHAnsi"/>
          <w:color w:val="000000"/>
          <w:shd w:val="clear" w:color="auto" w:fill="FFFFFF"/>
        </w:rPr>
        <w:t>-</w:t>
      </w:r>
      <w:r w:rsidRPr="00C04E13">
        <w:rPr>
          <w:rFonts w:cstheme="minorHAnsi"/>
          <w:color w:val="000000"/>
          <w:shd w:val="clear" w:color="auto" w:fill="FFFFFF"/>
        </w:rPr>
        <w:t>legal being a term in this definition beyond</w:t>
      </w:r>
      <w:r w:rsidR="00FF6545" w:rsidRPr="00C04E13">
        <w:rPr>
          <w:rFonts w:cstheme="minorHAnsi"/>
          <w:color w:val="000000"/>
          <w:shd w:val="clear" w:color="auto" w:fill="FFFFFF"/>
        </w:rPr>
        <w:t xml:space="preserve"> or not regulated</w:t>
      </w:r>
      <w:r w:rsidRPr="00C04E13">
        <w:rPr>
          <w:rFonts w:cstheme="minorHAnsi"/>
          <w:color w:val="000000"/>
          <w:shd w:val="clear" w:color="auto" w:fill="FFFFFF"/>
        </w:rPr>
        <w:t xml:space="preserve"> the law and not illegal</w:t>
      </w:r>
      <w:r w:rsidR="0054061B" w:rsidRPr="00C04E13">
        <w:rPr>
          <w:rFonts w:cstheme="minorHAnsi"/>
          <w:color w:val="000000"/>
          <w:shd w:val="clear" w:color="auto" w:fill="FFFFFF"/>
        </w:rPr>
        <w:t>.</w:t>
      </w:r>
      <w:r w:rsidR="00D83046" w:rsidRPr="00C04E13">
        <w:rPr>
          <w:rFonts w:cstheme="minorHAnsi"/>
          <w:color w:val="000000"/>
          <w:shd w:val="clear" w:color="auto" w:fill="FFFFFF"/>
        </w:rPr>
        <w:t xml:space="preserve"> </w:t>
      </w:r>
      <w:r w:rsidR="0054061B" w:rsidRPr="00C04E13">
        <w:rPr>
          <w:rFonts w:cstheme="minorHAnsi"/>
          <w:color w:val="000000"/>
          <w:shd w:val="clear" w:color="auto" w:fill="FFFFFF"/>
        </w:rPr>
        <w:t xml:space="preserve">The second part of Bateson’s definition is preventions, </w:t>
      </w:r>
      <w:r w:rsidR="00C04E13" w:rsidRPr="00C04E13">
        <w:rPr>
          <w:rFonts w:cstheme="minorHAnsi"/>
          <w:color w:val="000000"/>
          <w:shd w:val="clear" w:color="auto" w:fill="FFFFFF"/>
        </w:rPr>
        <w:t>investigation,</w:t>
      </w:r>
      <w:r w:rsidR="0054061B" w:rsidRPr="00C04E13">
        <w:rPr>
          <w:rFonts w:cstheme="minorHAnsi"/>
          <w:color w:val="000000"/>
          <w:shd w:val="clear" w:color="auto" w:fill="FFFFFF"/>
        </w:rPr>
        <w:t xml:space="preserve"> or punishment, these can be used separately or in a sequence Bateson goes on to say that </w:t>
      </w:r>
      <w:r w:rsidR="0054061B" w:rsidRPr="00C04E13">
        <w:rPr>
          <w:rFonts w:cstheme="minorHAnsi"/>
          <w:color w:val="000000"/>
          <w:shd w:val="clear" w:color="auto" w:fill="FFFFFF"/>
        </w:rPr>
        <w:t>Vigilan</w:t>
      </w:r>
      <w:r w:rsidR="0054061B" w:rsidRPr="00C04E13">
        <w:rPr>
          <w:rFonts w:cstheme="minorHAnsi"/>
          <w:color w:val="000000"/>
          <w:shd w:val="clear" w:color="auto" w:fill="FFFFFF"/>
        </w:rPr>
        <w:t xml:space="preserve">tism </w:t>
      </w:r>
      <w:r w:rsidR="0054061B" w:rsidRPr="00C04E13">
        <w:rPr>
          <w:rFonts w:cstheme="minorHAnsi"/>
          <w:color w:val="000000"/>
          <w:shd w:val="clear" w:color="auto" w:fill="FFFFFF"/>
        </w:rPr>
        <w:t>necessitates action</w:t>
      </w:r>
      <w:r w:rsidR="0054061B" w:rsidRPr="00C04E13">
        <w:rPr>
          <w:rFonts w:cstheme="minorHAnsi"/>
          <w:color w:val="000000"/>
          <w:shd w:val="clear" w:color="auto" w:fill="FFFFFF"/>
        </w:rPr>
        <w:t xml:space="preserve"> and that it is a</w:t>
      </w:r>
      <w:r w:rsidR="0054061B" w:rsidRPr="00C04E13">
        <w:rPr>
          <w:rFonts w:cstheme="minorHAnsi"/>
          <w:color w:val="000000"/>
          <w:shd w:val="clear" w:color="auto" w:fill="FFFFFF"/>
        </w:rPr>
        <w:t xml:space="preserve"> </w:t>
      </w:r>
      <w:r w:rsidR="0054061B" w:rsidRPr="00C04E13">
        <w:rPr>
          <w:rFonts w:cstheme="minorHAnsi"/>
          <w:color w:val="000000"/>
          <w:shd w:val="clear" w:color="auto" w:fill="FFFFFF"/>
        </w:rPr>
        <w:t>behaviour</w:t>
      </w:r>
      <w:r w:rsidR="0054061B" w:rsidRPr="00C04E13">
        <w:rPr>
          <w:rFonts w:cstheme="minorHAnsi"/>
          <w:color w:val="000000"/>
          <w:shd w:val="clear" w:color="auto" w:fill="FFFFFF"/>
        </w:rPr>
        <w:t xml:space="preserve"> that individuals engage in. Vigilantism may be used by both groups and individuals on a regular or irregular basis, frequently in conjunction with other strategies.</w:t>
      </w:r>
      <w:r w:rsidR="0054061B" w:rsidRPr="00C04E13">
        <w:rPr>
          <w:rFonts w:cstheme="minorHAnsi"/>
          <w:color w:val="000000"/>
          <w:shd w:val="clear" w:color="auto" w:fill="FFFFFF"/>
        </w:rPr>
        <w:t xml:space="preserve"> The third part of the definition is offence</w:t>
      </w:r>
      <w:r w:rsidR="00EB370E" w:rsidRPr="00C04E13">
        <w:rPr>
          <w:rFonts w:cstheme="minorHAnsi"/>
          <w:color w:val="000000"/>
          <w:shd w:val="clear" w:color="auto" w:fill="FFFFFF"/>
        </w:rPr>
        <w:t xml:space="preserve">, Bateson </w:t>
      </w:r>
      <w:r w:rsidR="00176A40" w:rsidRPr="00C04E13">
        <w:rPr>
          <w:rFonts w:cstheme="minorHAnsi"/>
          <w:color w:val="000000"/>
          <w:shd w:val="clear" w:color="auto" w:fill="FFFFFF"/>
        </w:rPr>
        <w:t>establishes</w:t>
      </w:r>
      <w:r w:rsidR="00EB370E" w:rsidRPr="00C04E13">
        <w:rPr>
          <w:rFonts w:cstheme="minorHAnsi"/>
          <w:color w:val="000000"/>
          <w:shd w:val="clear" w:color="auto" w:fill="FFFFFF"/>
        </w:rPr>
        <w:t xml:space="preserve"> that vigilantism is a reaction to an offence</w:t>
      </w:r>
      <w:r w:rsidR="00EB370E" w:rsidRPr="00C04E13">
        <w:rPr>
          <w:rFonts w:cstheme="minorHAnsi"/>
          <w:color w:val="000000"/>
          <w:shd w:val="clear" w:color="auto" w:fill="FFFFFF"/>
        </w:rPr>
        <w:t xml:space="preserve">. </w:t>
      </w:r>
      <w:r w:rsidR="00EB370E" w:rsidRPr="00C04E13">
        <w:rPr>
          <w:rFonts w:cstheme="minorHAnsi"/>
          <w:color w:val="000000"/>
          <w:shd w:val="clear" w:color="auto" w:fill="FFFFFF"/>
        </w:rPr>
        <w:t>However, a</w:t>
      </w:r>
      <w:r w:rsidR="00EB370E" w:rsidRPr="00C04E13">
        <w:rPr>
          <w:rFonts w:cstheme="minorHAnsi"/>
          <w:color w:val="000000"/>
          <w:shd w:val="clear" w:color="auto" w:fill="FFFFFF"/>
        </w:rPr>
        <w:t>n offence to vigilantes may not be a legal offence as outlined by the law, it could be a deviance from the local norm or social construct.</w:t>
      </w:r>
      <w:r w:rsidR="00EB370E" w:rsidRPr="00C04E13">
        <w:rPr>
          <w:rFonts w:cstheme="minorHAnsi"/>
          <w:color w:val="000000"/>
          <w:shd w:val="clear" w:color="auto" w:fill="FFFFFF"/>
        </w:rPr>
        <w:t xml:space="preserve"> </w:t>
      </w:r>
      <w:r w:rsidR="00EB370E" w:rsidRPr="00C04E13">
        <w:rPr>
          <w:rFonts w:cstheme="minorHAnsi"/>
          <w:color w:val="000000"/>
          <w:shd w:val="clear" w:color="auto" w:fill="FFFFFF"/>
        </w:rPr>
        <w:t>Laws and standards can also change over time. For instance, when the coronavirus pandemic began to spread at the beginning of 2020, so-called "virus vigilantes" began acting extralegally to prevent, investigate, and punish actions that would not have been considered crimes just a few weeks earlier.</w:t>
      </w:r>
      <w:r w:rsidR="00EB370E" w:rsidRPr="00C04E13">
        <w:rPr>
          <w:rFonts w:cstheme="minorHAnsi"/>
          <w:color w:val="000000"/>
          <w:shd w:val="clear" w:color="auto" w:fill="FFFFFF"/>
        </w:rPr>
        <w:t xml:space="preserve"> </w:t>
      </w:r>
      <w:r w:rsidR="00EB370E" w:rsidRPr="00C04E13">
        <w:rPr>
          <w:rFonts w:cstheme="minorHAnsi"/>
          <w:color w:val="000000"/>
          <w:shd w:val="clear" w:color="auto" w:fill="FFFFFF"/>
        </w:rPr>
        <w:t>Leaving one's house,</w:t>
      </w:r>
      <w:r w:rsidR="00EB370E" w:rsidRPr="00C04E13">
        <w:rPr>
          <w:rFonts w:cstheme="minorHAnsi"/>
          <w:color w:val="000000"/>
          <w:shd w:val="clear" w:color="auto" w:fill="FFFFFF"/>
        </w:rPr>
        <w:t xml:space="preserve"> mixing with others and visiting different places </w:t>
      </w:r>
      <w:r w:rsidR="00EB370E" w:rsidRPr="00C04E13">
        <w:rPr>
          <w:rFonts w:cstheme="minorHAnsi"/>
          <w:color w:val="000000"/>
          <w:shd w:val="clear" w:color="auto" w:fill="FFFFFF"/>
        </w:rPr>
        <w:t xml:space="preserve">were examples of these </w:t>
      </w:r>
      <w:r w:rsidR="00EB370E" w:rsidRPr="00C04E13">
        <w:rPr>
          <w:rFonts w:cstheme="minorHAnsi"/>
          <w:color w:val="000000"/>
          <w:shd w:val="clear" w:color="auto" w:fill="FFFFFF"/>
        </w:rPr>
        <w:t>behaviours that were now crimes</w:t>
      </w:r>
      <w:r w:rsidR="00EB370E" w:rsidRPr="00C04E13">
        <w:rPr>
          <w:rFonts w:cstheme="minorHAnsi"/>
          <w:color w:val="000000"/>
          <w:shd w:val="clear" w:color="auto" w:fill="FFFFFF"/>
        </w:rPr>
        <w:t>.</w:t>
      </w:r>
      <w:r w:rsidR="00EB370E" w:rsidRPr="00C04E13">
        <w:rPr>
          <w:rFonts w:cstheme="minorHAnsi"/>
          <w:color w:val="000000"/>
          <w:shd w:val="clear" w:color="auto" w:fill="FFFFFF"/>
        </w:rPr>
        <w:t>(Bateson, 2020.)</w:t>
      </w:r>
    </w:p>
    <w:p w14:paraId="1D0D496F" w14:textId="21C6E67E" w:rsidR="0054061B" w:rsidRPr="00C04E13" w:rsidRDefault="0054061B" w:rsidP="00A65393">
      <w:pPr>
        <w:rPr>
          <w:rFonts w:cstheme="minorHAnsi"/>
          <w:color w:val="000000"/>
          <w:shd w:val="clear" w:color="auto" w:fill="FFFFFF"/>
        </w:rPr>
      </w:pPr>
      <w:r w:rsidRPr="00C04E13">
        <w:rPr>
          <w:rFonts w:cstheme="minorHAnsi"/>
          <w:color w:val="000000"/>
          <w:shd w:val="clear" w:color="auto" w:fill="FFFFFF"/>
        </w:rPr>
        <w:t>Vigilantism is not always violent and can be non-violent (Bateson, 2020) as will be discussed throughout this review.</w:t>
      </w:r>
    </w:p>
    <w:p w14:paraId="3A1707C1" w14:textId="20914112" w:rsidR="002C07FF" w:rsidRPr="00C04E13" w:rsidRDefault="002C07FF" w:rsidP="00A65393">
      <w:pPr>
        <w:rPr>
          <w:rFonts w:cstheme="minorHAnsi"/>
          <w:color w:val="000000"/>
          <w:shd w:val="clear" w:color="auto" w:fill="FFFFFF"/>
        </w:rPr>
      </w:pPr>
    </w:p>
    <w:p w14:paraId="7F7A0DBA" w14:textId="5E034EF3" w:rsidR="002C07FF" w:rsidRPr="00C04E13" w:rsidRDefault="002C07FF" w:rsidP="00A65393">
      <w:pPr>
        <w:rPr>
          <w:rFonts w:cstheme="minorHAnsi"/>
          <w:color w:val="000000"/>
          <w:u w:val="single"/>
          <w:shd w:val="clear" w:color="auto" w:fill="FFFFFF"/>
        </w:rPr>
      </w:pPr>
      <w:r w:rsidRPr="00C04E13">
        <w:rPr>
          <w:rFonts w:cstheme="minorHAnsi"/>
          <w:color w:val="000000"/>
          <w:u w:val="single"/>
          <w:shd w:val="clear" w:color="auto" w:fill="FFFFFF"/>
        </w:rPr>
        <w:t>Vigilantes in contemporary policing</w:t>
      </w:r>
    </w:p>
    <w:p w14:paraId="42903AF6" w14:textId="087E5B77" w:rsidR="00CE5902" w:rsidRPr="00C04E13" w:rsidRDefault="00D759A1" w:rsidP="00A65393">
      <w:pPr>
        <w:rPr>
          <w:rFonts w:cstheme="minorHAnsi"/>
        </w:rPr>
      </w:pPr>
      <w:r w:rsidRPr="00C04E13">
        <w:rPr>
          <w:rFonts w:cstheme="minorHAnsi"/>
        </w:rPr>
        <w:t>Due to the technological advances in the last two decades</w:t>
      </w:r>
      <w:r w:rsidR="00277CC3" w:rsidRPr="00C04E13">
        <w:rPr>
          <w:rFonts w:cstheme="minorHAnsi"/>
        </w:rPr>
        <w:t>,</w:t>
      </w:r>
      <w:r w:rsidRPr="00C04E13">
        <w:rPr>
          <w:rFonts w:cstheme="minorHAnsi"/>
        </w:rPr>
        <w:t xml:space="preserve"> there has been a rise in cyber vigilante groups and cyber vigilantes.</w:t>
      </w:r>
      <w:r w:rsidR="00CE5902" w:rsidRPr="00C04E13">
        <w:rPr>
          <w:rFonts w:cstheme="minorHAnsi"/>
        </w:rPr>
        <w:t xml:space="preserve"> </w:t>
      </w:r>
      <w:r w:rsidR="00CE5902" w:rsidRPr="00C04E13">
        <w:rPr>
          <w:rFonts w:cstheme="minorHAnsi"/>
        </w:rPr>
        <w:t>Digital vigilantism is the practice of orchestrating retribution via social media and mobile devices by individuals who are collectively offended by the actions of other individuals. The offenses range from minor transgressions of social norms to acts of terrorism and involvement in riots. Digital vigilantes will often "DOX" an offender. To "Dox" or "Doxing" an individual or group is a form of "Naming and Shaming", whereby the targets personal details and even images are published for the public to see</w:t>
      </w:r>
      <w:r w:rsidR="00CE5902" w:rsidRPr="00C04E13">
        <w:rPr>
          <w:rFonts w:cstheme="minorHAnsi"/>
        </w:rPr>
        <w:t xml:space="preserve"> </w:t>
      </w:r>
      <w:r w:rsidR="00CE5902" w:rsidRPr="00C04E13">
        <w:rPr>
          <w:rFonts w:cstheme="minorHAnsi"/>
        </w:rPr>
        <w:t>(Trottier, 2016)</w:t>
      </w:r>
      <w:r w:rsidR="00CE5902" w:rsidRPr="00C04E13">
        <w:rPr>
          <w:rFonts w:cstheme="minorHAnsi"/>
        </w:rPr>
        <w:t>.</w:t>
      </w:r>
      <w:r w:rsidR="00277CC3" w:rsidRPr="00C04E13">
        <w:rPr>
          <w:rFonts w:cstheme="minorHAnsi"/>
        </w:rPr>
        <w:t xml:space="preserve"> </w:t>
      </w:r>
    </w:p>
    <w:p w14:paraId="7F6E4D4B" w14:textId="57156149" w:rsidR="00DB579E" w:rsidRPr="00C04E13" w:rsidRDefault="002350DA" w:rsidP="00A65393">
      <w:pPr>
        <w:rPr>
          <w:rFonts w:cstheme="minorHAnsi"/>
        </w:rPr>
      </w:pPr>
      <w:r w:rsidRPr="00C04E13">
        <w:rPr>
          <w:rFonts w:cstheme="minorHAnsi"/>
        </w:rPr>
        <w:t xml:space="preserve">In recent years, </w:t>
      </w:r>
      <w:r w:rsidR="00C04E13" w:rsidRPr="00C04E13">
        <w:rPr>
          <w:rFonts w:cstheme="minorHAnsi"/>
        </w:rPr>
        <w:t>Self-Proclaimed</w:t>
      </w:r>
      <w:r w:rsidRPr="00C04E13">
        <w:rPr>
          <w:rFonts w:cstheme="minorHAnsi"/>
        </w:rPr>
        <w:t>, “</w:t>
      </w:r>
      <w:r w:rsidR="006B082A" w:rsidRPr="00C04E13">
        <w:rPr>
          <w:rFonts w:cstheme="minorHAnsi"/>
        </w:rPr>
        <w:t>Paedophile</w:t>
      </w:r>
      <w:r w:rsidRPr="00C04E13">
        <w:rPr>
          <w:rFonts w:cstheme="minorHAnsi"/>
        </w:rPr>
        <w:t xml:space="preserve"> Hunters</w:t>
      </w:r>
      <w:r w:rsidR="006B082A" w:rsidRPr="00C04E13">
        <w:rPr>
          <w:rFonts w:cstheme="minorHAnsi"/>
        </w:rPr>
        <w:t xml:space="preserve">” </w:t>
      </w:r>
      <w:r w:rsidR="00D278B2" w:rsidRPr="00C04E13">
        <w:rPr>
          <w:rFonts w:cstheme="minorHAnsi"/>
        </w:rPr>
        <w:t xml:space="preserve">have </w:t>
      </w:r>
      <w:r w:rsidR="006B082A" w:rsidRPr="00C04E13">
        <w:rPr>
          <w:rFonts w:cstheme="minorHAnsi"/>
        </w:rPr>
        <w:t>operating online</w:t>
      </w:r>
      <w:r w:rsidR="00D278B2" w:rsidRPr="00C04E13">
        <w:rPr>
          <w:rFonts w:cstheme="minorHAnsi"/>
        </w:rPr>
        <w:t xml:space="preserve"> to catch predators who are grooming children online. They do this by</w:t>
      </w:r>
      <w:r w:rsidR="00B8262F" w:rsidRPr="00C04E13">
        <w:rPr>
          <w:rFonts w:cstheme="minorHAnsi"/>
        </w:rPr>
        <w:t xml:space="preserve"> employing a variety of techniques to convince groomers to be open and honest about their goals and interests</w:t>
      </w:r>
      <w:r w:rsidR="002A2D51" w:rsidRPr="00C04E13">
        <w:rPr>
          <w:rFonts w:cstheme="minorHAnsi"/>
        </w:rPr>
        <w:t xml:space="preserve">. </w:t>
      </w:r>
      <w:r w:rsidR="00B8262F" w:rsidRPr="00C04E13">
        <w:rPr>
          <w:rFonts w:cstheme="minorHAnsi"/>
        </w:rPr>
        <w:t xml:space="preserve">Once these vigilantes have obtained enough information for them to reasonably believe that the other party believes they are speaking to an underage child they will arrange a meeting at a decoy house. These “Hunters” will then look to film the encounter with the individual and </w:t>
      </w:r>
      <w:r w:rsidR="00D146DA" w:rsidRPr="00C04E13">
        <w:rPr>
          <w:rFonts w:cstheme="minorHAnsi"/>
        </w:rPr>
        <w:t xml:space="preserve">dox </w:t>
      </w:r>
      <w:r w:rsidR="00B8262F" w:rsidRPr="00C04E13">
        <w:rPr>
          <w:rFonts w:cstheme="minorHAnsi"/>
        </w:rPr>
        <w:t>them on social media, many of these “Stings” will be livestreamed for the public to watch and saved for other</w:t>
      </w:r>
      <w:r w:rsidR="002A2D51" w:rsidRPr="00C04E13">
        <w:rPr>
          <w:rFonts w:cstheme="minorHAnsi"/>
        </w:rPr>
        <w:t>s</w:t>
      </w:r>
      <w:r w:rsidR="00B8262F" w:rsidRPr="00C04E13">
        <w:rPr>
          <w:rFonts w:cstheme="minorHAnsi"/>
        </w:rPr>
        <w:t xml:space="preserve"> to watch later, usually the police are also called to attend and arrest the individuals. </w:t>
      </w:r>
      <w:r w:rsidR="00AA7573" w:rsidRPr="00C04E13">
        <w:rPr>
          <w:rFonts w:cstheme="minorHAnsi"/>
        </w:rPr>
        <w:t xml:space="preserve">Since 2013, 8 men who have been “Outed” </w:t>
      </w:r>
      <w:r w:rsidR="002A2D51" w:rsidRPr="00C04E13">
        <w:rPr>
          <w:rFonts w:cstheme="minorHAnsi"/>
        </w:rPr>
        <w:t xml:space="preserve">and “Doxed” </w:t>
      </w:r>
      <w:r w:rsidR="00AA7573" w:rsidRPr="00C04E13">
        <w:rPr>
          <w:rFonts w:cstheme="minorHAnsi"/>
        </w:rPr>
        <w:t xml:space="preserve">by these public stings have taken their own lives, with one male in August 2022 slicing his own throat while being filmed at a meet up </w:t>
      </w:r>
      <w:r w:rsidR="00AA7573" w:rsidRPr="00C04E13">
        <w:rPr>
          <w:rFonts w:cstheme="minorHAnsi"/>
        </w:rPr>
        <w:t>(New York Post, 2022)</w:t>
      </w:r>
      <w:r w:rsidR="00AA7573" w:rsidRPr="00C04E13">
        <w:rPr>
          <w:rFonts w:cstheme="minorHAnsi"/>
        </w:rPr>
        <w:t>.</w:t>
      </w:r>
    </w:p>
    <w:p w14:paraId="63159423" w14:textId="3F3B2225" w:rsidR="00CE5902" w:rsidRPr="00C04E13" w:rsidRDefault="00DB579E" w:rsidP="00A65393">
      <w:pPr>
        <w:rPr>
          <w:rFonts w:cstheme="minorHAnsi"/>
        </w:rPr>
      </w:pPr>
      <w:r w:rsidRPr="00C04E13">
        <w:rPr>
          <w:rFonts w:cstheme="minorHAnsi"/>
        </w:rPr>
        <w:t xml:space="preserve"> </w:t>
      </w:r>
      <w:r w:rsidRPr="00C04E13">
        <w:rPr>
          <w:rFonts w:cstheme="minorHAnsi"/>
        </w:rPr>
        <w:t>Paedophile hunters and the police have a complicated relationship.</w:t>
      </w:r>
      <w:r w:rsidR="00E602EE" w:rsidRPr="00C04E13">
        <w:rPr>
          <w:rFonts w:cstheme="minorHAnsi"/>
        </w:rPr>
        <w:t xml:space="preserve"> In 2019 the National Police Chiefs Council (NPCC) responded to Online Child Abuse Activists Groups (OCAG). It set out 4 types of groups of </w:t>
      </w:r>
      <w:r w:rsidR="00D146DA" w:rsidRPr="00C04E13">
        <w:rPr>
          <w:rFonts w:cstheme="minorHAnsi"/>
        </w:rPr>
        <w:t>paedophile</w:t>
      </w:r>
      <w:r w:rsidR="00E602EE" w:rsidRPr="00C04E13">
        <w:rPr>
          <w:rFonts w:cstheme="minorHAnsi"/>
        </w:rPr>
        <w:t xml:space="preserve"> hunters that are currently operating in the UK. Type 1 being Law Enforcement, these are persons with the </w:t>
      </w:r>
      <w:r w:rsidR="00D146DA" w:rsidRPr="00C04E13">
        <w:rPr>
          <w:rFonts w:cstheme="minorHAnsi"/>
        </w:rPr>
        <w:t>appropriate</w:t>
      </w:r>
      <w:r w:rsidR="00E602EE" w:rsidRPr="00C04E13">
        <w:rPr>
          <w:rFonts w:cstheme="minorHAnsi"/>
        </w:rPr>
        <w:t xml:space="preserve"> training where safeguarding and control measures are in place. This group is controlled by legislation and regulations. Type 2 is Passive </w:t>
      </w:r>
      <w:r w:rsidR="00D146DA" w:rsidRPr="00C04E13">
        <w:rPr>
          <w:rFonts w:cstheme="minorHAnsi"/>
        </w:rPr>
        <w:t xml:space="preserve">Partners; </w:t>
      </w:r>
      <w:r w:rsidR="002222C4" w:rsidRPr="00C04E13">
        <w:rPr>
          <w:rFonts w:cstheme="minorHAnsi"/>
        </w:rPr>
        <w:t xml:space="preserve">these are individuals or groups that gather information passively. This type of information gathering poses no threat to police agencies as they do not undertake proactive activity like engaging in undercover work and do not use intrusive methods. Type 3 are E- activists These are </w:t>
      </w:r>
      <w:r w:rsidR="002222C4" w:rsidRPr="00C04E13">
        <w:rPr>
          <w:rFonts w:cstheme="minorHAnsi"/>
        </w:rPr>
        <w:t>OCAGs that use covert methods but provide information to authorities before coming in</w:t>
      </w:r>
      <w:r w:rsidR="002222C4" w:rsidRPr="00C04E13">
        <w:rPr>
          <w:rFonts w:cstheme="minorHAnsi"/>
        </w:rPr>
        <w:t>to</w:t>
      </w:r>
      <w:r w:rsidR="002222C4" w:rsidRPr="00C04E13">
        <w:rPr>
          <w:rFonts w:cstheme="minorHAnsi"/>
        </w:rPr>
        <w:t xml:space="preserve"> contact in reality.</w:t>
      </w:r>
      <w:r w:rsidR="002222C4" w:rsidRPr="00C04E13">
        <w:rPr>
          <w:rFonts w:cstheme="minorHAnsi"/>
        </w:rPr>
        <w:t xml:space="preserve">  Authorities cannot build partnerships with these groups and cannot provide any advice</w:t>
      </w:r>
      <w:r w:rsidR="002A2D51" w:rsidRPr="00C04E13">
        <w:rPr>
          <w:rFonts w:cstheme="minorHAnsi"/>
        </w:rPr>
        <w:t xml:space="preserve"> as these groups cannot be regulated by formal authorities</w:t>
      </w:r>
      <w:r w:rsidR="002222C4" w:rsidRPr="00C04E13">
        <w:rPr>
          <w:rFonts w:cstheme="minorHAnsi"/>
        </w:rPr>
        <w:t>. However due to not meeting the real world, this provides less risk. Lastly type 4 are Real World Activists</w:t>
      </w:r>
      <w:r w:rsidR="00004176" w:rsidRPr="00C04E13">
        <w:rPr>
          <w:rFonts w:cstheme="minorHAnsi"/>
        </w:rPr>
        <w:t xml:space="preserve"> these are</w:t>
      </w:r>
      <w:r w:rsidR="002222C4" w:rsidRPr="00C04E13">
        <w:rPr>
          <w:rFonts w:cstheme="minorHAnsi"/>
        </w:rPr>
        <w:t xml:space="preserve"> </w:t>
      </w:r>
      <w:r w:rsidR="002222C4" w:rsidRPr="00C04E13">
        <w:rPr>
          <w:rFonts w:cstheme="minorHAnsi"/>
        </w:rPr>
        <w:t xml:space="preserve">OCAGs that interact with potential offenders in person. </w:t>
      </w:r>
      <w:r w:rsidR="00004176" w:rsidRPr="00C04E13">
        <w:rPr>
          <w:rFonts w:cstheme="minorHAnsi"/>
        </w:rPr>
        <w:t xml:space="preserve">This type of paedophile hunting poses no </w:t>
      </w:r>
      <w:r w:rsidR="002222C4" w:rsidRPr="00C04E13">
        <w:rPr>
          <w:rFonts w:cstheme="minorHAnsi"/>
        </w:rPr>
        <w:t>benefit to policing</w:t>
      </w:r>
      <w:r w:rsidR="00004176" w:rsidRPr="00C04E13">
        <w:rPr>
          <w:rFonts w:cstheme="minorHAnsi"/>
        </w:rPr>
        <w:t>.</w:t>
      </w:r>
      <w:r w:rsidR="002222C4" w:rsidRPr="00C04E13">
        <w:rPr>
          <w:rFonts w:cstheme="minorHAnsi"/>
        </w:rPr>
        <w:t xml:space="preserve"> </w:t>
      </w:r>
      <w:r w:rsidR="00004176" w:rsidRPr="00C04E13">
        <w:rPr>
          <w:rFonts w:cstheme="minorHAnsi"/>
        </w:rPr>
        <w:t xml:space="preserve">The NPCC challenges </w:t>
      </w:r>
      <w:r w:rsidR="00C04E13" w:rsidRPr="00C04E13">
        <w:rPr>
          <w:rFonts w:cstheme="minorHAnsi"/>
        </w:rPr>
        <w:t>these real-world activists</w:t>
      </w:r>
      <w:r w:rsidR="00004176" w:rsidRPr="00C04E13">
        <w:rPr>
          <w:rFonts w:cstheme="minorHAnsi"/>
        </w:rPr>
        <w:t xml:space="preserve"> by posing the question, </w:t>
      </w:r>
      <w:r w:rsidR="002222C4" w:rsidRPr="00C04E13">
        <w:rPr>
          <w:rFonts w:cstheme="minorHAnsi"/>
        </w:rPr>
        <w:t>why are these organisations still active when doing so puts prospective victims, suspects, and the efficiency and efficacy of the criminal justice system at risk?</w:t>
      </w:r>
      <w:r w:rsidR="00E602EE" w:rsidRPr="00C04E13">
        <w:rPr>
          <w:rFonts w:cstheme="minorHAnsi"/>
        </w:rPr>
        <w:t xml:space="preserve"> </w:t>
      </w:r>
      <w:r w:rsidR="00004176" w:rsidRPr="00C04E13">
        <w:rPr>
          <w:rFonts w:cstheme="minorHAnsi"/>
        </w:rPr>
        <w:t>(NPCC 2019)</w:t>
      </w:r>
      <w:r w:rsidR="00D146DA" w:rsidRPr="00C04E13">
        <w:rPr>
          <w:rFonts w:cstheme="minorHAnsi"/>
        </w:rPr>
        <w:t xml:space="preserve"> </w:t>
      </w:r>
      <w:r w:rsidRPr="00C04E13">
        <w:rPr>
          <w:rFonts w:cstheme="minorHAnsi"/>
        </w:rPr>
        <w:t>Undoubtedly, the question of risk management and public protection, as well as who is responsible for these, is one of the main concerns surrounding paedophile hunters.</w:t>
      </w:r>
      <w:r w:rsidR="00D146DA" w:rsidRPr="00C04E13">
        <w:rPr>
          <w:rFonts w:cstheme="minorHAnsi"/>
        </w:rPr>
        <w:t xml:space="preserve"> For example, once a suspect leaves one of these “Stings” there is no safeguarding for the past victims.</w:t>
      </w:r>
    </w:p>
    <w:p w14:paraId="7430819A" w14:textId="53D38395" w:rsidR="00D759A1" w:rsidRPr="00C04E13" w:rsidRDefault="00CE5902" w:rsidP="00A65393">
      <w:pPr>
        <w:rPr>
          <w:rFonts w:cstheme="minorHAnsi"/>
        </w:rPr>
      </w:pPr>
      <w:r w:rsidRPr="00C04E13">
        <w:rPr>
          <w:rFonts w:cstheme="minorHAnsi"/>
        </w:rPr>
        <w:t xml:space="preserve">Doxing, however, is not a new tool for modern vigilantes. </w:t>
      </w:r>
      <w:r w:rsidR="00611844" w:rsidRPr="00C04E13">
        <w:rPr>
          <w:rFonts w:cstheme="minorHAnsi"/>
        </w:rPr>
        <w:t>On 1</w:t>
      </w:r>
      <w:r w:rsidR="00611844" w:rsidRPr="00C04E13">
        <w:rPr>
          <w:rFonts w:cstheme="minorHAnsi"/>
          <w:vertAlign w:val="superscript"/>
        </w:rPr>
        <w:t>st</w:t>
      </w:r>
      <w:r w:rsidR="00611844" w:rsidRPr="00C04E13">
        <w:rPr>
          <w:rFonts w:cstheme="minorHAnsi"/>
        </w:rPr>
        <w:t xml:space="preserve"> July 2000 Sarah Payne, an </w:t>
      </w:r>
      <w:r w:rsidR="00C04E13" w:rsidRPr="00C04E13">
        <w:rPr>
          <w:rFonts w:cstheme="minorHAnsi"/>
        </w:rPr>
        <w:t>8-year-old</w:t>
      </w:r>
      <w:r w:rsidR="00611844" w:rsidRPr="00C04E13">
        <w:rPr>
          <w:rFonts w:cstheme="minorHAnsi"/>
        </w:rPr>
        <w:t xml:space="preserve"> girl was abducted and murdered by Roy Whiting. Roy Whiting was a registered sex offender who had previously been convicted for abducting and sexually assaulting an </w:t>
      </w:r>
      <w:r w:rsidR="00C04E13" w:rsidRPr="00C04E13">
        <w:rPr>
          <w:rFonts w:cstheme="minorHAnsi"/>
        </w:rPr>
        <w:t>8-year-old</w:t>
      </w:r>
      <w:r w:rsidR="00611844" w:rsidRPr="00C04E13">
        <w:rPr>
          <w:rFonts w:cstheme="minorHAnsi"/>
        </w:rPr>
        <w:t xml:space="preserve"> girl in 1995</w:t>
      </w:r>
      <w:r w:rsidR="00492A59" w:rsidRPr="00C04E13">
        <w:rPr>
          <w:rFonts w:cstheme="minorHAnsi"/>
        </w:rPr>
        <w:t xml:space="preserve"> </w:t>
      </w:r>
      <w:r w:rsidR="00492A59" w:rsidRPr="00C04E13">
        <w:rPr>
          <w:rFonts w:cstheme="minorHAnsi"/>
        </w:rPr>
        <w:t>(Oliver, 2001)</w:t>
      </w:r>
      <w:r w:rsidR="00611844" w:rsidRPr="00C04E13">
        <w:rPr>
          <w:rFonts w:cstheme="minorHAnsi"/>
        </w:rPr>
        <w:t xml:space="preserve">. In response to the murder of </w:t>
      </w:r>
      <w:r w:rsidR="0028680B" w:rsidRPr="00C04E13">
        <w:rPr>
          <w:rFonts w:cstheme="minorHAnsi"/>
        </w:rPr>
        <w:t>Sarah Pay</w:t>
      </w:r>
      <w:r w:rsidR="003E5DC0" w:rsidRPr="00C04E13">
        <w:rPr>
          <w:rFonts w:cstheme="minorHAnsi"/>
        </w:rPr>
        <w:t xml:space="preserve">ne, a national newspaper, </w:t>
      </w:r>
      <w:r w:rsidR="0028680B" w:rsidRPr="00C04E13">
        <w:rPr>
          <w:rFonts w:cstheme="minorHAnsi"/>
        </w:rPr>
        <w:t>The News of the World, started a “Naming and shaming” campaign</w:t>
      </w:r>
      <w:r w:rsidR="00536430" w:rsidRPr="00C04E13">
        <w:rPr>
          <w:rFonts w:cstheme="minorHAnsi"/>
        </w:rPr>
        <w:t xml:space="preserve"> whereby they published images of sex offenders in the UK with their names and addresses.</w:t>
      </w:r>
      <w:r w:rsidR="00A00CEE" w:rsidRPr="00C04E13">
        <w:rPr>
          <w:rFonts w:cstheme="minorHAnsi"/>
        </w:rPr>
        <w:t xml:space="preserve"> Not only was this in response to the murder of Sarah Payne it was also a response to the government</w:t>
      </w:r>
      <w:r w:rsidR="00B2678A" w:rsidRPr="00C04E13">
        <w:rPr>
          <w:rFonts w:cstheme="minorHAnsi"/>
        </w:rPr>
        <w:t xml:space="preserve"> “Protecting” the details of registered sex offenders.</w:t>
      </w:r>
      <w:r w:rsidR="00536430" w:rsidRPr="00C04E13">
        <w:rPr>
          <w:rFonts w:cstheme="minorHAnsi"/>
        </w:rPr>
        <w:t xml:space="preserve"> Within the article</w:t>
      </w:r>
      <w:r w:rsidR="003E5DC0" w:rsidRPr="00C04E13">
        <w:rPr>
          <w:rFonts w:cstheme="minorHAnsi"/>
        </w:rPr>
        <w:t>, it</w:t>
      </w:r>
      <w:r w:rsidR="00536430" w:rsidRPr="00C04E13">
        <w:rPr>
          <w:rFonts w:cstheme="minorHAnsi"/>
        </w:rPr>
        <w:t xml:space="preserve"> requested that readers do not engage in vigilante behaviour</w:t>
      </w:r>
      <w:r w:rsidR="003E5DC0" w:rsidRPr="00C04E13">
        <w:rPr>
          <w:rFonts w:cstheme="minorHAnsi"/>
        </w:rPr>
        <w:t>,</w:t>
      </w:r>
      <w:r w:rsidR="00536430" w:rsidRPr="00C04E13">
        <w:rPr>
          <w:rFonts w:cstheme="minorHAnsi"/>
        </w:rPr>
        <w:t xml:space="preserve"> however in </w:t>
      </w:r>
      <w:proofErr w:type="spellStart"/>
      <w:r w:rsidR="00F67D55" w:rsidRPr="00C04E13">
        <w:rPr>
          <w:rFonts w:cstheme="minorHAnsi"/>
        </w:rPr>
        <w:t>Paulswood</w:t>
      </w:r>
      <w:proofErr w:type="spellEnd"/>
      <w:r w:rsidR="00F67D55" w:rsidRPr="00C04E13">
        <w:rPr>
          <w:rFonts w:cstheme="minorHAnsi"/>
        </w:rPr>
        <w:t xml:space="preserve"> </w:t>
      </w:r>
      <w:r w:rsidR="003E2664" w:rsidRPr="00C04E13">
        <w:rPr>
          <w:rFonts w:cstheme="minorHAnsi"/>
        </w:rPr>
        <w:t>housing estate</w:t>
      </w:r>
      <w:r w:rsidR="00F67D55" w:rsidRPr="00C04E13">
        <w:rPr>
          <w:rFonts w:cstheme="minorHAnsi"/>
        </w:rPr>
        <w:t xml:space="preserve">, a group of </w:t>
      </w:r>
      <w:r w:rsidR="00492A59" w:rsidRPr="00C04E13">
        <w:rPr>
          <w:rFonts w:cstheme="minorHAnsi"/>
        </w:rPr>
        <w:t>mothers</w:t>
      </w:r>
      <w:r w:rsidR="00F67D55" w:rsidRPr="00C04E13">
        <w:rPr>
          <w:rFonts w:cstheme="minorHAnsi"/>
        </w:rPr>
        <w:t xml:space="preserve"> turned vigilantes,</w:t>
      </w:r>
      <w:r w:rsidR="003E2664" w:rsidRPr="00C04E13">
        <w:rPr>
          <w:rFonts w:cstheme="minorHAnsi"/>
        </w:rPr>
        <w:t xml:space="preserve"> organised marches and held vigils outside the homes of known </w:t>
      </w:r>
      <w:r w:rsidR="00D146DA" w:rsidRPr="00C04E13">
        <w:rPr>
          <w:rFonts w:cstheme="minorHAnsi"/>
        </w:rPr>
        <w:t>paedophile’s</w:t>
      </w:r>
      <w:r w:rsidR="003E2664" w:rsidRPr="00C04E13">
        <w:rPr>
          <w:rFonts w:cstheme="minorHAnsi"/>
        </w:rPr>
        <w:t>, protesting against the housing of these individuals.</w:t>
      </w:r>
      <w:r w:rsidR="00F67D55" w:rsidRPr="00C04E13">
        <w:rPr>
          <w:rFonts w:cstheme="minorHAnsi"/>
        </w:rPr>
        <w:t xml:space="preserve"> Elsewhere</w:t>
      </w:r>
      <w:r w:rsidR="00492A59" w:rsidRPr="00C04E13">
        <w:rPr>
          <w:rFonts w:cstheme="minorHAnsi"/>
        </w:rPr>
        <w:t>,</w:t>
      </w:r>
      <w:r w:rsidR="00F67D55" w:rsidRPr="00C04E13">
        <w:rPr>
          <w:rFonts w:cstheme="minorHAnsi"/>
        </w:rPr>
        <w:t xml:space="preserve"> there were </w:t>
      </w:r>
      <w:r w:rsidR="00F67D55" w:rsidRPr="00C04E13">
        <w:rPr>
          <w:rFonts w:cstheme="minorHAnsi"/>
        </w:rPr>
        <w:t xml:space="preserve">accounts of convicted sexual offenders running away from their homes, facing irate mobs, having their property </w:t>
      </w:r>
      <w:r w:rsidR="00F67D55" w:rsidRPr="00C04E13">
        <w:rPr>
          <w:rFonts w:cstheme="minorHAnsi"/>
        </w:rPr>
        <w:t>and</w:t>
      </w:r>
      <w:r w:rsidR="00F67D55" w:rsidRPr="00C04E13">
        <w:rPr>
          <w:rFonts w:cstheme="minorHAnsi"/>
        </w:rPr>
        <w:t xml:space="preserve"> loved ones attacked, and, around a fortnight after the News of the World campaign started, </w:t>
      </w:r>
      <w:r w:rsidR="00F67D55" w:rsidRPr="00C04E13">
        <w:rPr>
          <w:rFonts w:cstheme="minorHAnsi"/>
        </w:rPr>
        <w:t xml:space="preserve">individuals had </w:t>
      </w:r>
      <w:r w:rsidR="00F67D55" w:rsidRPr="00C04E13">
        <w:rPr>
          <w:rFonts w:cstheme="minorHAnsi"/>
        </w:rPr>
        <w:t>commit</w:t>
      </w:r>
      <w:r w:rsidR="00F67D55" w:rsidRPr="00C04E13">
        <w:rPr>
          <w:rFonts w:cstheme="minorHAnsi"/>
        </w:rPr>
        <w:t>ted</w:t>
      </w:r>
      <w:r w:rsidR="00F67D55" w:rsidRPr="00C04E13">
        <w:rPr>
          <w:rFonts w:cstheme="minorHAnsi"/>
        </w:rPr>
        <w:t xml:space="preserve"> suicide</w:t>
      </w:r>
      <w:r w:rsidR="00492A59" w:rsidRPr="00C04E13">
        <w:rPr>
          <w:rFonts w:cstheme="minorHAnsi"/>
        </w:rPr>
        <w:t xml:space="preserve"> </w:t>
      </w:r>
      <w:r w:rsidR="00492A59" w:rsidRPr="00C04E13">
        <w:rPr>
          <w:rFonts w:cstheme="minorHAnsi"/>
        </w:rPr>
        <w:t>(Bell, 2002)</w:t>
      </w:r>
      <w:r w:rsidR="00F67D55" w:rsidRPr="00C04E13">
        <w:rPr>
          <w:rFonts w:cstheme="minorHAnsi"/>
        </w:rPr>
        <w:t>.</w:t>
      </w:r>
      <w:r w:rsidR="00492A59" w:rsidRPr="00C04E13">
        <w:rPr>
          <w:rFonts w:cstheme="minorHAnsi"/>
        </w:rPr>
        <w:t xml:space="preserve"> An innocent male, Ian </w:t>
      </w:r>
      <w:proofErr w:type="spellStart"/>
      <w:r w:rsidR="00492A59" w:rsidRPr="00C04E13">
        <w:rPr>
          <w:rFonts w:cstheme="minorHAnsi"/>
        </w:rPr>
        <w:t>Armstrongs</w:t>
      </w:r>
      <w:proofErr w:type="spellEnd"/>
      <w:r w:rsidR="00492A59" w:rsidRPr="00C04E13">
        <w:rPr>
          <w:rFonts w:cstheme="minorHAnsi"/>
        </w:rPr>
        <w:t xml:space="preserve"> home was also attacked due to mistake identity because of images that had been distributed by the newspaper</w:t>
      </w:r>
      <w:r w:rsidR="00A00CEE" w:rsidRPr="00C04E13">
        <w:rPr>
          <w:rFonts w:cstheme="minorHAnsi"/>
        </w:rPr>
        <w:t>. Armstrong advised that a group of neighbours had gathered outside his home and were shouting “</w:t>
      </w:r>
      <w:proofErr w:type="spellStart"/>
      <w:r w:rsidR="00A00CEE" w:rsidRPr="00C04E13">
        <w:rPr>
          <w:rFonts w:cstheme="minorHAnsi"/>
        </w:rPr>
        <w:t>peadophile</w:t>
      </w:r>
      <w:proofErr w:type="spellEnd"/>
      <w:r w:rsidR="00A00CEE" w:rsidRPr="00C04E13">
        <w:rPr>
          <w:rFonts w:cstheme="minorHAnsi"/>
        </w:rPr>
        <w:t xml:space="preserve">” at him. Armstrong was so petrified that he brought his documents outside to show the group that he was not the person that they had identified him as. </w:t>
      </w:r>
      <w:r w:rsidR="00A00CEE" w:rsidRPr="00C04E13">
        <w:rPr>
          <w:rFonts w:cstheme="minorHAnsi"/>
        </w:rPr>
        <w:t>(BBC News, 2000)</w:t>
      </w:r>
      <w:r w:rsidR="003E5DC0" w:rsidRPr="00C04E13">
        <w:rPr>
          <w:rFonts w:cstheme="minorHAnsi"/>
        </w:rPr>
        <w:t xml:space="preserve"> </w:t>
      </w:r>
    </w:p>
    <w:p w14:paraId="51900625" w14:textId="42216961" w:rsidR="002350DA" w:rsidRPr="00C04E13" w:rsidRDefault="002350DA" w:rsidP="00A65393">
      <w:pPr>
        <w:rPr>
          <w:rFonts w:cstheme="minorHAnsi"/>
        </w:rPr>
      </w:pPr>
    </w:p>
    <w:p w14:paraId="29466CD2" w14:textId="0F8DB5D7" w:rsidR="001C7F4B" w:rsidRPr="00C04E13" w:rsidRDefault="00496A11" w:rsidP="00A65393">
      <w:pPr>
        <w:rPr>
          <w:rFonts w:cstheme="minorHAnsi"/>
        </w:rPr>
      </w:pPr>
      <w:r w:rsidRPr="00C04E13">
        <w:rPr>
          <w:rFonts w:cstheme="minorHAnsi"/>
        </w:rPr>
        <w:t xml:space="preserve">Public perception </w:t>
      </w:r>
    </w:p>
    <w:p w14:paraId="357926F7" w14:textId="283807F4" w:rsidR="00F02D20" w:rsidRPr="00C04E13" w:rsidRDefault="00CF5F92" w:rsidP="00A65393">
      <w:pPr>
        <w:rPr>
          <w:rFonts w:cstheme="minorHAnsi"/>
        </w:rPr>
      </w:pPr>
      <w:r w:rsidRPr="00C04E13">
        <w:rPr>
          <w:rFonts w:cstheme="minorHAnsi"/>
        </w:rPr>
        <w:t>L</w:t>
      </w:r>
      <w:r w:rsidR="00F02D20" w:rsidRPr="00C04E13">
        <w:rPr>
          <w:rFonts w:cstheme="minorHAnsi"/>
        </w:rPr>
        <w:t xml:space="preserve">ack of trust in the </w:t>
      </w:r>
      <w:r w:rsidR="001C7F4B" w:rsidRPr="00C04E13">
        <w:rPr>
          <w:rFonts w:cstheme="minorHAnsi"/>
        </w:rPr>
        <w:t>criminal justice system</w:t>
      </w:r>
      <w:r w:rsidR="00F02D20" w:rsidRPr="00C04E13">
        <w:rPr>
          <w:rFonts w:cstheme="minorHAnsi"/>
        </w:rPr>
        <w:t xml:space="preserve"> is</w:t>
      </w:r>
      <w:r w:rsidR="00810A5F" w:rsidRPr="00C04E13">
        <w:rPr>
          <w:rFonts w:cstheme="minorHAnsi"/>
        </w:rPr>
        <w:t xml:space="preserve"> still</w:t>
      </w:r>
      <w:r w:rsidR="00F02D20" w:rsidRPr="00C04E13">
        <w:rPr>
          <w:rFonts w:cstheme="minorHAnsi"/>
        </w:rPr>
        <w:t xml:space="preserve"> frequently cited as a cause of vigilantism. Although vigilantism doesn't seem to be a common occurrence in the majority of developed nations, there are signs that when it does, the public supports such extra-legal actions to a considerable degree.</w:t>
      </w:r>
      <w:r w:rsidR="00F02D20" w:rsidRPr="00C04E13">
        <w:rPr>
          <w:rFonts w:cstheme="minorHAnsi"/>
        </w:rPr>
        <w:t xml:space="preserve"> </w:t>
      </w:r>
      <w:r w:rsidR="00F02D20" w:rsidRPr="00C04E13">
        <w:rPr>
          <w:rFonts w:cstheme="minorHAnsi"/>
        </w:rPr>
        <w:t xml:space="preserve">(Rosenbaum and </w:t>
      </w:r>
      <w:proofErr w:type="spellStart"/>
      <w:r w:rsidR="00F02D20" w:rsidRPr="00C04E13">
        <w:rPr>
          <w:rFonts w:cstheme="minorHAnsi"/>
        </w:rPr>
        <w:t>Sederberg</w:t>
      </w:r>
      <w:proofErr w:type="spellEnd"/>
      <w:r w:rsidR="00F02D20" w:rsidRPr="00C04E13">
        <w:rPr>
          <w:rFonts w:cstheme="minorHAnsi"/>
        </w:rPr>
        <w:t>, 1974)</w:t>
      </w:r>
      <w:r w:rsidR="00F02D20" w:rsidRPr="00C04E13">
        <w:rPr>
          <w:rFonts w:cstheme="minorHAnsi"/>
        </w:rPr>
        <w:t xml:space="preserve"> For example, Marianne </w:t>
      </w:r>
      <w:proofErr w:type="spellStart"/>
      <w:r w:rsidR="00F02D20" w:rsidRPr="00C04E13">
        <w:rPr>
          <w:rFonts w:cstheme="minorHAnsi"/>
        </w:rPr>
        <w:t>Bachmeier</w:t>
      </w:r>
      <w:proofErr w:type="spellEnd"/>
      <w:r w:rsidR="00F02D20" w:rsidRPr="00C04E13">
        <w:rPr>
          <w:rFonts w:cstheme="minorHAnsi"/>
        </w:rPr>
        <w:t xml:space="preserve">, a single mother from Germany shot the male who was responsible for the death of her </w:t>
      </w:r>
      <w:r w:rsidR="00986E92" w:rsidRPr="00C04E13">
        <w:rPr>
          <w:rFonts w:cstheme="minorHAnsi"/>
        </w:rPr>
        <w:t>7-year-old</w:t>
      </w:r>
      <w:r w:rsidR="00F02D20" w:rsidRPr="00C04E13">
        <w:rPr>
          <w:rFonts w:cstheme="minorHAnsi"/>
        </w:rPr>
        <w:t xml:space="preserve"> child six times while he was in court standing trial for the offence.</w:t>
      </w:r>
      <w:r w:rsidR="00436ECF" w:rsidRPr="00C04E13">
        <w:rPr>
          <w:rFonts w:cstheme="minorHAnsi"/>
        </w:rPr>
        <w:t xml:space="preserve"> </w:t>
      </w:r>
      <w:r w:rsidR="00436ECF" w:rsidRPr="00C04E13">
        <w:rPr>
          <w:rFonts w:cstheme="minorHAnsi"/>
        </w:rPr>
        <w:t>Due to her ruthless vigilante action, her trial attracted attention from all over the world.</w:t>
      </w:r>
      <w:r w:rsidR="00436ECF" w:rsidRPr="00C04E13">
        <w:rPr>
          <w:rFonts w:cstheme="minorHAnsi"/>
        </w:rPr>
        <w:t xml:space="preserve"> </w:t>
      </w:r>
      <w:r w:rsidR="00436ECF" w:rsidRPr="00C04E13">
        <w:rPr>
          <w:rFonts w:cstheme="minorHAnsi"/>
        </w:rPr>
        <w:t xml:space="preserve">In a series of articles about the trial, the weekly German magazine Stern delved into </w:t>
      </w:r>
      <w:proofErr w:type="spellStart"/>
      <w:r w:rsidR="00436ECF" w:rsidRPr="00C04E13">
        <w:rPr>
          <w:rFonts w:cstheme="minorHAnsi"/>
        </w:rPr>
        <w:t>Bachmeier's</w:t>
      </w:r>
      <w:proofErr w:type="spellEnd"/>
      <w:r w:rsidR="00436ECF" w:rsidRPr="00C04E13">
        <w:rPr>
          <w:rFonts w:cstheme="minorHAnsi"/>
        </w:rPr>
        <w:t xml:space="preserve"> past as a working single mother who had a very difficult upbringing.</w:t>
      </w:r>
      <w:r w:rsidR="00436ECF" w:rsidRPr="00C04E13">
        <w:rPr>
          <w:rFonts w:cstheme="minorHAnsi"/>
        </w:rPr>
        <w:t xml:space="preserve"> </w:t>
      </w:r>
      <w:r w:rsidR="00436ECF" w:rsidRPr="00C04E13">
        <w:rPr>
          <w:rFonts w:cstheme="minorHAnsi"/>
        </w:rPr>
        <w:t xml:space="preserve">The response from readers to the magazine was overwhelmingly positive. Had Marianne </w:t>
      </w:r>
      <w:proofErr w:type="spellStart"/>
      <w:r w:rsidR="00436ECF" w:rsidRPr="00C04E13">
        <w:rPr>
          <w:rFonts w:cstheme="minorHAnsi"/>
        </w:rPr>
        <w:t>Bachmeier's</w:t>
      </w:r>
      <w:proofErr w:type="spellEnd"/>
      <w:r w:rsidR="00436ECF" w:rsidRPr="00C04E13">
        <w:rPr>
          <w:rFonts w:cstheme="minorHAnsi"/>
        </w:rPr>
        <w:t xml:space="preserve"> act of vigilantism turned her into a cold-blooded killer, or was she just a heartbroken mother seeking to exact revenge for the horrible death of her child?</w:t>
      </w:r>
      <w:r w:rsidR="00436ECF" w:rsidRPr="00C04E13">
        <w:rPr>
          <w:rFonts w:cstheme="minorHAnsi"/>
        </w:rPr>
        <w:t xml:space="preserve"> </w:t>
      </w:r>
      <w:r w:rsidR="00436ECF" w:rsidRPr="00C04E13">
        <w:rPr>
          <w:rFonts w:cstheme="minorHAnsi"/>
        </w:rPr>
        <w:t>(Ishak, 2021)</w:t>
      </w:r>
      <w:r w:rsidR="003E782E" w:rsidRPr="00C04E13">
        <w:rPr>
          <w:rFonts w:cstheme="minorHAnsi"/>
        </w:rPr>
        <w:t xml:space="preserve"> </w:t>
      </w:r>
      <w:r w:rsidR="003E782E" w:rsidRPr="00C04E13">
        <w:rPr>
          <w:rFonts w:cstheme="minorHAnsi"/>
        </w:rPr>
        <w:t xml:space="preserve">After the trial of Marianne </w:t>
      </w:r>
      <w:proofErr w:type="spellStart"/>
      <w:r w:rsidR="003E782E" w:rsidRPr="00C04E13">
        <w:rPr>
          <w:rFonts w:cstheme="minorHAnsi"/>
        </w:rPr>
        <w:t>Bachmeier</w:t>
      </w:r>
      <w:proofErr w:type="spellEnd"/>
      <w:r w:rsidR="003E782E" w:rsidRPr="00C04E13">
        <w:rPr>
          <w:rFonts w:cstheme="minorHAnsi"/>
        </w:rPr>
        <w:t xml:space="preserve"> where she was sentenced to 6 year for the offences of premeditated manslaughter and unlawful </w:t>
      </w:r>
      <w:r w:rsidR="00986E92" w:rsidRPr="00C04E13">
        <w:rPr>
          <w:rFonts w:cstheme="minorHAnsi"/>
        </w:rPr>
        <w:t>possession</w:t>
      </w:r>
      <w:r w:rsidR="003E782E" w:rsidRPr="00C04E13">
        <w:rPr>
          <w:rFonts w:cstheme="minorHAnsi"/>
        </w:rPr>
        <w:t xml:space="preserve"> of a firearm the Allensbach Institute conducted a study to find out what the public thought about her sentence. They found that 28% of Germans thought her six-year sentence was reasonable, 27% thought it was too harsh, and 25% thought it was too lenient</w:t>
      </w:r>
      <w:r w:rsidR="003E782E" w:rsidRPr="00C04E13">
        <w:rPr>
          <w:rFonts w:cstheme="minorHAnsi"/>
        </w:rPr>
        <w:t xml:space="preserve"> </w:t>
      </w:r>
      <w:r w:rsidR="003E782E" w:rsidRPr="00C04E13">
        <w:rPr>
          <w:rFonts w:cstheme="minorHAnsi"/>
        </w:rPr>
        <w:t>(</w:t>
      </w:r>
      <w:proofErr w:type="spellStart"/>
      <w:r w:rsidR="003E782E" w:rsidRPr="00C04E13">
        <w:rPr>
          <w:rFonts w:cstheme="minorHAnsi"/>
        </w:rPr>
        <w:t>Nahanara</w:t>
      </w:r>
      <w:proofErr w:type="spellEnd"/>
      <w:r w:rsidR="003E782E" w:rsidRPr="00C04E13">
        <w:rPr>
          <w:rFonts w:cstheme="minorHAnsi"/>
        </w:rPr>
        <w:t>, 2021).</w:t>
      </w:r>
    </w:p>
    <w:p w14:paraId="48BF8BD7" w14:textId="77777777" w:rsidR="00CF5F92" w:rsidRPr="00C04E13" w:rsidRDefault="00CF5F92" w:rsidP="00CF5F92">
      <w:pPr>
        <w:rPr>
          <w:rFonts w:cstheme="minorHAnsi"/>
        </w:rPr>
      </w:pPr>
      <w:r w:rsidRPr="00C04E13">
        <w:rPr>
          <w:rFonts w:cstheme="minorHAnsi"/>
        </w:rPr>
        <w:t>Nicole Haas hypothesises that there are 2 reasons for the public support of vigilantism. The first being the “Confidence Hypothesis.” The confidence hypothesis is the theory that vigilantism is supported when the public has low or even no confidence in the formal authorities. This theory pertains to the general confidence in law enforcement and not in relation to a specific crime or offence. The second being “Situation Hypothesis.” According to this hypothesis, the elements of the act of vigilantism itself influence the support for it. Support from the public may take the form of opinions on the crime itself, how serious they believe it to be, the identity of the victim and the perpetrator, and other factors. If the public does accept a vigilante act, it may not be because they no longer believe in the criminal justice system; rather, it may be due to the circumstances surrounding a particular instance of vigilantism. Based on a study conducted by Haas, it was shown that public support for vigilantism was not solely determined by confidence in the police. The situation's specific characteristics were deemed to also be a factor. Additionally, it was discovered that a vigilante's use of violence and the police's response to it both affected respondents' reactions to the act of vigilantism that was taking place. However, it was also discovered that when the general public openly support acts of vigilantism, this does not necessarily indicate a lack of confidence in the criminal justice system. People may just respond to situational factors without their perception of the police necessarily having an impact. (Hass, 2010)</w:t>
      </w:r>
    </w:p>
    <w:p w14:paraId="6183F71C" w14:textId="77777777" w:rsidR="00CF5F92" w:rsidRPr="00C04E13" w:rsidRDefault="00CF5F92" w:rsidP="00A65393">
      <w:pPr>
        <w:rPr>
          <w:rFonts w:cstheme="minorHAnsi"/>
        </w:rPr>
      </w:pPr>
    </w:p>
    <w:p w14:paraId="5F07C4AB" w14:textId="384B0CAE" w:rsidR="00CF5F92" w:rsidRPr="00C04E13" w:rsidRDefault="00CF5F92" w:rsidP="00A65393">
      <w:pPr>
        <w:rPr>
          <w:rFonts w:cstheme="minorHAnsi"/>
        </w:rPr>
      </w:pPr>
      <w:r w:rsidRPr="00C04E13">
        <w:rPr>
          <w:rFonts w:cstheme="minorHAnsi"/>
        </w:rPr>
        <w:t>However</w:t>
      </w:r>
      <w:r w:rsidR="00986E92" w:rsidRPr="00C04E13">
        <w:rPr>
          <w:rFonts w:cstheme="minorHAnsi"/>
        </w:rPr>
        <w:t>,</w:t>
      </w:r>
      <w:r w:rsidRPr="00C04E13">
        <w:rPr>
          <w:rFonts w:cstheme="minorHAnsi"/>
        </w:rPr>
        <w:t xml:space="preserve"> i</w:t>
      </w:r>
      <w:r w:rsidRPr="00C04E13">
        <w:rPr>
          <w:rFonts w:cstheme="minorHAnsi"/>
        </w:rPr>
        <w:t xml:space="preserve">n their most recent study, </w:t>
      </w:r>
      <w:r w:rsidR="0075018B" w:rsidRPr="00C04E13">
        <w:rPr>
          <w:rFonts w:cstheme="minorHAnsi"/>
        </w:rPr>
        <w:t>Tyler</w:t>
      </w:r>
      <w:r w:rsidRPr="00C04E13">
        <w:rPr>
          <w:rFonts w:cstheme="minorHAnsi"/>
        </w:rPr>
        <w:t xml:space="preserve"> et al. (2012), linked normative views toward three different types of violence to perceptions about the </w:t>
      </w:r>
      <w:r w:rsidRPr="00C04E13">
        <w:rPr>
          <w:rFonts w:cstheme="minorHAnsi"/>
        </w:rPr>
        <w:t>police and criminal justice system</w:t>
      </w:r>
      <w:r w:rsidRPr="00C04E13">
        <w:rPr>
          <w:rFonts w:cstheme="minorHAnsi"/>
        </w:rPr>
        <w:t>. Young men from diverse London ethnic minority communities served as respondents. The finding that police perceptions are linked to responses to private violence is the study's most pertinent finding. Retaliation and using violence to settle a conflict with neighbo</w:t>
      </w:r>
      <w:r w:rsidR="00986E92" w:rsidRPr="00C04E13">
        <w:rPr>
          <w:rFonts w:cstheme="minorHAnsi"/>
        </w:rPr>
        <w:t>u</w:t>
      </w:r>
      <w:r w:rsidRPr="00C04E13">
        <w:rPr>
          <w:rFonts w:cstheme="minorHAnsi"/>
        </w:rPr>
        <w:t>rs</w:t>
      </w:r>
      <w:r w:rsidRPr="00C04E13">
        <w:rPr>
          <w:rFonts w:cstheme="minorHAnsi"/>
        </w:rPr>
        <w:t xml:space="preserve"> in situations</w:t>
      </w:r>
      <w:r w:rsidRPr="00C04E13">
        <w:rPr>
          <w:rFonts w:cstheme="minorHAnsi"/>
        </w:rPr>
        <w:t xml:space="preserve"> w</w:t>
      </w:r>
      <w:r w:rsidRPr="00C04E13">
        <w:rPr>
          <w:rFonts w:cstheme="minorHAnsi"/>
        </w:rPr>
        <w:t>as</w:t>
      </w:r>
      <w:r w:rsidRPr="00C04E13">
        <w:rPr>
          <w:rFonts w:cstheme="minorHAnsi"/>
        </w:rPr>
        <w:t xml:space="preserve"> viewed more adversely by respondents the more favo</w:t>
      </w:r>
      <w:r w:rsidR="00986E92" w:rsidRPr="00C04E13">
        <w:rPr>
          <w:rFonts w:cstheme="minorHAnsi"/>
        </w:rPr>
        <w:t>u</w:t>
      </w:r>
      <w:r w:rsidRPr="00C04E13">
        <w:rPr>
          <w:rFonts w:cstheme="minorHAnsi"/>
        </w:rPr>
        <w:t>rable they were of the police. This is an important addition to the body of research on popular support for vigilantism</w:t>
      </w:r>
      <w:r w:rsidRPr="00C04E13">
        <w:rPr>
          <w:rFonts w:cstheme="minorHAnsi"/>
        </w:rPr>
        <w:t xml:space="preserve"> and supports the argument that a lack of confidence in the police can cause individuals to support vigilante behaviours</w:t>
      </w:r>
      <w:r w:rsidRPr="00C04E13">
        <w:rPr>
          <w:rFonts w:cstheme="minorHAnsi"/>
        </w:rPr>
        <w:t>.</w:t>
      </w:r>
      <w:r w:rsidRPr="00C04E13">
        <w:rPr>
          <w:rFonts w:cstheme="minorHAnsi"/>
        </w:rPr>
        <w:t xml:space="preserve"> </w:t>
      </w:r>
      <w:r w:rsidR="0075018B" w:rsidRPr="00C04E13">
        <w:rPr>
          <w:rFonts w:cstheme="minorHAnsi"/>
        </w:rPr>
        <w:t>(Tyler et al., 2012)</w:t>
      </w:r>
    </w:p>
    <w:p w14:paraId="39765DE0" w14:textId="0CFC3BB6" w:rsidR="00784951" w:rsidRPr="00C04E13" w:rsidRDefault="00784951" w:rsidP="00A65393">
      <w:pPr>
        <w:rPr>
          <w:rFonts w:cstheme="minorHAnsi"/>
        </w:rPr>
      </w:pPr>
    </w:p>
    <w:p w14:paraId="438B66B8" w14:textId="0A228CA0" w:rsidR="00784951" w:rsidRPr="00C04E13" w:rsidRDefault="00784951" w:rsidP="00784951">
      <w:pPr>
        <w:rPr>
          <w:rFonts w:cstheme="minorHAnsi"/>
        </w:rPr>
      </w:pPr>
      <w:r w:rsidRPr="00C04E13">
        <w:rPr>
          <w:rFonts w:cstheme="minorHAnsi"/>
        </w:rPr>
        <w:t>Another study in that was conducted in Ghana</w:t>
      </w:r>
      <w:r w:rsidR="0075018B" w:rsidRPr="00C04E13">
        <w:rPr>
          <w:rFonts w:cstheme="minorHAnsi"/>
        </w:rPr>
        <w:t xml:space="preserve"> by </w:t>
      </w:r>
      <w:proofErr w:type="spellStart"/>
      <w:r w:rsidR="0075018B" w:rsidRPr="00C04E13">
        <w:rPr>
          <w:rFonts w:cstheme="minorHAnsi"/>
        </w:rPr>
        <w:t>Tankebe</w:t>
      </w:r>
      <w:proofErr w:type="spellEnd"/>
      <w:r w:rsidR="0075018B" w:rsidRPr="00C04E13">
        <w:rPr>
          <w:rFonts w:cstheme="minorHAnsi"/>
        </w:rPr>
        <w:t>(2009)</w:t>
      </w:r>
      <w:r w:rsidRPr="00C04E13">
        <w:rPr>
          <w:rFonts w:cstheme="minorHAnsi"/>
        </w:rPr>
        <w:t xml:space="preserve"> found that p</w:t>
      </w:r>
      <w:r w:rsidRPr="00C04E13">
        <w:rPr>
          <w:rFonts w:cstheme="minorHAnsi"/>
        </w:rPr>
        <w:t>ublic support for vigilantism was found to be strongly predicted by public confidence in the police. Both support and confidence were measured using multiple-item scales.</w:t>
      </w:r>
      <w:r w:rsidRPr="00C04E13">
        <w:rPr>
          <w:rFonts w:cstheme="minorHAnsi"/>
        </w:rPr>
        <w:t xml:space="preserve"> </w:t>
      </w:r>
      <w:r w:rsidR="00904E4F" w:rsidRPr="00C04E13">
        <w:rPr>
          <w:rFonts w:cstheme="minorHAnsi"/>
        </w:rPr>
        <w:t>S</w:t>
      </w:r>
      <w:r w:rsidRPr="00C04E13">
        <w:rPr>
          <w:rFonts w:cstheme="minorHAnsi"/>
        </w:rPr>
        <w:t>ignificant research findings from Ghana</w:t>
      </w:r>
      <w:r w:rsidR="00904E4F" w:rsidRPr="00C04E13">
        <w:rPr>
          <w:rFonts w:cstheme="minorHAnsi"/>
        </w:rPr>
        <w:t xml:space="preserve"> were</w:t>
      </w:r>
      <w:r w:rsidRPr="00C04E13">
        <w:rPr>
          <w:rFonts w:cstheme="minorHAnsi"/>
        </w:rPr>
        <w:t xml:space="preserve"> </w:t>
      </w:r>
      <w:r w:rsidR="00904E4F" w:rsidRPr="00C04E13">
        <w:rPr>
          <w:rFonts w:cstheme="minorHAnsi"/>
        </w:rPr>
        <w:t>f</w:t>
      </w:r>
      <w:r w:rsidRPr="00C04E13">
        <w:rPr>
          <w:rFonts w:cstheme="minorHAnsi"/>
        </w:rPr>
        <w:t>irst and foremost, public support for vigilant</w:t>
      </w:r>
      <w:r w:rsidR="00904E4F" w:rsidRPr="00C04E13">
        <w:rPr>
          <w:rFonts w:cstheme="minorHAnsi"/>
        </w:rPr>
        <w:t xml:space="preserve">ism </w:t>
      </w:r>
      <w:r w:rsidRPr="00C04E13">
        <w:rPr>
          <w:rFonts w:cstheme="minorHAnsi"/>
        </w:rPr>
        <w:t>was substantially correlated with people's perceptions of how trustworthy the police were; those who believed the police to be unreliable were more likely to support vigilantism than those who believed the police to be reliable</w:t>
      </w:r>
      <w:r w:rsidR="00904E4F" w:rsidRPr="00C04E13">
        <w:rPr>
          <w:rFonts w:cstheme="minorHAnsi"/>
        </w:rPr>
        <w:t xml:space="preserve">. Further it found that </w:t>
      </w:r>
      <w:r w:rsidR="00904E4F" w:rsidRPr="00C04E13">
        <w:rPr>
          <w:rFonts w:cstheme="minorHAnsi"/>
        </w:rPr>
        <w:t>Contrary to many current theories about vigilantism, the research study found that neither personal experience with police corruption nor perceptions of police (in)effectiveness were significant predictors of support for vigilantism.</w:t>
      </w:r>
      <w:r w:rsidR="00CF2D2B" w:rsidRPr="00C04E13">
        <w:rPr>
          <w:rFonts w:cstheme="minorHAnsi"/>
        </w:rPr>
        <w:t xml:space="preserve"> </w:t>
      </w:r>
      <w:r w:rsidR="00CF2D2B" w:rsidRPr="00C04E13">
        <w:rPr>
          <w:rFonts w:cstheme="minorHAnsi"/>
        </w:rPr>
        <w:t>The information</w:t>
      </w:r>
      <w:r w:rsidR="0038166C" w:rsidRPr="00C04E13">
        <w:rPr>
          <w:rFonts w:cstheme="minorHAnsi"/>
        </w:rPr>
        <w:t xml:space="preserve"> also</w:t>
      </w:r>
      <w:r w:rsidR="00CF2D2B" w:rsidRPr="00C04E13">
        <w:rPr>
          <w:rFonts w:cstheme="minorHAnsi"/>
        </w:rPr>
        <w:t xml:space="preserve"> revealed that persons were less likely to indicate support for vigilantism the greater their degree of educational attainment.</w:t>
      </w:r>
      <w:r w:rsidR="00CF2D2B" w:rsidRPr="00C04E13">
        <w:rPr>
          <w:rFonts w:cstheme="minorHAnsi"/>
        </w:rPr>
        <w:t xml:space="preserve"> </w:t>
      </w:r>
      <w:r w:rsidR="00CF2D2B" w:rsidRPr="00C04E13">
        <w:rPr>
          <w:rFonts w:cstheme="minorHAnsi"/>
        </w:rPr>
        <w:t>The findings from Ghana appear to demonstrate that increasing literacy promotes the growth of greater awareness, comprehension, and tolerance of the rule of law</w:t>
      </w:r>
      <w:r w:rsidR="001333E5" w:rsidRPr="00C04E13">
        <w:rPr>
          <w:rFonts w:cstheme="minorHAnsi"/>
        </w:rPr>
        <w:t>.</w:t>
      </w:r>
      <w:r w:rsidR="00CF2D2B" w:rsidRPr="00C04E13">
        <w:rPr>
          <w:rFonts w:cstheme="minorHAnsi"/>
        </w:rPr>
        <w:t xml:space="preserve"> </w:t>
      </w:r>
      <w:r w:rsidR="00CF2D2B" w:rsidRPr="00C04E13">
        <w:rPr>
          <w:rFonts w:cstheme="minorHAnsi"/>
        </w:rPr>
        <w:t>The positive impacts of more knowledge and awareness of the rule of law may work to reduce the current eagerness with which people turn to vigilante violence as academic education levels improve across Ghanaian society.</w:t>
      </w:r>
      <w:r w:rsidR="0075018B" w:rsidRPr="00C04E13">
        <w:rPr>
          <w:rFonts w:cstheme="minorHAnsi"/>
        </w:rPr>
        <w:t xml:space="preserve"> </w:t>
      </w:r>
      <w:r w:rsidR="0075018B" w:rsidRPr="00C04E13">
        <w:rPr>
          <w:rFonts w:cstheme="minorHAnsi"/>
        </w:rPr>
        <w:t>(</w:t>
      </w:r>
      <w:proofErr w:type="spellStart"/>
      <w:r w:rsidR="0075018B" w:rsidRPr="00C04E13">
        <w:rPr>
          <w:rFonts w:cstheme="minorHAnsi"/>
        </w:rPr>
        <w:t>Tankebe</w:t>
      </w:r>
      <w:proofErr w:type="spellEnd"/>
      <w:r w:rsidR="0075018B" w:rsidRPr="00C04E13">
        <w:rPr>
          <w:rFonts w:cstheme="minorHAnsi"/>
        </w:rPr>
        <w:t>, 2009)</w:t>
      </w:r>
    </w:p>
    <w:p w14:paraId="2CE79F1E" w14:textId="4CD01E96" w:rsidR="002F2C2E" w:rsidRPr="00C04E13" w:rsidRDefault="002F2C2E" w:rsidP="00784951">
      <w:pPr>
        <w:rPr>
          <w:rFonts w:cstheme="minorHAnsi"/>
        </w:rPr>
      </w:pPr>
    </w:p>
    <w:p w14:paraId="67322E6A" w14:textId="3EBFAD06" w:rsidR="002F2C2E" w:rsidRPr="00C04E13" w:rsidRDefault="00614756" w:rsidP="00784951">
      <w:pPr>
        <w:rPr>
          <w:rFonts w:cstheme="minorHAnsi"/>
        </w:rPr>
      </w:pPr>
      <w:r w:rsidRPr="00C04E13">
        <w:rPr>
          <w:rFonts w:cstheme="minorHAnsi"/>
        </w:rPr>
        <w:t xml:space="preserve">In 2019 the Sentencing council for England and Wales carried out </w:t>
      </w:r>
      <w:r w:rsidR="00FD432B" w:rsidRPr="00C04E13">
        <w:rPr>
          <w:rFonts w:cstheme="minorHAnsi"/>
        </w:rPr>
        <w:t xml:space="preserve">a survey of 2000 adults </w:t>
      </w:r>
      <w:r w:rsidRPr="00C04E13">
        <w:rPr>
          <w:rFonts w:cstheme="minorHAnsi"/>
        </w:rPr>
        <w:t xml:space="preserve">to find out the </w:t>
      </w:r>
      <w:r w:rsidR="00C04E13" w:rsidRPr="00C04E13">
        <w:rPr>
          <w:rFonts w:cstheme="minorHAnsi"/>
        </w:rPr>
        <w:t>Public’s</w:t>
      </w:r>
      <w:r w:rsidRPr="00C04E13">
        <w:rPr>
          <w:rFonts w:cstheme="minorHAnsi"/>
        </w:rPr>
        <w:t xml:space="preserve"> confidence in sentencing and the criminal justice system</w:t>
      </w:r>
      <w:r w:rsidRPr="00C04E13">
        <w:rPr>
          <w:rFonts w:cstheme="minorHAnsi"/>
        </w:rPr>
        <w:t xml:space="preserve">. </w:t>
      </w:r>
      <w:r w:rsidR="00FD432B" w:rsidRPr="00C04E13">
        <w:rPr>
          <w:rFonts w:cstheme="minorHAnsi"/>
        </w:rPr>
        <w:t>According to the survey, there was a mixed level of confidence in the CJS's effectiveness and fairness overall. 52% of respondents said they were confident in the CJS's effectiveness, and 54% said they were confident in its fairness, while 44% and 42% of respondents said they were not confident in either.</w:t>
      </w:r>
      <w:r w:rsidR="00FD432B" w:rsidRPr="00C04E13">
        <w:rPr>
          <w:rFonts w:cstheme="minorHAnsi"/>
        </w:rPr>
        <w:t xml:space="preserve"> </w:t>
      </w:r>
      <w:r w:rsidR="001333E5" w:rsidRPr="00C04E13">
        <w:rPr>
          <w:rFonts w:cstheme="minorHAnsi"/>
        </w:rPr>
        <w:t>The report also showed that 77% of individual with a school level or below education thought that sentences were too lenient, this was quite a contrast with only 66% of individuals with an education of a degree stating the same</w:t>
      </w:r>
      <w:r w:rsidR="00C04E13" w:rsidRPr="00C04E13">
        <w:rPr>
          <w:rFonts w:cstheme="minorHAnsi"/>
        </w:rPr>
        <w:t xml:space="preserve"> </w:t>
      </w:r>
      <w:r w:rsidR="00C04E13" w:rsidRPr="00C04E13">
        <w:rPr>
          <w:rFonts w:cstheme="minorHAnsi"/>
        </w:rPr>
        <w:t>(Marsh et al., 2019)</w:t>
      </w:r>
      <w:r w:rsidR="001333E5" w:rsidRPr="00C04E13">
        <w:rPr>
          <w:rFonts w:cstheme="minorHAnsi"/>
        </w:rPr>
        <w:t xml:space="preserve">. This also links with </w:t>
      </w:r>
      <w:proofErr w:type="spellStart"/>
      <w:r w:rsidR="001333E5" w:rsidRPr="00C04E13">
        <w:rPr>
          <w:rFonts w:cstheme="minorHAnsi"/>
        </w:rPr>
        <w:t>Tankebe</w:t>
      </w:r>
      <w:proofErr w:type="spellEnd"/>
      <w:r w:rsidR="001333E5" w:rsidRPr="00C04E13">
        <w:rPr>
          <w:rFonts w:cstheme="minorHAnsi"/>
        </w:rPr>
        <w:t xml:space="preserve"> (2009)</w:t>
      </w:r>
      <w:r w:rsidR="00986E92" w:rsidRPr="00C04E13">
        <w:rPr>
          <w:rFonts w:cstheme="minorHAnsi"/>
        </w:rPr>
        <w:t xml:space="preserve"> </w:t>
      </w:r>
      <w:r w:rsidR="001333E5" w:rsidRPr="00C04E13">
        <w:rPr>
          <w:rFonts w:cstheme="minorHAnsi"/>
        </w:rPr>
        <w:t>where it was found that those with a greater degree of education had more awareness and tolerance to the rule of law. However, overall victims were less confident in the criminal justice system and the sentencing guidelines.</w:t>
      </w:r>
      <w:r w:rsidR="00C04E13" w:rsidRPr="00C04E13">
        <w:rPr>
          <w:rFonts w:cstheme="minorHAnsi"/>
        </w:rPr>
        <w:t xml:space="preserve"> </w:t>
      </w:r>
      <w:r w:rsidR="00C04E13" w:rsidRPr="00C04E13">
        <w:rPr>
          <w:rFonts w:cstheme="minorHAnsi"/>
        </w:rPr>
        <w:t>(Marsh et al., 2019)</w:t>
      </w:r>
    </w:p>
    <w:p w14:paraId="75AB9449" w14:textId="1183F372" w:rsidR="001E4ACC" w:rsidRPr="00C04E13" w:rsidRDefault="00AA7C3E">
      <w:pPr>
        <w:rPr>
          <w:rFonts w:cstheme="minorHAnsi"/>
        </w:rPr>
      </w:pPr>
      <w:r w:rsidRPr="00C04E13">
        <w:rPr>
          <w:rFonts w:cstheme="minorHAnsi"/>
        </w:rPr>
        <w:t>There is still very limited research on vigilantes and vigilantism acts and even less on vigilantes and contemporary polic</w:t>
      </w:r>
      <w:r w:rsidRPr="00C04E13">
        <w:rPr>
          <w:rFonts w:cstheme="minorHAnsi"/>
        </w:rPr>
        <w:t>ing</w:t>
      </w:r>
      <w:r w:rsidRPr="00C04E13">
        <w:rPr>
          <w:rFonts w:cstheme="minorHAnsi"/>
        </w:rPr>
        <w:t>. Where previous research argues that confidence in the police and criminal justice system is key in the support from the public others argue that it is all situational and depends on the act of the vigilantism itself. There has been extremely little research on how the public feels in general towards vigilantes and their behaviour and if the effectiveness of the police and criminal justice system does have an effect on their views. With the rate of convictions falling will the public turn to vigilantes or even become vigilantes themselves.</w:t>
      </w:r>
    </w:p>
    <w:p w14:paraId="0E1F0A59" w14:textId="57DCB912" w:rsidR="00C04E13" w:rsidRPr="00C04E13" w:rsidRDefault="00C04E13">
      <w:pPr>
        <w:rPr>
          <w:rFonts w:cstheme="minorHAnsi"/>
        </w:rPr>
      </w:pPr>
    </w:p>
    <w:p w14:paraId="49B4BEFB" w14:textId="360F7C0D" w:rsidR="00C04E13" w:rsidRPr="00C04E13" w:rsidRDefault="00C04E13">
      <w:pPr>
        <w:rPr>
          <w:rFonts w:cstheme="minorHAnsi"/>
        </w:rPr>
      </w:pPr>
    </w:p>
    <w:p w14:paraId="0B16C289" w14:textId="0331C403" w:rsidR="00C04E13" w:rsidRPr="00C04E13" w:rsidRDefault="00C04E13">
      <w:pPr>
        <w:rPr>
          <w:rFonts w:cstheme="minorHAnsi"/>
        </w:rPr>
      </w:pPr>
    </w:p>
    <w:p w14:paraId="27394A15" w14:textId="572CDED3" w:rsidR="00C04E13" w:rsidRPr="00C04E13" w:rsidRDefault="00C04E13">
      <w:pPr>
        <w:rPr>
          <w:rFonts w:cstheme="minorHAnsi"/>
        </w:rPr>
      </w:pPr>
      <w:r w:rsidRPr="00C04E13">
        <w:rPr>
          <w:rFonts w:cstheme="minorHAnsi"/>
        </w:rPr>
        <w:t xml:space="preserve">Bibliography </w:t>
      </w:r>
    </w:p>
    <w:p w14:paraId="6F6D2B3A" w14:textId="4A204376" w:rsidR="00C04E13" w:rsidRPr="00C04E13" w:rsidRDefault="00C04E13">
      <w:pPr>
        <w:rPr>
          <w:rFonts w:cstheme="minorHAnsi"/>
        </w:rPr>
      </w:pPr>
    </w:p>
    <w:p w14:paraId="43713836"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Abrahams, R.G. (1998). </w:t>
      </w:r>
      <w:r w:rsidRPr="00C04E13">
        <w:rPr>
          <w:rFonts w:asciiTheme="minorHAnsi" w:hAnsiTheme="minorHAnsi" w:cstheme="minorHAnsi"/>
          <w:i/>
          <w:iCs/>
          <w:sz w:val="22"/>
          <w:szCs w:val="22"/>
        </w:rPr>
        <w:t>Vigilant citizens : vigilantism and the state</w:t>
      </w:r>
      <w:r w:rsidRPr="00C04E13">
        <w:rPr>
          <w:rFonts w:asciiTheme="minorHAnsi" w:hAnsiTheme="minorHAnsi" w:cstheme="minorHAnsi"/>
          <w:sz w:val="22"/>
          <w:szCs w:val="22"/>
        </w:rPr>
        <w:t>. Cambridge: Polity Press In Association With Blackwell, p.6.</w:t>
      </w:r>
    </w:p>
    <w:p w14:paraId="69865871"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Arellano, Lisa. (2012) </w:t>
      </w:r>
      <w:r w:rsidRPr="00C04E13">
        <w:rPr>
          <w:rFonts w:asciiTheme="minorHAnsi" w:hAnsiTheme="minorHAnsi" w:cstheme="minorHAnsi"/>
          <w:i/>
          <w:iCs/>
          <w:sz w:val="22"/>
          <w:szCs w:val="22"/>
        </w:rPr>
        <w:t>Vigilantes and Lynch Mobs: Narratives of Community and Nation</w:t>
      </w:r>
      <w:r w:rsidRPr="00C04E13">
        <w:rPr>
          <w:rFonts w:asciiTheme="minorHAnsi" w:hAnsiTheme="minorHAnsi" w:cstheme="minorHAnsi"/>
          <w:sz w:val="22"/>
          <w:szCs w:val="22"/>
        </w:rPr>
        <w:t xml:space="preserve">, Temple University Press, 2012, p. 133–134. </w:t>
      </w:r>
      <w:r w:rsidRPr="00C04E13">
        <w:rPr>
          <w:rFonts w:asciiTheme="minorHAnsi" w:hAnsiTheme="minorHAnsi" w:cstheme="minorHAnsi"/>
          <w:i/>
          <w:iCs/>
          <w:sz w:val="22"/>
          <w:szCs w:val="22"/>
        </w:rPr>
        <w:t>JSTOR</w:t>
      </w:r>
      <w:r w:rsidRPr="00C04E13">
        <w:rPr>
          <w:rFonts w:asciiTheme="minorHAnsi" w:hAnsiTheme="minorHAnsi" w:cstheme="minorHAnsi"/>
          <w:sz w:val="22"/>
          <w:szCs w:val="22"/>
        </w:rPr>
        <w:t xml:space="preserve">, http://www.jstor.org/stable/j.ctt14bsxf0.1. Accessed 23 Jan. 2023. </w:t>
      </w:r>
    </w:p>
    <w:p w14:paraId="61FBC54F"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Bateson, R. (2020). The Politics of Vigilantism. </w:t>
      </w:r>
      <w:r w:rsidRPr="00C04E13">
        <w:rPr>
          <w:rFonts w:asciiTheme="minorHAnsi" w:hAnsiTheme="minorHAnsi" w:cstheme="minorHAnsi"/>
          <w:i/>
          <w:iCs/>
          <w:sz w:val="22"/>
          <w:szCs w:val="22"/>
        </w:rPr>
        <w:t>Comparative Political Studies</w:t>
      </w:r>
      <w:r w:rsidRPr="00C04E13">
        <w:rPr>
          <w:rFonts w:asciiTheme="minorHAnsi" w:hAnsiTheme="minorHAnsi" w:cstheme="minorHAnsi"/>
          <w:sz w:val="22"/>
          <w:szCs w:val="22"/>
        </w:rPr>
        <w:t>, [online] 54(6), p.001041402095769. doi:10.1177/0010414020957692.</w:t>
      </w:r>
    </w:p>
    <w:p w14:paraId="12CD54DF"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BBC News (2000). </w:t>
      </w:r>
      <w:r w:rsidRPr="00C04E13">
        <w:rPr>
          <w:rFonts w:asciiTheme="minorHAnsi" w:hAnsiTheme="minorHAnsi" w:cstheme="minorHAnsi"/>
          <w:i/>
          <w:iCs/>
          <w:sz w:val="22"/>
          <w:szCs w:val="22"/>
        </w:rPr>
        <w:t>BBC News | UK | Vigilante attack on innocent man</w:t>
      </w:r>
      <w:r w:rsidRPr="00C04E13">
        <w:rPr>
          <w:rFonts w:asciiTheme="minorHAnsi" w:hAnsiTheme="minorHAnsi" w:cstheme="minorHAnsi"/>
          <w:sz w:val="22"/>
          <w:szCs w:val="22"/>
        </w:rPr>
        <w:t>. [online] news.bbc.co.uk. Available at: http://news.bbc.co.uk/1/hi/uk/848737.stm#:~:text=An%20innocent%20man%20who%20was [Accessed 21 Jan. 2023].</w:t>
      </w:r>
    </w:p>
    <w:p w14:paraId="6A3DBB70"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Bell, V. (2002). The vigilant(e) parent and the paedophile: The News of the World campaign 2000 and the contemporary governmentality of child sexual abuse. </w:t>
      </w:r>
      <w:r w:rsidRPr="00C04E13">
        <w:rPr>
          <w:rFonts w:asciiTheme="minorHAnsi" w:hAnsiTheme="minorHAnsi" w:cstheme="minorHAnsi"/>
          <w:i/>
          <w:iCs/>
          <w:sz w:val="22"/>
          <w:szCs w:val="22"/>
        </w:rPr>
        <w:t>Feminist Theory</w:t>
      </w:r>
      <w:r w:rsidRPr="00C04E13">
        <w:rPr>
          <w:rFonts w:asciiTheme="minorHAnsi" w:hAnsiTheme="minorHAnsi" w:cstheme="minorHAnsi"/>
          <w:sz w:val="22"/>
          <w:szCs w:val="22"/>
        </w:rPr>
        <w:t>, [online] 3(1), pp.83–102. doi:10.1177/1460012002003001068.</w:t>
      </w:r>
    </w:p>
    <w:p w14:paraId="5D4C9C04"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Haas, N. (2010). </w:t>
      </w:r>
      <w:r w:rsidRPr="00C04E13">
        <w:rPr>
          <w:rFonts w:asciiTheme="minorHAnsi" w:hAnsiTheme="minorHAnsi" w:cstheme="minorHAnsi"/>
          <w:i/>
          <w:iCs/>
          <w:sz w:val="22"/>
          <w:szCs w:val="22"/>
        </w:rPr>
        <w:t>Public support for vigilantism</w:t>
      </w:r>
      <w:r w:rsidRPr="00C04E13">
        <w:rPr>
          <w:rFonts w:asciiTheme="minorHAnsi" w:hAnsiTheme="minorHAnsi" w:cstheme="minorHAnsi"/>
          <w:sz w:val="22"/>
          <w:szCs w:val="22"/>
        </w:rPr>
        <w:t>. [online] S.L.: Leiden: Netherlands Institute for the Study of Crime and Law Enforcement (NSCR). Available at: https://scholarlypublications.universiteitleiden.nl/handle/1887/16171 [Accessed 21 Jan. 2023].</w:t>
      </w:r>
    </w:p>
    <w:p w14:paraId="5F0A279C"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Home Office (2022). </w:t>
      </w:r>
      <w:r w:rsidRPr="00C04E13">
        <w:rPr>
          <w:rFonts w:asciiTheme="minorHAnsi" w:hAnsiTheme="minorHAnsi" w:cstheme="minorHAnsi"/>
          <w:i/>
          <w:iCs/>
          <w:sz w:val="22"/>
          <w:szCs w:val="22"/>
        </w:rPr>
        <w:t>Crime outcomes in England and Wales 2021 to 2022</w:t>
      </w:r>
      <w:r w:rsidRPr="00C04E13">
        <w:rPr>
          <w:rFonts w:asciiTheme="minorHAnsi" w:hAnsiTheme="minorHAnsi" w:cstheme="minorHAnsi"/>
          <w:sz w:val="22"/>
          <w:szCs w:val="22"/>
        </w:rPr>
        <w:t>. [online] GOV.UK. Available at: https://www.gov.uk/government/statistics/crime-outcomes-in-england-and-wales-2021-to-2022/crime-outcomes-in-england-and-wales-2021-to-2022.</w:t>
      </w:r>
    </w:p>
    <w:p w14:paraId="239E6391"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Ishak, N. (2021). </w:t>
      </w:r>
      <w:r w:rsidRPr="00C04E13">
        <w:rPr>
          <w:rFonts w:asciiTheme="minorHAnsi" w:hAnsiTheme="minorHAnsi" w:cstheme="minorHAnsi"/>
          <w:i/>
          <w:iCs/>
          <w:sz w:val="22"/>
          <w:szCs w:val="22"/>
        </w:rPr>
        <w:t xml:space="preserve">Marianne </w:t>
      </w:r>
      <w:proofErr w:type="spellStart"/>
      <w:r w:rsidRPr="00C04E13">
        <w:rPr>
          <w:rFonts w:asciiTheme="minorHAnsi" w:hAnsiTheme="minorHAnsi" w:cstheme="minorHAnsi"/>
          <w:i/>
          <w:iCs/>
          <w:sz w:val="22"/>
          <w:szCs w:val="22"/>
        </w:rPr>
        <w:t>Bachmeier</w:t>
      </w:r>
      <w:proofErr w:type="spellEnd"/>
      <w:r w:rsidRPr="00C04E13">
        <w:rPr>
          <w:rFonts w:asciiTheme="minorHAnsi" w:hAnsiTheme="minorHAnsi" w:cstheme="minorHAnsi"/>
          <w:i/>
          <w:iCs/>
          <w:sz w:val="22"/>
          <w:szCs w:val="22"/>
        </w:rPr>
        <w:t>: The ‘Revenge Mother’ Who Shot Her Child’s Killer</w:t>
      </w:r>
      <w:r w:rsidRPr="00C04E13">
        <w:rPr>
          <w:rFonts w:asciiTheme="minorHAnsi" w:hAnsiTheme="minorHAnsi" w:cstheme="minorHAnsi"/>
          <w:sz w:val="22"/>
          <w:szCs w:val="22"/>
        </w:rPr>
        <w:t>. [online] All That’s Interesting. Available at: https://allthatsinteresting.com/marianne-bachmeier [Accessed 21 Jan. 2023].</w:t>
      </w:r>
    </w:p>
    <w:p w14:paraId="0E5E67A1"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Johnston, L. (1996). WHAT IS VIGILANTISM? </w:t>
      </w:r>
      <w:r w:rsidRPr="00C04E13">
        <w:rPr>
          <w:rFonts w:asciiTheme="minorHAnsi" w:hAnsiTheme="minorHAnsi" w:cstheme="minorHAnsi"/>
          <w:i/>
          <w:iCs/>
          <w:sz w:val="22"/>
          <w:szCs w:val="22"/>
        </w:rPr>
        <w:t>The British Journal of Criminology</w:t>
      </w:r>
      <w:r w:rsidRPr="00C04E13">
        <w:rPr>
          <w:rFonts w:asciiTheme="minorHAnsi" w:hAnsiTheme="minorHAnsi" w:cstheme="minorHAnsi"/>
          <w:sz w:val="22"/>
          <w:szCs w:val="22"/>
        </w:rPr>
        <w:t>, [online] 36(2), pp.220–236. Available at: https://www.jstor.org/stable/23638013 [Accessed 21 Jan. 2023].</w:t>
      </w:r>
    </w:p>
    <w:p w14:paraId="56BA3692"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Marsh, N., </w:t>
      </w:r>
      <w:proofErr w:type="spellStart"/>
      <w:r w:rsidRPr="00C04E13">
        <w:rPr>
          <w:rFonts w:asciiTheme="minorHAnsi" w:hAnsiTheme="minorHAnsi" w:cstheme="minorHAnsi"/>
          <w:sz w:val="22"/>
          <w:szCs w:val="22"/>
        </w:rPr>
        <w:t>Mckay</w:t>
      </w:r>
      <w:proofErr w:type="spellEnd"/>
      <w:r w:rsidRPr="00C04E13">
        <w:rPr>
          <w:rFonts w:asciiTheme="minorHAnsi" w:hAnsiTheme="minorHAnsi" w:cstheme="minorHAnsi"/>
          <w:sz w:val="22"/>
          <w:szCs w:val="22"/>
        </w:rPr>
        <w:t xml:space="preserve">, E., Pelly, C. and </w:t>
      </w:r>
      <w:proofErr w:type="spellStart"/>
      <w:r w:rsidRPr="00C04E13">
        <w:rPr>
          <w:rFonts w:asciiTheme="minorHAnsi" w:hAnsiTheme="minorHAnsi" w:cstheme="minorHAnsi"/>
          <w:sz w:val="22"/>
          <w:szCs w:val="22"/>
        </w:rPr>
        <w:t>Cereda</w:t>
      </w:r>
      <w:proofErr w:type="spellEnd"/>
      <w:r w:rsidRPr="00C04E13">
        <w:rPr>
          <w:rFonts w:asciiTheme="minorHAnsi" w:hAnsiTheme="minorHAnsi" w:cstheme="minorHAnsi"/>
          <w:sz w:val="22"/>
          <w:szCs w:val="22"/>
        </w:rPr>
        <w:t xml:space="preserve">, S. (2019). </w:t>
      </w:r>
      <w:r w:rsidRPr="00C04E13">
        <w:rPr>
          <w:rFonts w:asciiTheme="minorHAnsi" w:hAnsiTheme="minorHAnsi" w:cstheme="minorHAnsi"/>
          <w:i/>
          <w:iCs/>
          <w:sz w:val="22"/>
          <w:szCs w:val="22"/>
        </w:rPr>
        <w:t>ComRes PUBLIC KNOWLEDGE OF AND CONFIDENCE IN THE CRIMINAL JUSTICE SYSTEM AND SENTENCING A REPORT FOR THE SENTENCING COUNCIL</w:t>
      </w:r>
      <w:r w:rsidRPr="00C04E13">
        <w:rPr>
          <w:rFonts w:asciiTheme="minorHAnsi" w:hAnsiTheme="minorHAnsi" w:cstheme="minorHAnsi"/>
          <w:sz w:val="22"/>
          <w:szCs w:val="22"/>
        </w:rPr>
        <w:t>. [online] Available at: https://www.sentencingcouncil.org.uk/wp-content/uploads/Public-Knowledge-of-and-Confidence-in-the-Criminal-Justice-System-and-Sentencing.pdf [Accessed 22 Jan. 2023].</w:t>
      </w:r>
    </w:p>
    <w:p w14:paraId="40CC69E3"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proofErr w:type="spellStart"/>
      <w:r w:rsidRPr="00C04E13">
        <w:rPr>
          <w:rFonts w:asciiTheme="minorHAnsi" w:hAnsiTheme="minorHAnsi" w:cstheme="minorHAnsi"/>
          <w:sz w:val="22"/>
          <w:szCs w:val="22"/>
        </w:rPr>
        <w:t>Nahanara</w:t>
      </w:r>
      <w:proofErr w:type="spellEnd"/>
      <w:r w:rsidRPr="00C04E13">
        <w:rPr>
          <w:rFonts w:asciiTheme="minorHAnsi" w:hAnsiTheme="minorHAnsi" w:cstheme="minorHAnsi"/>
          <w:sz w:val="22"/>
          <w:szCs w:val="22"/>
        </w:rPr>
        <w:t xml:space="preserve"> (2021). </w:t>
      </w:r>
      <w:r w:rsidRPr="00C04E13">
        <w:rPr>
          <w:rFonts w:asciiTheme="minorHAnsi" w:hAnsiTheme="minorHAnsi" w:cstheme="minorHAnsi"/>
          <w:i/>
          <w:iCs/>
          <w:sz w:val="22"/>
          <w:szCs w:val="22"/>
        </w:rPr>
        <w:t>‘Revenge Mother’ Shot Her Child’s Killer 8 Times</w:t>
      </w:r>
      <w:r w:rsidRPr="00C04E13">
        <w:rPr>
          <w:rFonts w:asciiTheme="minorHAnsi" w:hAnsiTheme="minorHAnsi" w:cstheme="minorHAnsi"/>
          <w:sz w:val="22"/>
          <w:szCs w:val="22"/>
        </w:rPr>
        <w:t>. [online] Medium. Available at: https://nahanara.medium.com/revenge-mother-shot-her-childs-killer-8-times-649688123f77 [Accessed 21 Jan. 2023].</w:t>
      </w:r>
    </w:p>
    <w:p w14:paraId="7D07040D"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National Police Chiefs Council (2019). </w:t>
      </w:r>
      <w:r w:rsidRPr="00C04E13">
        <w:rPr>
          <w:rFonts w:asciiTheme="minorHAnsi" w:hAnsiTheme="minorHAnsi" w:cstheme="minorHAnsi"/>
          <w:i/>
          <w:iCs/>
          <w:sz w:val="22"/>
          <w:szCs w:val="22"/>
        </w:rPr>
        <w:t>Chief Constables’ Council Serious Error Reduction within the Acquisition and use of Communications Data</w:t>
      </w:r>
      <w:r w:rsidRPr="00C04E13">
        <w:rPr>
          <w:rFonts w:asciiTheme="minorHAnsi" w:hAnsiTheme="minorHAnsi" w:cstheme="minorHAnsi"/>
          <w:sz w:val="22"/>
          <w:szCs w:val="22"/>
        </w:rPr>
        <w:t>. [online] pp.5–7. Available at: https://www.npcc.police.uk/2019%20FOI/NPCC%20Miscellaneous/015%2019%20NPCC%20FOI%20Response%20Part%203.pdf [Accessed 21 Jan. 2023].</w:t>
      </w:r>
    </w:p>
    <w:p w14:paraId="113357B8"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New York Post (2022). </w:t>
      </w:r>
      <w:r w:rsidRPr="00C04E13">
        <w:rPr>
          <w:rFonts w:asciiTheme="minorHAnsi" w:hAnsiTheme="minorHAnsi" w:cstheme="minorHAnsi"/>
          <w:i/>
          <w:iCs/>
          <w:sz w:val="22"/>
          <w:szCs w:val="22"/>
        </w:rPr>
        <w:t>UK man slits throat after confronted by ‘</w:t>
      </w:r>
      <w:proofErr w:type="spellStart"/>
      <w:r w:rsidRPr="00C04E13">
        <w:rPr>
          <w:rFonts w:asciiTheme="minorHAnsi" w:hAnsiTheme="minorHAnsi" w:cstheme="minorHAnsi"/>
          <w:i/>
          <w:iCs/>
          <w:sz w:val="22"/>
          <w:szCs w:val="22"/>
        </w:rPr>
        <w:t>pedophile</w:t>
      </w:r>
      <w:proofErr w:type="spellEnd"/>
      <w:r w:rsidRPr="00C04E13">
        <w:rPr>
          <w:rFonts w:asciiTheme="minorHAnsi" w:hAnsiTheme="minorHAnsi" w:cstheme="minorHAnsi"/>
          <w:i/>
          <w:iCs/>
          <w:sz w:val="22"/>
          <w:szCs w:val="22"/>
        </w:rPr>
        <w:t xml:space="preserve"> hunters’ in Liverpool</w:t>
      </w:r>
      <w:r w:rsidRPr="00C04E13">
        <w:rPr>
          <w:rFonts w:asciiTheme="minorHAnsi" w:hAnsiTheme="minorHAnsi" w:cstheme="minorHAnsi"/>
          <w:sz w:val="22"/>
          <w:szCs w:val="22"/>
        </w:rPr>
        <w:t>. [online] New York Post. Available at: https://nypost.com/2022/08/27/uk-man-slits-throat-after-confronted-by-pedophile-hunters-in-liverpool/ [Accessed 21 Jan. 2023].</w:t>
      </w:r>
    </w:p>
    <w:p w14:paraId="79B8DE05"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Oliver, M. (2001). Whiting found guilty of Sarah Payne murder. </w:t>
      </w:r>
      <w:r w:rsidRPr="00C04E13">
        <w:rPr>
          <w:rFonts w:asciiTheme="minorHAnsi" w:hAnsiTheme="minorHAnsi" w:cstheme="minorHAnsi"/>
          <w:i/>
          <w:iCs/>
          <w:sz w:val="22"/>
          <w:szCs w:val="22"/>
        </w:rPr>
        <w:t>The Guardian</w:t>
      </w:r>
      <w:r w:rsidRPr="00C04E13">
        <w:rPr>
          <w:rFonts w:asciiTheme="minorHAnsi" w:hAnsiTheme="minorHAnsi" w:cstheme="minorHAnsi"/>
          <w:sz w:val="22"/>
          <w:szCs w:val="22"/>
        </w:rPr>
        <w:t>. [online] 12 Dec. Available at: https://www.theguardian.com/society/2001/dec/12/childprotection.markoliver [Accessed 21 Jan. 2023].</w:t>
      </w:r>
    </w:p>
    <w:p w14:paraId="442A5E27"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Rosenbaum, H.J. and </w:t>
      </w:r>
      <w:proofErr w:type="spellStart"/>
      <w:r w:rsidRPr="00C04E13">
        <w:rPr>
          <w:rFonts w:asciiTheme="minorHAnsi" w:hAnsiTheme="minorHAnsi" w:cstheme="minorHAnsi"/>
          <w:sz w:val="22"/>
          <w:szCs w:val="22"/>
        </w:rPr>
        <w:t>Sederberg</w:t>
      </w:r>
      <w:proofErr w:type="spellEnd"/>
      <w:r w:rsidRPr="00C04E13">
        <w:rPr>
          <w:rFonts w:asciiTheme="minorHAnsi" w:hAnsiTheme="minorHAnsi" w:cstheme="minorHAnsi"/>
          <w:sz w:val="22"/>
          <w:szCs w:val="22"/>
        </w:rPr>
        <w:t xml:space="preserve">, P.C. (1974). Vigilantism: An Analysis of Establishment Violence. </w:t>
      </w:r>
      <w:r w:rsidRPr="00C04E13">
        <w:rPr>
          <w:rFonts w:asciiTheme="minorHAnsi" w:hAnsiTheme="minorHAnsi" w:cstheme="minorHAnsi"/>
          <w:i/>
          <w:iCs/>
          <w:sz w:val="22"/>
          <w:szCs w:val="22"/>
        </w:rPr>
        <w:t>Comparative Politics</w:t>
      </w:r>
      <w:r w:rsidRPr="00C04E13">
        <w:rPr>
          <w:rFonts w:asciiTheme="minorHAnsi" w:hAnsiTheme="minorHAnsi" w:cstheme="minorHAnsi"/>
          <w:sz w:val="22"/>
          <w:szCs w:val="22"/>
        </w:rPr>
        <w:t>, 6(4), pp.541–460. doi:10.2307/421337.</w:t>
      </w:r>
    </w:p>
    <w:p w14:paraId="286ACD38"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proofErr w:type="spellStart"/>
      <w:r w:rsidRPr="00C04E13">
        <w:rPr>
          <w:rFonts w:asciiTheme="minorHAnsi" w:hAnsiTheme="minorHAnsi" w:cstheme="minorHAnsi"/>
          <w:sz w:val="22"/>
          <w:szCs w:val="22"/>
        </w:rPr>
        <w:t>Tankebe</w:t>
      </w:r>
      <w:proofErr w:type="spellEnd"/>
      <w:r w:rsidRPr="00C04E13">
        <w:rPr>
          <w:rFonts w:asciiTheme="minorHAnsi" w:hAnsiTheme="minorHAnsi" w:cstheme="minorHAnsi"/>
          <w:sz w:val="22"/>
          <w:szCs w:val="22"/>
        </w:rPr>
        <w:t xml:space="preserve">, J. (2009). Self-Help, Policing, and Procedural Justice: Ghanaian Vigilantism and the Rule of Law. </w:t>
      </w:r>
      <w:r w:rsidRPr="00C04E13">
        <w:rPr>
          <w:rFonts w:asciiTheme="minorHAnsi" w:hAnsiTheme="minorHAnsi" w:cstheme="minorHAnsi"/>
          <w:i/>
          <w:iCs/>
          <w:sz w:val="22"/>
          <w:szCs w:val="22"/>
        </w:rPr>
        <w:t>Law &amp; Society Review</w:t>
      </w:r>
      <w:r w:rsidRPr="00C04E13">
        <w:rPr>
          <w:rFonts w:asciiTheme="minorHAnsi" w:hAnsiTheme="minorHAnsi" w:cstheme="minorHAnsi"/>
          <w:sz w:val="22"/>
          <w:szCs w:val="22"/>
        </w:rPr>
        <w:t>, [online] 43(2), pp.260–270. Available at: https://www.jstor.org/stable/29734190 [Accessed 22 Jan. 2023].</w:t>
      </w:r>
    </w:p>
    <w:p w14:paraId="244FA906"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proofErr w:type="spellStart"/>
      <w:r w:rsidRPr="00C04E13">
        <w:rPr>
          <w:rFonts w:asciiTheme="minorHAnsi" w:hAnsiTheme="minorHAnsi" w:cstheme="minorHAnsi"/>
          <w:sz w:val="22"/>
          <w:szCs w:val="22"/>
        </w:rPr>
        <w:t>Tippett</w:t>
      </w:r>
      <w:proofErr w:type="spellEnd"/>
      <w:r w:rsidRPr="00C04E13">
        <w:rPr>
          <w:rFonts w:asciiTheme="minorHAnsi" w:hAnsiTheme="minorHAnsi" w:cstheme="minorHAnsi"/>
          <w:sz w:val="22"/>
          <w:szCs w:val="22"/>
        </w:rPr>
        <w:t xml:space="preserve">, A. (2022). The rise of paedophile hunters: To what extent are cyber-vigilante groups a productive form of policing, retribution and justice? </w:t>
      </w:r>
      <w:r w:rsidRPr="00C04E13">
        <w:rPr>
          <w:rFonts w:asciiTheme="minorHAnsi" w:hAnsiTheme="minorHAnsi" w:cstheme="minorHAnsi"/>
          <w:i/>
          <w:iCs/>
          <w:sz w:val="22"/>
          <w:szCs w:val="22"/>
        </w:rPr>
        <w:t>Criminology &amp; Criminal Justice</w:t>
      </w:r>
      <w:r w:rsidRPr="00C04E13">
        <w:rPr>
          <w:rFonts w:asciiTheme="minorHAnsi" w:hAnsiTheme="minorHAnsi" w:cstheme="minorHAnsi"/>
          <w:sz w:val="22"/>
          <w:szCs w:val="22"/>
        </w:rPr>
        <w:t>. [online] doi:10.1177/17488958221136845.</w:t>
      </w:r>
    </w:p>
    <w:p w14:paraId="1F141031"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Trottier, D. (2016). Digital Vigilantism as </w:t>
      </w:r>
      <w:proofErr w:type="spellStart"/>
      <w:r w:rsidRPr="00C04E13">
        <w:rPr>
          <w:rFonts w:asciiTheme="minorHAnsi" w:hAnsiTheme="minorHAnsi" w:cstheme="minorHAnsi"/>
          <w:sz w:val="22"/>
          <w:szCs w:val="22"/>
        </w:rPr>
        <w:t>Weaponisation</w:t>
      </w:r>
      <w:proofErr w:type="spellEnd"/>
      <w:r w:rsidRPr="00C04E13">
        <w:rPr>
          <w:rFonts w:asciiTheme="minorHAnsi" w:hAnsiTheme="minorHAnsi" w:cstheme="minorHAnsi"/>
          <w:sz w:val="22"/>
          <w:szCs w:val="22"/>
        </w:rPr>
        <w:t xml:space="preserve"> of Visibility. </w:t>
      </w:r>
      <w:r w:rsidRPr="00C04E13">
        <w:rPr>
          <w:rFonts w:asciiTheme="minorHAnsi" w:hAnsiTheme="minorHAnsi" w:cstheme="minorHAnsi"/>
          <w:i/>
          <w:iCs/>
          <w:sz w:val="22"/>
          <w:szCs w:val="22"/>
        </w:rPr>
        <w:t>Philosophy &amp; Technology</w:t>
      </w:r>
      <w:r w:rsidRPr="00C04E13">
        <w:rPr>
          <w:rFonts w:asciiTheme="minorHAnsi" w:hAnsiTheme="minorHAnsi" w:cstheme="minorHAnsi"/>
          <w:sz w:val="22"/>
          <w:szCs w:val="22"/>
        </w:rPr>
        <w:t>, [online] 30(1), pp.55–72. doi:10.1007/s13347-016-0216-4.</w:t>
      </w:r>
    </w:p>
    <w:p w14:paraId="5FBDE670"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Tyler, T., Jackson, J., Huq, A. and Bradford, B. (2012). </w:t>
      </w:r>
      <w:r w:rsidRPr="00C04E13">
        <w:rPr>
          <w:rFonts w:asciiTheme="minorHAnsi" w:hAnsiTheme="minorHAnsi" w:cstheme="minorHAnsi"/>
          <w:i/>
          <w:iCs/>
          <w:sz w:val="22"/>
          <w:szCs w:val="22"/>
        </w:rPr>
        <w:t>Going Outside the Law: The Role of the State in Shaping Attitudes Going Outside the Law: The Role of the State in Shaping Attitudes to Private Acts of Violence to Private Acts of Violence</w:t>
      </w:r>
      <w:r w:rsidRPr="00C04E13">
        <w:rPr>
          <w:rFonts w:asciiTheme="minorHAnsi" w:hAnsiTheme="minorHAnsi" w:cstheme="minorHAnsi"/>
          <w:sz w:val="22"/>
          <w:szCs w:val="22"/>
        </w:rPr>
        <w:t>. [online] University of Chicago Public Law &amp; Legal Theory. Available at: https://chicagounbound.uchicago.edu/cgi/viewcontent.cgi?referer=&amp;httpsredir=1&amp;article=1129&amp;context=public_law_and_legal_theory [Accessed 22 Jan. 2023].</w:t>
      </w:r>
    </w:p>
    <w:p w14:paraId="133E5133" w14:textId="77777777" w:rsidR="00C04E13" w:rsidRPr="00C04E13" w:rsidRDefault="00C04E13" w:rsidP="00C04E13">
      <w:pPr>
        <w:pStyle w:val="NormalWeb"/>
        <w:spacing w:before="0" w:beforeAutospacing="0" w:after="240" w:afterAutospacing="0" w:line="360" w:lineRule="auto"/>
        <w:rPr>
          <w:rFonts w:asciiTheme="minorHAnsi" w:hAnsiTheme="minorHAnsi" w:cstheme="minorHAnsi"/>
          <w:sz w:val="22"/>
          <w:szCs w:val="22"/>
        </w:rPr>
      </w:pPr>
      <w:r w:rsidRPr="00C04E13">
        <w:rPr>
          <w:rFonts w:asciiTheme="minorHAnsi" w:hAnsiTheme="minorHAnsi" w:cstheme="minorHAnsi"/>
          <w:sz w:val="22"/>
          <w:szCs w:val="22"/>
        </w:rPr>
        <w:t xml:space="preserve">Walker, J. (2000). The Intellectual Grounding of the San Francisco Committee of Vigilance of 1851. </w:t>
      </w:r>
      <w:r w:rsidRPr="00C04E13">
        <w:rPr>
          <w:rFonts w:asciiTheme="minorHAnsi" w:hAnsiTheme="minorHAnsi" w:cstheme="minorHAnsi"/>
          <w:i/>
          <w:iCs/>
          <w:sz w:val="22"/>
          <w:szCs w:val="22"/>
        </w:rPr>
        <w:t>The Intellectual Grounding of the San Francisco Committee of Vigilance of 1851</w:t>
      </w:r>
      <w:r w:rsidRPr="00C04E13">
        <w:rPr>
          <w:rFonts w:asciiTheme="minorHAnsi" w:hAnsiTheme="minorHAnsi" w:cstheme="minorHAnsi"/>
          <w:sz w:val="22"/>
          <w:szCs w:val="22"/>
        </w:rPr>
        <w:t>, pp.1–2. doi:10.15760/etd.1276.</w:t>
      </w:r>
    </w:p>
    <w:p w14:paraId="52C8D537" w14:textId="77777777" w:rsidR="00C04E13" w:rsidRDefault="00C04E13"/>
    <w:sectPr w:rsidR="00C04E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5BB87" w14:textId="77777777" w:rsidR="00AA7573" w:rsidRDefault="00AA7573" w:rsidP="00AA7573">
      <w:pPr>
        <w:spacing w:after="0" w:line="240" w:lineRule="auto"/>
      </w:pPr>
      <w:r>
        <w:separator/>
      </w:r>
    </w:p>
  </w:endnote>
  <w:endnote w:type="continuationSeparator" w:id="0">
    <w:p w14:paraId="35C95213" w14:textId="77777777" w:rsidR="00AA7573" w:rsidRDefault="00AA7573" w:rsidP="00AA7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C1A5C" w14:textId="77777777" w:rsidR="00AA7573" w:rsidRDefault="00AA7573" w:rsidP="00AA7573">
      <w:pPr>
        <w:spacing w:after="0" w:line="240" w:lineRule="auto"/>
      </w:pPr>
      <w:r>
        <w:separator/>
      </w:r>
    </w:p>
  </w:footnote>
  <w:footnote w:type="continuationSeparator" w:id="0">
    <w:p w14:paraId="24DDB5AA" w14:textId="77777777" w:rsidR="00AA7573" w:rsidRDefault="00AA7573" w:rsidP="00AA75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ACC"/>
    <w:rsid w:val="00004176"/>
    <w:rsid w:val="0002587C"/>
    <w:rsid w:val="00113D00"/>
    <w:rsid w:val="001333E5"/>
    <w:rsid w:val="00133F45"/>
    <w:rsid w:val="00176A40"/>
    <w:rsid w:val="001C7F4B"/>
    <w:rsid w:val="001E4ACC"/>
    <w:rsid w:val="001E54D6"/>
    <w:rsid w:val="002222C4"/>
    <w:rsid w:val="002257E1"/>
    <w:rsid w:val="002350DA"/>
    <w:rsid w:val="00277CC3"/>
    <w:rsid w:val="0028680B"/>
    <w:rsid w:val="002A2D51"/>
    <w:rsid w:val="002C07FF"/>
    <w:rsid w:val="002F2C2E"/>
    <w:rsid w:val="0038166C"/>
    <w:rsid w:val="003B7EE5"/>
    <w:rsid w:val="003E2664"/>
    <w:rsid w:val="003E5DC0"/>
    <w:rsid w:val="003E782E"/>
    <w:rsid w:val="00436ECF"/>
    <w:rsid w:val="004662F3"/>
    <w:rsid w:val="00492A59"/>
    <w:rsid w:val="00496A11"/>
    <w:rsid w:val="00536430"/>
    <w:rsid w:val="00537013"/>
    <w:rsid w:val="0054061B"/>
    <w:rsid w:val="005B349B"/>
    <w:rsid w:val="00611844"/>
    <w:rsid w:val="00614756"/>
    <w:rsid w:val="006B082A"/>
    <w:rsid w:val="006B594C"/>
    <w:rsid w:val="006D3B74"/>
    <w:rsid w:val="006E49F6"/>
    <w:rsid w:val="007020F8"/>
    <w:rsid w:val="0075018B"/>
    <w:rsid w:val="00784951"/>
    <w:rsid w:val="00810A5F"/>
    <w:rsid w:val="00900FF6"/>
    <w:rsid w:val="009037DE"/>
    <w:rsid w:val="00904E4F"/>
    <w:rsid w:val="00986E92"/>
    <w:rsid w:val="00A00CEE"/>
    <w:rsid w:val="00A10272"/>
    <w:rsid w:val="00A6362A"/>
    <w:rsid w:val="00A65393"/>
    <w:rsid w:val="00AA7573"/>
    <w:rsid w:val="00AA7C3E"/>
    <w:rsid w:val="00B2678A"/>
    <w:rsid w:val="00B347CB"/>
    <w:rsid w:val="00B519FD"/>
    <w:rsid w:val="00B72DA2"/>
    <w:rsid w:val="00B8262F"/>
    <w:rsid w:val="00BD1F30"/>
    <w:rsid w:val="00BF6BF8"/>
    <w:rsid w:val="00C0444C"/>
    <w:rsid w:val="00C04E13"/>
    <w:rsid w:val="00CC6175"/>
    <w:rsid w:val="00CE5902"/>
    <w:rsid w:val="00CF2D2B"/>
    <w:rsid w:val="00CF5F92"/>
    <w:rsid w:val="00D146DA"/>
    <w:rsid w:val="00D278B2"/>
    <w:rsid w:val="00D45D33"/>
    <w:rsid w:val="00D759A1"/>
    <w:rsid w:val="00D83046"/>
    <w:rsid w:val="00DB579E"/>
    <w:rsid w:val="00E1597C"/>
    <w:rsid w:val="00E602EE"/>
    <w:rsid w:val="00E71988"/>
    <w:rsid w:val="00EB370E"/>
    <w:rsid w:val="00F02D20"/>
    <w:rsid w:val="00F531DD"/>
    <w:rsid w:val="00F67D55"/>
    <w:rsid w:val="00F710A1"/>
    <w:rsid w:val="00FD432B"/>
    <w:rsid w:val="00FF6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DCB1E8"/>
  <w15:chartTrackingRefBased/>
  <w15:docId w15:val="{54E7FF6F-8FF0-4A36-B135-8C878FED4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4E1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763513">
      <w:bodyDiv w:val="1"/>
      <w:marLeft w:val="0"/>
      <w:marRight w:val="0"/>
      <w:marTop w:val="0"/>
      <w:marBottom w:val="0"/>
      <w:divBdr>
        <w:top w:val="none" w:sz="0" w:space="0" w:color="auto"/>
        <w:left w:val="none" w:sz="0" w:space="0" w:color="auto"/>
        <w:bottom w:val="none" w:sz="0" w:space="0" w:color="auto"/>
        <w:right w:val="none" w:sz="0" w:space="0" w:color="auto"/>
      </w:divBdr>
      <w:divsChild>
        <w:div w:id="1320117740">
          <w:marLeft w:val="0"/>
          <w:marRight w:val="0"/>
          <w:marTop w:val="0"/>
          <w:marBottom w:val="0"/>
          <w:divBdr>
            <w:top w:val="none" w:sz="0" w:space="0" w:color="auto"/>
            <w:left w:val="none" w:sz="0" w:space="0" w:color="auto"/>
            <w:bottom w:val="none" w:sz="0" w:space="0" w:color="auto"/>
            <w:right w:val="none" w:sz="0" w:space="0" w:color="auto"/>
          </w:divBdr>
        </w:div>
      </w:divsChild>
    </w:div>
    <w:div w:id="1576738864">
      <w:bodyDiv w:val="1"/>
      <w:marLeft w:val="0"/>
      <w:marRight w:val="0"/>
      <w:marTop w:val="0"/>
      <w:marBottom w:val="0"/>
      <w:divBdr>
        <w:top w:val="none" w:sz="0" w:space="0" w:color="auto"/>
        <w:left w:val="none" w:sz="0" w:space="0" w:color="auto"/>
        <w:bottom w:val="none" w:sz="0" w:space="0" w:color="auto"/>
        <w:right w:val="none" w:sz="0" w:space="0" w:color="auto"/>
      </w:divBdr>
      <w:divsChild>
        <w:div w:id="1934700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3154</Words>
  <Characters>17980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Luckwell,Abbey swp6794</dc:creator>
  <cp:keywords/>
  <dc:description/>
  <cp:lastModifiedBy>Luckwell,Abbey swp6794</cp:lastModifiedBy>
  <cp:revision>3</cp:revision>
  <dcterms:created xsi:type="dcterms:W3CDTF">2023-01-28T21:18:00Z</dcterms:created>
  <dcterms:modified xsi:type="dcterms:W3CDTF">2023-01-28T21:32:00Z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2023-01-25T04:34:01Z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0349370f-04b4-4717-84ac-be9293d5ec0c</vt:lpwstr>
  </property>
  <property fmtid="{D5CDD505-2E9C-101B-9397-08002B2CF9AE}" pid="8" name="MSIP_Label_66cf8fe5-b7b7-4df7-b38d-1c61ac2f6639_ContentBits">
    <vt:lpwstr>0</vt:lpwstr>
  </property>
</Properties>
</file>