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94CAD" w14:textId="07B765B8" w:rsidR="0031728F" w:rsidRPr="0031728F" w:rsidRDefault="0031728F" w:rsidP="0031728F">
      <w:pPr>
        <w:ind w:left="720" w:hanging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Travel and tourism debate notes</w:t>
      </w:r>
    </w:p>
    <w:p w14:paraId="4253E682" w14:textId="77777777" w:rsidR="0031728F" w:rsidRPr="0031728F" w:rsidRDefault="0031728F" w:rsidP="00280278">
      <w:pPr>
        <w:pStyle w:val="ListParagraph"/>
        <w:rPr>
          <w:rFonts w:cstheme="minorHAnsi"/>
        </w:rPr>
      </w:pPr>
    </w:p>
    <w:p w14:paraId="2CDE027F" w14:textId="52EF531A" w:rsidR="00474DDD" w:rsidRPr="000F485E" w:rsidRDefault="00130E2E" w:rsidP="00130E2E">
      <w:pPr>
        <w:pStyle w:val="ListParagraph"/>
        <w:numPr>
          <w:ilvl w:val="0"/>
          <w:numId w:val="1"/>
        </w:numPr>
        <w:rPr>
          <w:rStyle w:val="bkciteavail"/>
          <w:rFonts w:cstheme="minorHAnsi"/>
        </w:rPr>
      </w:pPr>
      <w:r w:rsidRPr="000F485E">
        <w:rPr>
          <w:rFonts w:cstheme="minorHAnsi"/>
          <w:shd w:val="clear" w:color="auto" w:fill="FFFFFF"/>
        </w:rPr>
        <w:t>Lunt N, Smith RD, Mannion R, et al. Implications for the NHS of inward and outward medical tourism: a policy and economic analysis using literature review and mixed-methods approaches. Southampton (UK): NIHR Journals Library; 2014 Jan. (Health Services and Delivery Research, No. 2.2.) Chapter 9, Common themes within experiences of medical tourism.</w:t>
      </w:r>
      <w:r w:rsidRPr="000F485E">
        <w:rPr>
          <w:rStyle w:val="bkciteavail"/>
          <w:rFonts w:cstheme="minorHAnsi"/>
          <w:shd w:val="clear" w:color="auto" w:fill="FFFFFF"/>
        </w:rPr>
        <w:t xml:space="preserve"> Available from: </w:t>
      </w:r>
      <w:hyperlink r:id="rId5" w:history="1">
        <w:r w:rsidRPr="000F485E">
          <w:rPr>
            <w:rStyle w:val="Hyperlink"/>
            <w:rFonts w:cstheme="minorHAnsi"/>
            <w:color w:val="auto"/>
            <w:shd w:val="clear" w:color="auto" w:fill="FFFFFF"/>
          </w:rPr>
          <w:t>https://www.ncbi.nlm.nih.gov/books/NBK263189/</w:t>
        </w:r>
      </w:hyperlink>
    </w:p>
    <w:p w14:paraId="6FF68328" w14:textId="14631553" w:rsidR="000F485E" w:rsidRPr="000F485E" w:rsidRDefault="000F485E" w:rsidP="000F485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rFonts w:asciiTheme="minorHAnsi" w:hAnsiTheme="minorHAnsi" w:cstheme="minorHAnsi"/>
          <w:sz w:val="22"/>
          <w:szCs w:val="22"/>
        </w:rPr>
      </w:pPr>
      <w:r w:rsidRPr="000F485E">
        <w:rPr>
          <w:rFonts w:asciiTheme="minorHAnsi" w:hAnsiTheme="minorHAnsi" w:cstheme="minorHAnsi"/>
          <w:sz w:val="22"/>
          <w:szCs w:val="22"/>
        </w:rPr>
        <w:t>CDC</w:t>
      </w:r>
      <w:r w:rsidRPr="000F485E">
        <w:rPr>
          <w:rFonts w:asciiTheme="minorHAnsi" w:hAnsiTheme="minorHAnsi" w:cstheme="minorHAnsi"/>
          <w:sz w:val="22"/>
          <w:szCs w:val="22"/>
        </w:rPr>
        <w:t>, Medical Tourism: Travel to Another Country for Medical Care</w:t>
      </w:r>
      <w:r w:rsidRPr="000F485E">
        <w:rPr>
          <w:rFonts w:asciiTheme="minorHAnsi" w:hAnsiTheme="minorHAnsi" w:cstheme="minorHAnsi"/>
          <w:sz w:val="22"/>
          <w:szCs w:val="22"/>
        </w:rPr>
        <w:t xml:space="preserve">. </w:t>
      </w:r>
      <w:r w:rsidRPr="000F485E">
        <w:rPr>
          <w:rFonts w:asciiTheme="minorHAnsi" w:hAnsiTheme="minorHAnsi" w:cstheme="minorHAnsi"/>
          <w:sz w:val="22"/>
          <w:szCs w:val="22"/>
        </w:rPr>
        <w:t>April 19, 2021-last update. Available: </w:t>
      </w:r>
      <w:hyperlink r:id="rId6" w:tgtFrame="_blank" w:history="1">
        <w:r w:rsidRPr="000F485E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https://wwwnc.cdc.gov/travel/page/medical-tourism</w:t>
        </w:r>
      </w:hyperlink>
      <w:r w:rsidRPr="000F485E">
        <w:rPr>
          <w:rFonts w:asciiTheme="minorHAnsi" w:hAnsiTheme="minorHAnsi" w:cstheme="minorHAnsi"/>
          <w:sz w:val="22"/>
          <w:szCs w:val="22"/>
        </w:rPr>
        <w:t>.</w:t>
      </w:r>
    </w:p>
    <w:p w14:paraId="5F129A9A" w14:textId="77777777" w:rsidR="000F485E" w:rsidRPr="000F485E" w:rsidRDefault="000F485E" w:rsidP="000F485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rFonts w:asciiTheme="minorHAnsi" w:hAnsiTheme="minorHAnsi" w:cstheme="minorHAnsi"/>
          <w:sz w:val="22"/>
          <w:szCs w:val="22"/>
        </w:rPr>
      </w:pPr>
      <w:r w:rsidRPr="000F485E">
        <w:rPr>
          <w:rFonts w:asciiTheme="minorHAnsi" w:hAnsiTheme="minorHAnsi" w:cstheme="minorHAnsi"/>
          <w:sz w:val="22"/>
          <w:szCs w:val="22"/>
        </w:rPr>
        <w:t>WHITLOCK, J., September 11, 2021-last update, Why Patients Are Turning to Medical Tourism. Available: </w:t>
      </w:r>
      <w:hyperlink r:id="rId7" w:tgtFrame="_blank" w:history="1">
        <w:r w:rsidRPr="000F485E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https://www.verywellhealth.com/understanding-medical-tourism-4069869</w:t>
        </w:r>
      </w:hyperlink>
      <w:r w:rsidRPr="000F485E">
        <w:rPr>
          <w:rFonts w:asciiTheme="minorHAnsi" w:hAnsiTheme="minorHAnsi" w:cstheme="minorHAnsi"/>
          <w:sz w:val="22"/>
          <w:szCs w:val="22"/>
        </w:rPr>
        <w:t>.</w:t>
      </w:r>
    </w:p>
    <w:p w14:paraId="4A119A5A" w14:textId="5A7F03D6" w:rsidR="00130E2E" w:rsidRDefault="00D260C5" w:rsidP="00D260C5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7527BED" wp14:editId="0E3157E6">
            <wp:simplePos x="0" y="0"/>
            <wp:positionH relativeFrom="column">
              <wp:posOffset>3425190</wp:posOffset>
            </wp:positionH>
            <wp:positionV relativeFrom="paragraph">
              <wp:posOffset>182644</wp:posOffset>
            </wp:positionV>
            <wp:extent cx="3189247" cy="4597400"/>
            <wp:effectExtent l="0" t="0" r="0" b="0"/>
            <wp:wrapTight wrapText="bothSides">
              <wp:wrapPolygon edited="0">
                <wp:start x="0" y="0"/>
                <wp:lineTo x="0" y="21481"/>
                <wp:lineTo x="21419" y="21481"/>
                <wp:lineTo x="21419" y="0"/>
                <wp:lineTo x="0" y="0"/>
              </wp:wrapPolygon>
            </wp:wrapTight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29" t="23242" r="25881" b="8607"/>
                    <a:stretch/>
                  </pic:blipFill>
                  <pic:spPr bwMode="auto">
                    <a:xfrm>
                      <a:off x="0" y="0"/>
                      <a:ext cx="3189247" cy="459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522B5E82" wp14:editId="15A0E786">
            <wp:simplePos x="0" y="0"/>
            <wp:positionH relativeFrom="column">
              <wp:posOffset>-800100</wp:posOffset>
            </wp:positionH>
            <wp:positionV relativeFrom="paragraph">
              <wp:posOffset>42545</wp:posOffset>
            </wp:positionV>
            <wp:extent cx="4174490" cy="4737100"/>
            <wp:effectExtent l="0" t="0" r="0" b="6350"/>
            <wp:wrapTight wrapText="bothSides">
              <wp:wrapPolygon edited="0">
                <wp:start x="0" y="0"/>
                <wp:lineTo x="0" y="21542"/>
                <wp:lineTo x="21488" y="21542"/>
                <wp:lineTo x="21488" y="0"/>
                <wp:lineTo x="0" y="0"/>
              </wp:wrapPolygon>
            </wp:wrapTight>
            <wp:docPr id="4" name="Picture 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Word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30" t="22060" r="21228" b="6638"/>
                    <a:stretch/>
                  </pic:blipFill>
                  <pic:spPr bwMode="auto">
                    <a:xfrm>
                      <a:off x="0" y="0"/>
                      <a:ext cx="4174490" cy="473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284E3" w14:textId="71725962" w:rsidR="00D260C5" w:rsidRPr="00D260C5" w:rsidRDefault="00D260C5" w:rsidP="00D260C5">
      <w:pPr>
        <w:rPr>
          <w:rFonts w:cstheme="minorHAnsi"/>
        </w:rPr>
      </w:pPr>
    </w:p>
    <w:sectPr w:rsidR="00D260C5" w:rsidRPr="00D26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200AA"/>
    <w:multiLevelType w:val="hybridMultilevel"/>
    <w:tmpl w:val="6BE48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2E"/>
    <w:rsid w:val="000F485E"/>
    <w:rsid w:val="00130E2E"/>
    <w:rsid w:val="00280278"/>
    <w:rsid w:val="0031728F"/>
    <w:rsid w:val="00474DDD"/>
    <w:rsid w:val="00D2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C573C"/>
  <w15:chartTrackingRefBased/>
  <w15:docId w15:val="{34940710-6BF5-44E6-9079-091386BC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kciteavail">
    <w:name w:val="bk_cite_avail"/>
    <w:basedOn w:val="DefaultParagraphFont"/>
    <w:rsid w:val="00130E2E"/>
  </w:style>
  <w:style w:type="paragraph" w:styleId="ListParagraph">
    <w:name w:val="List Paragraph"/>
    <w:basedOn w:val="Normal"/>
    <w:uiPriority w:val="34"/>
    <w:qFormat/>
    <w:rsid w:val="00130E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0E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E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F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7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verywellhealth.com/understanding-medical-tourism-40698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nc.cdc.gov/travel/page/medical-touris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cbi.nlm.nih.gov/books/NBK263189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Luke</dc:creator>
  <cp:keywords/>
  <dc:description/>
  <cp:lastModifiedBy>Alex Luke</cp:lastModifiedBy>
  <cp:revision>2</cp:revision>
  <dcterms:created xsi:type="dcterms:W3CDTF">2022-01-14T14:23:00Z</dcterms:created>
  <dcterms:modified xsi:type="dcterms:W3CDTF">2022-01-14T14:41:00Z</dcterms:modified>
</cp:coreProperties>
</file>