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D63EF" w:rsidRDefault="008D63EF" w14:paraId="1215108B" w14:textId="4417A1F8">
      <w:pPr>
        <w:rPr>
          <w:sz w:val="28"/>
          <w:szCs w:val="28"/>
        </w:rPr>
      </w:pPr>
      <w:r w:rsidRPr="008D63EF">
        <w:rPr>
          <w:sz w:val="28"/>
          <w:szCs w:val="28"/>
        </w:rPr>
        <w:t xml:space="preserve">Gendered Language and the Construction of Jewish Identity in 2 Maccabees </w:t>
      </w:r>
    </w:p>
    <w:p w:rsidR="00467A95" w:rsidP="008D63EF" w:rsidRDefault="008D63EF" w14:paraId="1081FA6A" w14:textId="4DB37EAA">
      <w:r w:rsidR="008D63EF">
        <w:rPr/>
        <w:t xml:space="preserve">The article </w:t>
      </w:r>
      <w:r w:rsidRPr="53D25083" w:rsidR="008D63EF">
        <w:rPr>
          <w:i w:val="1"/>
          <w:iCs w:val="1"/>
        </w:rPr>
        <w:t>Gendered Language and the Constr</w:t>
      </w:r>
      <w:r w:rsidRPr="53D25083" w:rsidR="47C04C9E">
        <w:rPr>
          <w:i w:val="1"/>
          <w:iCs w:val="1"/>
        </w:rPr>
        <w:t>uction</w:t>
      </w:r>
      <w:r w:rsidRPr="53D25083" w:rsidR="008D63EF">
        <w:rPr>
          <w:i w:val="1"/>
          <w:iCs w:val="1"/>
        </w:rPr>
        <w:t xml:space="preserve"> of Jewish Identity in 2 Maccabees, </w:t>
      </w:r>
      <w:r w:rsidR="008D63EF">
        <w:rPr/>
        <w:t xml:space="preserve">written by Joshua Ezra Burns in 2018, discusses not only the gender language used, but also how the Jewish history and identity may have been altered through</w:t>
      </w:r>
      <w:r w:rsidR="06E34FBD">
        <w:rPr/>
        <w:t xml:space="preserve"> different</w:t>
      </w:r>
      <w:r w:rsidR="008D63EF">
        <w:rPr/>
        <w:t xml:space="preserve"> translations. </w:t>
      </w:r>
      <w:r w:rsidR="00467A95">
        <w:rPr/>
        <w:t xml:space="preserve">The overall aim of the </w:t>
      </w:r>
      <w:r w:rsidR="3752922B">
        <w:rPr/>
        <w:t>article</w:t>
      </w:r>
      <w:r w:rsidR="00467A95">
        <w:rPr/>
        <w:t xml:space="preserve"> is a </w:t>
      </w:r>
      <w:r w:rsidRPr="00D555C0" w:rsidR="00D555C0">
        <w:rPr/>
        <w:t xml:space="preserve">“discussion of the earliest text that identifies Jewish culture as </w:t>
      </w:r>
      <w:r w:rsidRPr="00D555C0" w:rsidR="00467A95">
        <w:rPr/>
        <w:t>‘</w:t>
      </w:r>
      <w:r w:rsidRPr="00D555C0" w:rsidR="00D555C0">
        <w:rPr/>
        <w:t>Judaism</w:t>
      </w:r>
      <w:r w:rsidRPr="00D555C0" w:rsidR="00467A95">
        <w:rPr/>
        <w:t>’”</w:t>
      </w:r>
      <w:r w:rsidR="00467A95">
        <w:rPr/>
        <w:t>,</w:t>
      </w:r>
      <w:r w:rsidR="00467A95">
        <w:rPr>
          <w:rStyle w:val="FootnoteReference"/>
        </w:rPr>
        <w:footnoteReference w:id="1"/>
      </w:r>
      <w:r w:rsidRPr="00D555C0" w:rsidR="00D555C0">
        <w:rPr/>
        <w:t xml:space="preserve"> and </w:t>
      </w:r>
      <w:r w:rsidRPr="00D555C0" w:rsidR="160C9936">
        <w:rPr/>
        <w:t>Burns argues</w:t>
      </w:r>
      <w:r w:rsidRPr="00D555C0" w:rsidR="00D555C0">
        <w:rPr/>
        <w:t xml:space="preserve"> that the author of 2 Maccabees uses gendered language in his writings to “make the point that women were just as likely as men to exemplify</w:t>
      </w:r>
      <w:r w:rsidRPr="00D555C0" w:rsidR="3912834B">
        <w:rPr/>
        <w:t xml:space="preserve">”</w:t>
      </w:r>
      <w:r w:rsidRPr="00D555C0" w:rsidR="00D555C0">
        <w:rPr/>
        <w:t xml:space="preserve"> </w:t>
      </w:r>
      <w:r w:rsidRPr="00D555C0" w:rsidR="3F16DE47">
        <w:rPr/>
        <w:t xml:space="preserve">Jewish values</w:t>
      </w:r>
      <w:r w:rsidR="00467A95">
        <w:rPr/>
        <w:t>.</w:t>
      </w:r>
      <w:r w:rsidR="00467A95">
        <w:rPr>
          <w:rStyle w:val="FootnoteReference"/>
        </w:rPr>
        <w:footnoteReference w:id="2"/>
      </w:r>
      <w:r w:rsidR="00467A95">
        <w:rPr/>
        <w:t xml:space="preserve"> Burns also </w:t>
      </w:r>
      <w:r w:rsidR="29C767B3">
        <w:rPr/>
        <w:t>highlights</w:t>
      </w:r>
      <w:r w:rsidR="00467A95">
        <w:rPr/>
        <w:t xml:space="preserve"> the </w:t>
      </w:r>
      <w:r w:rsidR="02FE4238">
        <w:rPr/>
        <w:t xml:space="preserve">need to </w:t>
      </w:r>
      <w:r w:rsidR="781648CD">
        <w:rPr/>
        <w:t xml:space="preserve">be able to </w:t>
      </w:r>
      <w:r w:rsidR="00467A95">
        <w:rPr/>
        <w:t>understan</w:t>
      </w:r>
      <w:r w:rsidR="445DB127">
        <w:rPr/>
        <w:t>d</w:t>
      </w:r>
      <w:r w:rsidR="00467A95">
        <w:rPr/>
        <w:t xml:space="preserve"> Greek and Jewish culture, as he feels that without this, a lot of the meaning behind 2 Maccabees is lost.  </w:t>
      </w:r>
    </w:p>
    <w:p w:rsidR="008D63EF" w:rsidP="008D63EF" w:rsidRDefault="008D63EF" w14:paraId="046FEF63" w14:textId="7B6B5C2F">
      <w:r w:rsidR="008D63EF">
        <w:rPr/>
        <w:t xml:space="preserve">The </w:t>
      </w:r>
      <w:r w:rsidR="24D6B661">
        <w:rPr/>
        <w:t>article</w:t>
      </w:r>
      <w:r w:rsidR="008D63EF">
        <w:rPr/>
        <w:t xml:space="preserve"> is split into three sections</w:t>
      </w:r>
      <w:r w:rsidR="2099719E">
        <w:rPr/>
        <w:t>.</w:t>
      </w:r>
      <w:r w:rsidR="008D63EF">
        <w:rPr/>
        <w:t xml:space="preserve"> </w:t>
      </w:r>
      <w:r w:rsidR="67CD91CB">
        <w:rPr/>
        <w:t>T</w:t>
      </w:r>
      <w:r w:rsidR="008D63EF">
        <w:rPr/>
        <w:t>he first focus</w:t>
      </w:r>
      <w:r w:rsidR="205B8E45">
        <w:rPr/>
        <w:t>es</w:t>
      </w:r>
      <w:r w:rsidR="008D63EF">
        <w:rPr/>
        <w:t xml:space="preserve"> on </w:t>
      </w:r>
      <w:r w:rsidR="0056638F">
        <w:rPr/>
        <w:t xml:space="preserve">how the new translation of the word </w:t>
      </w:r>
      <w:proofErr w:type="spellStart"/>
      <w:r w:rsidRPr="53D25083" w:rsidR="0056638F">
        <w:rPr>
          <w:i w:val="1"/>
          <w:iCs w:val="1"/>
        </w:rPr>
        <w:t>ioudaios</w:t>
      </w:r>
      <w:proofErr w:type="spellEnd"/>
      <w:r w:rsidRPr="53D25083" w:rsidR="0056638F">
        <w:rPr>
          <w:i w:val="1"/>
          <w:iCs w:val="1"/>
        </w:rPr>
        <w:t xml:space="preserve"> </w:t>
      </w:r>
      <w:r w:rsidRPr="488B84D3" w:rsidR="16B08223">
        <w:rPr/>
        <w:t>has been</w:t>
      </w:r>
      <w:r w:rsidR="0056638F">
        <w:rPr/>
        <w:t xml:space="preserve"> changed from meani</w:t>
      </w:r>
      <w:r w:rsidR="0ED44A83">
        <w:rPr/>
        <w:t>ng</w:t>
      </w:r>
      <w:r w:rsidR="0056638F">
        <w:rPr/>
        <w:t xml:space="preserve"> </w:t>
      </w:r>
      <w:r w:rsidR="16634558">
        <w:rPr/>
        <w:t xml:space="preserve">‘</w:t>
      </w:r>
      <w:r w:rsidR="0056638F">
        <w:rPr/>
        <w:t xml:space="preserve">J</w:t>
      </w:r>
      <w:r w:rsidR="0056638F">
        <w:rPr/>
        <w:t xml:space="preserve">ew</w:t>
      </w:r>
      <w:r w:rsidR="0A4FFCCA">
        <w:rPr/>
        <w:t xml:space="preserve">’</w:t>
      </w:r>
      <w:r w:rsidR="0056638F">
        <w:rPr/>
        <w:t xml:space="preserve"> to meaning </w:t>
      </w:r>
      <w:r w:rsidR="74C0746A">
        <w:rPr/>
        <w:t xml:space="preserve">‘</w:t>
      </w:r>
      <w:r w:rsidR="0056638F">
        <w:rPr/>
        <w:t xml:space="preserve">Judean</w:t>
      </w:r>
      <w:r w:rsidR="3F3C6FC3">
        <w:rPr/>
        <w:t xml:space="preserve">’</w:t>
      </w:r>
      <w:r w:rsidR="0056638F">
        <w:rPr/>
        <w:t xml:space="preserve">, </w:t>
      </w:r>
      <w:r w:rsidR="4C8D7867">
        <w:rPr/>
        <w:t xml:space="preserve">which </w:t>
      </w:r>
      <w:r w:rsidR="0056638F">
        <w:rPr/>
        <w:t>has altered how the text is read.</w:t>
      </w:r>
      <w:r w:rsidR="00772D2A">
        <w:rPr/>
        <w:t xml:space="preserve"> </w:t>
      </w:r>
      <w:r w:rsidR="0056638F">
        <w:rPr/>
        <w:t xml:space="preserve">The second </w:t>
      </w:r>
      <w:r w:rsidR="09CB6602">
        <w:rPr/>
        <w:t>sec</w:t>
      </w:r>
      <w:r w:rsidR="09CB6602">
        <w:rPr/>
        <w:t>tion leads into</w:t>
      </w:r>
      <w:r w:rsidR="0056638F">
        <w:rPr/>
        <w:t xml:space="preserve"> the discussion </w:t>
      </w:r>
      <w:r w:rsidR="3A07DE5A">
        <w:rPr/>
        <w:t xml:space="preserve">of the use of language </w:t>
      </w:r>
      <w:r w:rsidR="0056638F">
        <w:rPr/>
        <w:t xml:space="preserve">by looking at what it was like to be Jewish in a Hellenized city, and the different interpretations as to why the word </w:t>
      </w:r>
      <w:proofErr w:type="spellStart"/>
      <w:r w:rsidRPr="53D25083" w:rsidR="0056638F">
        <w:rPr>
          <w:i w:val="1"/>
          <w:iCs w:val="1"/>
        </w:rPr>
        <w:t>ioudaios</w:t>
      </w:r>
      <w:proofErr w:type="spellEnd"/>
      <w:r w:rsidRPr="53D25083" w:rsidR="0056638F">
        <w:rPr>
          <w:i w:val="1"/>
          <w:iCs w:val="1"/>
        </w:rPr>
        <w:t xml:space="preserve"> </w:t>
      </w:r>
      <w:r w:rsidR="0056638F">
        <w:rPr/>
        <w:t xml:space="preserve">or </w:t>
      </w:r>
      <w:r w:rsidR="3E605F72">
        <w:rPr/>
        <w:t xml:space="preserve">‘</w:t>
      </w:r>
      <w:r w:rsidR="0056638F">
        <w:rPr/>
        <w:t xml:space="preserve">Jew</w:t>
      </w:r>
      <w:r w:rsidR="2CF264BC">
        <w:rPr/>
        <w:t xml:space="preserve">’</w:t>
      </w:r>
      <w:r w:rsidR="0056638F">
        <w:rPr/>
        <w:t xml:space="preserve"> beg</w:t>
      </w:r>
      <w:r w:rsidR="2142975B">
        <w:rPr/>
        <w:t xml:space="preserve">a</w:t>
      </w:r>
      <w:r w:rsidR="0056638F">
        <w:rPr/>
        <w:t xml:space="preserve">n being used. The final section looks at the gendered language used </w:t>
      </w:r>
      <w:r w:rsidR="12B5F8EF">
        <w:rPr/>
        <w:t xml:space="preserve">in the </w:t>
      </w:r>
      <w:r w:rsidR="0056638F">
        <w:rPr/>
        <w:t>Maccabees, and how the phrase “</w:t>
      </w:r>
      <w:r w:rsidRPr="0056638F" w:rsidR="0056638F">
        <w:rPr/>
        <w:t>behave themselves manfully</w:t>
      </w:r>
      <w:r w:rsidR="0056638F">
        <w:rPr/>
        <w:t xml:space="preserve">” can be used to describe both men and women. </w:t>
      </w:r>
      <w:r w:rsidR="4A668F3B">
        <w:rPr/>
        <w:t>Finally</w:t>
      </w:r>
      <w:r w:rsidR="00467A95">
        <w:rPr/>
        <w:t xml:space="preserve">, the </w:t>
      </w:r>
      <w:r w:rsidR="0BE528FB">
        <w:rPr/>
        <w:t>article</w:t>
      </w:r>
      <w:r w:rsidR="00467A95">
        <w:rPr/>
        <w:t xml:space="preserve"> concludes that the Judaism that is presented in 2 Maccabees</w:t>
      </w:r>
      <w:r w:rsidR="00467A95">
        <w:rPr/>
        <w:t xml:space="preserve"> </w:t>
      </w:r>
      <w:r w:rsidR="00E47C10">
        <w:rPr/>
        <w:t>“suggests a cohesive statement of what its author deemed the common Jewish mores of his time”.</w:t>
      </w:r>
      <w:r w:rsidR="00E47C10">
        <w:rPr>
          <w:rStyle w:val="FootnoteReference"/>
        </w:rPr>
        <w:footnoteReference w:id="3"/>
      </w:r>
      <w:r w:rsidR="00E47C10">
        <w:rPr/>
        <w:t xml:space="preserve"> </w:t>
      </w:r>
      <w:r w:rsidR="616B549E">
        <w:rPr/>
        <w:t xml:space="preserve">These </w:t>
      </w:r>
      <w:r w:rsidR="00E47C10">
        <w:rPr/>
        <w:t>argument</w:t>
      </w:r>
      <w:r w:rsidR="77BBB924">
        <w:rPr/>
        <w:t>s</w:t>
      </w:r>
      <w:r w:rsidR="1EBD7596">
        <w:rPr/>
        <w:t xml:space="preserve"> disagree with</w:t>
      </w:r>
      <w:r w:rsidR="678BB762">
        <w:rPr/>
        <w:t xml:space="preserve"> those of</w:t>
      </w:r>
      <w:r w:rsidR="1EBD7596">
        <w:rPr/>
        <w:t xml:space="preserve"> Steve Mason, </w:t>
      </w:r>
      <w:r w:rsidR="6F083DD3">
        <w:rPr/>
        <w:t xml:space="preserve">who is </w:t>
      </w:r>
      <w:r w:rsidR="1EBD7596">
        <w:rPr/>
        <w:t>a Canadian historian.</w:t>
      </w:r>
      <w:r w:rsidR="00E47C10">
        <w:rPr/>
        <w:t xml:space="preserve"> </w:t>
      </w:r>
      <w:r w:rsidR="711B4F41">
        <w:rPr/>
        <w:t xml:space="preserve">Burns </w:t>
      </w:r>
      <w:r w:rsidR="00E47C10">
        <w:rPr/>
        <w:t xml:space="preserve">also concludes that even though 2 </w:t>
      </w:r>
      <w:r w:rsidR="00E47C10">
        <w:rPr/>
        <w:t xml:space="preserve">Maccabees </w:t>
      </w:r>
      <w:r w:rsidR="50167102">
        <w:rPr/>
        <w:t xml:space="preserve">uses</w:t>
      </w:r>
      <w:r w:rsidR="50167102">
        <w:rPr/>
        <w:t xml:space="preserve"> </w:t>
      </w:r>
      <w:r w:rsidR="00E47C10">
        <w:rPr/>
        <w:t xml:space="preserve">terms such as “manly” to describe both men and women, the texts still </w:t>
      </w:r>
      <w:r w:rsidR="56AD832D">
        <w:rPr/>
        <w:t>express</w:t>
      </w:r>
      <w:r w:rsidR="00E47C10">
        <w:rPr/>
        <w:t xml:space="preserve"> the “notion of women being innately inferior to men</w:t>
      </w:r>
      <w:r w:rsidR="00E47C10">
        <w:rPr>
          <w:rStyle w:val="FootnoteReference"/>
        </w:rPr>
        <w:footnoteReference w:id="4"/>
      </w:r>
      <w:r w:rsidR="00E47C10">
        <w:rPr/>
        <w:t xml:space="preserve">” and </w:t>
      </w:r>
      <w:r w:rsidR="24E94796">
        <w:rPr/>
        <w:t>therefore,</w:t>
      </w:r>
      <w:r w:rsidR="00E47C10">
        <w:rPr/>
        <w:t xml:space="preserve"> cannot be seen as a</w:t>
      </w:r>
      <w:r w:rsidR="24E61344">
        <w:rPr/>
        <w:t>n</w:t>
      </w:r>
      <w:r w:rsidR="00E47C10">
        <w:rPr/>
        <w:t xml:space="preserve"> egalitarian piece of work.</w:t>
      </w:r>
    </w:p>
    <w:p w:rsidR="00ED3571" w:rsidP="008D63EF" w:rsidRDefault="00D85CE7" w14:paraId="09844321" w14:textId="471F1C68">
      <w:r w:rsidR="00D85CE7">
        <w:rPr/>
        <w:t xml:space="preserve">A </w:t>
      </w:r>
      <w:r w:rsidR="7EFBC198">
        <w:rPr/>
        <w:t xml:space="preserve">major</w:t>
      </w:r>
      <w:r w:rsidR="00D85CE7">
        <w:rPr/>
        <w:t xml:space="preserve"> issue with the article in question is that the title </w:t>
      </w:r>
      <w:r w:rsidRPr="53D25083" w:rsidR="00D85CE7">
        <w:rPr>
          <w:i w:val="1"/>
          <w:iCs w:val="1"/>
        </w:rPr>
        <w:t xml:space="preserve">Gendered Language and the Constriction of Jewish Identity in 2 Maccabees </w:t>
      </w:r>
      <w:r w:rsidR="00D85CE7">
        <w:rPr/>
        <w:t xml:space="preserve">does not reflect a large amount of the contents of the article. The title gives the impression that gendered language is going to be </w:t>
      </w:r>
      <w:r w:rsidR="7E43EBD9">
        <w:rPr/>
        <w:t xml:space="preserve">the </w:t>
      </w:r>
      <w:proofErr w:type="gramStart"/>
      <w:r w:rsidR="7E43EBD9">
        <w:rPr/>
        <w:t xml:space="preserve">main</w:t>
      </w:r>
      <w:r w:rsidR="00D85CE7">
        <w:rPr/>
        <w:t xml:space="preserve"> focus</w:t>
      </w:r>
      <w:proofErr w:type="gramEnd"/>
      <w:r w:rsidR="00D85CE7">
        <w:rPr/>
        <w:t xml:space="preserve"> for the article, however, the only </w:t>
      </w:r>
      <w:r w:rsidR="001E7F3E">
        <w:rPr/>
        <w:t xml:space="preserve">discussion of </w:t>
      </w:r>
      <w:r w:rsidR="513BAD17">
        <w:rPr/>
        <w:t xml:space="preserve">this topic</w:t>
      </w:r>
      <w:r w:rsidR="001E7F3E">
        <w:rPr/>
        <w:t xml:space="preserve"> surrounds the phrase </w:t>
      </w:r>
      <w:bookmarkStart w:name="_Hlk41557575" w:id="1"/>
      <w:r w:rsidR="001E7F3E">
        <w:rPr/>
        <w:t>‘</w:t>
      </w:r>
      <w:r w:rsidRPr="001E7F3E" w:rsidR="001E7F3E">
        <w:rPr/>
        <w:t>behave themselves manfully</w:t>
      </w:r>
      <w:bookmarkEnd w:id="1"/>
      <w:r w:rsidR="001E7F3E">
        <w:rPr/>
        <w:t>’. This alone is only the focus of the last section of the article, giving it a limited amount of attention. This is not to say that the points made around the phrase were not interesting. Burns argues that the phrase is used to describe both male and female actions, as he</w:t>
      </w:r>
      <w:r w:rsidR="007B6BB2">
        <w:rPr/>
        <w:t xml:space="preserve"> explains</w:t>
      </w:r>
      <w:r w:rsidR="001E7F3E">
        <w:rPr/>
        <w:t xml:space="preserve"> </w:t>
      </w:r>
      <w:r w:rsidR="007B6BB2">
        <w:rPr/>
        <w:t xml:space="preserve">that being </w:t>
      </w:r>
      <w:r w:rsidR="00AF6679">
        <w:rPr/>
        <w:t>described</w:t>
      </w:r>
      <w:r w:rsidR="007B6BB2">
        <w:rPr/>
        <w:t xml:space="preserve"> as </w:t>
      </w:r>
      <w:r w:rsidR="00AF6679">
        <w:rPr/>
        <w:t>masculine</w:t>
      </w:r>
      <w:r w:rsidR="007B6BB2">
        <w:rPr/>
        <w:t xml:space="preserve"> was a sign of strength</w:t>
      </w:r>
      <w:r w:rsidR="1BDFED3A">
        <w:rPr/>
        <w:t xml:space="preserve"> rather than gender</w:t>
      </w:r>
      <w:r w:rsidR="001E7F3E">
        <w:rPr/>
        <w:t>.</w:t>
      </w:r>
      <w:r w:rsidR="007B6BB2">
        <w:rPr/>
        <w:t xml:space="preserve"> </w:t>
      </w:r>
      <w:r w:rsidR="007B6BB2">
        <w:rPr/>
        <w:t xml:space="preserve"> Women were</w:t>
      </w:r>
      <w:r w:rsidR="75435423">
        <w:rPr/>
        <w:t xml:space="preserve"> </w:t>
      </w:r>
      <w:r w:rsidR="007B6BB2">
        <w:rPr/>
        <w:t xml:space="preserve">often </w:t>
      </w:r>
      <w:r w:rsidR="1A9E4180">
        <w:rPr/>
        <w:t xml:space="preserve">not </w:t>
      </w:r>
      <w:r w:rsidR="007B6BB2">
        <w:rPr/>
        <w:t xml:space="preserve">included in the author</w:t>
      </w:r>
      <w:r w:rsidR="26181A5F">
        <w:rPr/>
        <w:t xml:space="preserve">’</w:t>
      </w:r>
      <w:r w:rsidR="007B6BB2">
        <w:rPr/>
        <w:t xml:space="preserve">s work</w:t>
      </w:r>
      <w:r w:rsidR="41C41316">
        <w:rPr/>
        <w:t xml:space="preserve"> </w:t>
      </w:r>
      <w:r w:rsidR="5CC7458A">
        <w:rPr/>
        <w:t xml:space="preserve">because</w:t>
      </w:r>
      <w:r w:rsidR="007B6BB2">
        <w:rPr/>
        <w:t xml:space="preserve"> “it is precisely the fact that women, by virtue of being female, are generally unable to exercise the kind of self-discipline and endurance of pain that martyrdom requires that makes </w:t>
      </w:r>
      <w:r w:rsidR="007B6BB2">
        <w:rPr/>
        <w:lastRenderedPageBreak/>
        <w:t>the mother so remarkable, and so praiseworthy”</w:t>
      </w:r>
      <w:r w:rsidR="00AF6679">
        <w:rPr>
          <w:rStyle w:val="FootnoteReference"/>
        </w:rPr>
        <w:footnoteReference w:id="5"/>
      </w:r>
      <w:r w:rsidR="5ADC8661">
        <w:rPr/>
        <w:t>. However, the martyred mother</w:t>
      </w:r>
      <w:r w:rsidR="00AF6679">
        <w:rPr/>
        <w:t xml:space="preserve"> </w:t>
      </w:r>
      <w:r w:rsidR="1B8CDE59">
        <w:rPr/>
        <w:t>and her seven sons were included because of her strength despite being a woman</w:t>
      </w:r>
      <w:r w:rsidR="00AF6679">
        <w:rPr/>
        <w:t>.</w:t>
      </w:r>
      <w:r w:rsidR="69745A7B">
        <w:rPr/>
        <w:t xml:space="preserve"> </w:t>
      </w:r>
    </w:p>
    <w:p w:rsidR="008D63EF" w:rsidRDefault="00ED3571" w14:paraId="005F08D7" w14:textId="6BB4B2B0">
      <w:r w:rsidR="2555CBE2">
        <w:rPr/>
        <w:t>Burns discusses</w:t>
      </w:r>
      <w:r w:rsidR="30C569DA">
        <w:rPr/>
        <w:t xml:space="preserve"> in the last section of the article only</w:t>
      </w:r>
      <w:r w:rsidR="2555CBE2">
        <w:rPr/>
        <w:t xml:space="preserve"> a </w:t>
      </w:r>
      <w:r w:rsidR="00ED3571">
        <w:rPr/>
        <w:t>s</w:t>
      </w:r>
      <w:r w:rsidR="76E7C7A2">
        <w:rPr/>
        <w:t>mall</w:t>
      </w:r>
      <w:r w:rsidR="00ED3571">
        <w:rPr/>
        <w:t xml:space="preserve"> amount of detail </w:t>
      </w:r>
      <w:r w:rsidR="1A3FB355">
        <w:rPr/>
        <w:t xml:space="preserve">of </w:t>
      </w:r>
      <w:r w:rsidR="0C81535D">
        <w:rPr/>
        <w:t xml:space="preserve">the inclusive </w:t>
      </w:r>
      <w:r w:rsidR="1A3FB355">
        <w:rPr/>
        <w:t xml:space="preserve">gendered language </w:t>
      </w:r>
      <w:r w:rsidR="604639BC">
        <w:rPr/>
        <w:t>used in Maccabees 2</w:t>
      </w:r>
      <w:r w:rsidR="093AD285">
        <w:rPr/>
        <w:t>.</w:t>
      </w:r>
      <w:r w:rsidR="604639BC">
        <w:rPr/>
        <w:t xml:space="preserve"> </w:t>
      </w:r>
      <w:r w:rsidR="6EDCB66E">
        <w:rPr/>
        <w:t>Although he portrays the us</w:t>
      </w:r>
      <w:r w:rsidR="59047B1D">
        <w:rPr/>
        <w:t>e</w:t>
      </w:r>
      <w:r w:rsidR="6EDCB66E">
        <w:rPr/>
        <w:t xml:space="preserve"> of this language as </w:t>
      </w:r>
      <w:r w:rsidR="00ED3571">
        <w:rPr/>
        <w:t>positive</w:t>
      </w:r>
      <w:r w:rsidR="2E22D67A">
        <w:rPr/>
        <w:t xml:space="preserve">, he also </w:t>
      </w:r>
      <w:r w:rsidR="00ED3571">
        <w:rPr/>
        <w:t>acknowledge</w:t>
      </w:r>
      <w:r w:rsidR="66EAC43D">
        <w:rPr/>
        <w:t>s</w:t>
      </w:r>
      <w:r w:rsidR="00ED3571">
        <w:rPr/>
        <w:t xml:space="preserve"> the downfalls of the text. In his conclusion he states that 2 Maccabees “does reproduce the notion of women being innately inferior to men”</w:t>
      </w:r>
      <w:r w:rsidR="007B6BB2">
        <w:rPr/>
        <w:t>,</w:t>
      </w:r>
      <w:r>
        <w:rPr>
          <w:rStyle w:val="FootnoteReference"/>
        </w:rPr>
        <w:footnoteReference w:id="6"/>
      </w:r>
      <w:r w:rsidR="007B6BB2">
        <w:rPr/>
        <w:t xml:space="preserve"> and therefore</w:t>
      </w:r>
      <w:r w:rsidR="29B90E84">
        <w:rPr/>
        <w:t xml:space="preserve">, they</w:t>
      </w:r>
      <w:r w:rsidR="007B6BB2">
        <w:rPr/>
        <w:t xml:space="preserve"> cannot </w:t>
      </w:r>
      <w:proofErr w:type="gramStart"/>
      <w:r w:rsidR="007B6BB2">
        <w:rPr/>
        <w:t xml:space="preserve">be seen as</w:t>
      </w:r>
      <w:proofErr w:type="gramEnd"/>
      <w:r w:rsidR="007B6BB2">
        <w:rPr/>
        <w:t xml:space="preserve"> “truly egalitarian</w:t>
      </w:r>
      <w:r w:rsidR="007B6BB2">
        <w:rPr>
          <w:rStyle w:val="FootnoteReference"/>
        </w:rPr>
        <w:footnoteReference w:id="7"/>
      </w:r>
      <w:r w:rsidR="007B6BB2">
        <w:rPr/>
        <w:t>”</w:t>
      </w:r>
      <w:r w:rsidR="00DB523E">
        <w:rPr/>
        <w:t xml:space="preserve">. The fact that Burns has brought attention to the lack of work done on the women written about in the Maccabees, and the positives and negatives of the language of the Maccabees is important. However, the lack of focus on the issue that is </w:t>
      </w:r>
      <w:r w:rsidR="13649713">
        <w:rPr/>
        <w:t xml:space="preserve">expressed by</w:t>
      </w:r>
      <w:r w:rsidR="00DB523E">
        <w:rPr/>
        <w:t xml:space="preserve"> the title of the article is disappointing. </w:t>
      </w:r>
    </w:p>
    <w:p w:rsidR="00DE61C3" w:rsidRDefault="00DE61C3" w14:paraId="01F3257D" w14:textId="286E1D52">
      <w:r w:rsidR="23EAF220">
        <w:rPr/>
        <w:t xml:space="preserve">Another </w:t>
      </w:r>
      <w:r w:rsidR="00DE61C3">
        <w:rPr/>
        <w:t>section of the article discuss</w:t>
      </w:r>
      <w:r w:rsidR="0597C31C">
        <w:rPr/>
        <w:t>es</w:t>
      </w:r>
      <w:r w:rsidR="00DE61C3">
        <w:rPr/>
        <w:t xml:space="preserve"> </w:t>
      </w:r>
      <w:r w:rsidR="030AF5DF">
        <w:rPr/>
        <w:t>another</w:t>
      </w:r>
      <w:r w:rsidR="00DE61C3">
        <w:rPr/>
        <w:t xml:space="preserve"> language </w:t>
      </w:r>
      <w:r w:rsidR="67B41F80">
        <w:rPr/>
        <w:t>issue</w:t>
      </w:r>
      <w:r w:rsidR="00DE61C3">
        <w:rPr/>
        <w:t xml:space="preserve"> in 2 </w:t>
      </w:r>
      <w:proofErr w:type="gramStart"/>
      <w:r w:rsidR="00E06422">
        <w:rPr/>
        <w:t>Maccabee</w:t>
      </w:r>
      <w:r w:rsidR="5F45A035">
        <w:rPr/>
        <w:t>s</w:t>
      </w:r>
      <w:r w:rsidR="2390BC76">
        <w:rPr/>
        <w:t>,</w:t>
      </w:r>
      <w:proofErr w:type="gramEnd"/>
      <w:r w:rsidR="00DE61C3">
        <w:rPr/>
        <w:t xml:space="preserve"> however, </w:t>
      </w:r>
      <w:r w:rsidR="1E02CF33">
        <w:rPr/>
        <w:t>this d</w:t>
      </w:r>
      <w:r w:rsidR="00DE61C3">
        <w:rPr/>
        <w:t xml:space="preserve">oes not relate to gender. Burns writes about the issue with the new translation of the word </w:t>
      </w:r>
      <w:proofErr w:type="spellStart"/>
      <w:r w:rsidRPr="53D25083" w:rsidR="00DE61C3">
        <w:rPr>
          <w:i w:val="1"/>
          <w:iCs w:val="1"/>
        </w:rPr>
        <w:t>ioudaioi</w:t>
      </w:r>
      <w:proofErr w:type="spellEnd"/>
      <w:r w:rsidRPr="53D25083" w:rsidR="00DE61C3">
        <w:rPr>
          <w:i w:val="1"/>
          <w:iCs w:val="1"/>
        </w:rPr>
        <w:t xml:space="preserve">, </w:t>
      </w:r>
      <w:r w:rsidR="00DE61C3">
        <w:rPr/>
        <w:t xml:space="preserve">its meaning being changed </w:t>
      </w:r>
      <w:r w:rsidR="00C56D5D">
        <w:rPr/>
        <w:t xml:space="preserve">from meaning </w:t>
      </w:r>
      <w:r w:rsidR="5CB72E38">
        <w:rPr/>
        <w:t>‘</w:t>
      </w:r>
      <w:r w:rsidR="00C56D5D">
        <w:rPr/>
        <w:t>Jew</w:t>
      </w:r>
      <w:r w:rsidR="7D10724D">
        <w:rPr/>
        <w:t>’</w:t>
      </w:r>
      <w:r w:rsidR="00C56D5D">
        <w:rPr/>
        <w:t xml:space="preserve"> to meaning </w:t>
      </w:r>
      <w:r w:rsidR="7F2ECD3D">
        <w:rPr/>
        <w:t>‘</w:t>
      </w:r>
      <w:r w:rsidR="00C56D5D">
        <w:rPr/>
        <w:t>Judean</w:t>
      </w:r>
      <w:r w:rsidR="7A107AA9">
        <w:rPr/>
        <w:t>’</w:t>
      </w:r>
      <w:r w:rsidR="7447EF9E">
        <w:rPr/>
        <w:t xml:space="preserve"> which, according to </w:t>
      </w:r>
      <w:r w:rsidR="7706105E">
        <w:rPr/>
        <w:t>B</w:t>
      </w:r>
      <w:r w:rsidR="00C56D5D">
        <w:rPr/>
        <w:t>urns</w:t>
      </w:r>
      <w:r w:rsidR="199D383E">
        <w:rPr/>
        <w:t>,</w:t>
      </w:r>
      <w:r w:rsidR="00C56D5D">
        <w:rPr/>
        <w:t xml:space="preserve"> </w:t>
      </w:r>
      <w:r w:rsidR="269D95B1">
        <w:rPr/>
        <w:t xml:space="preserve">has </w:t>
      </w:r>
      <w:r w:rsidR="00C56D5D">
        <w:rPr/>
        <w:t xml:space="preserve">removed a lot of Jewish history and made Judeans </w:t>
      </w:r>
      <w:r w:rsidR="00051505">
        <w:rPr/>
        <w:t>susceptible</w:t>
      </w:r>
      <w:r w:rsidR="00C56D5D">
        <w:rPr/>
        <w:t xml:space="preserve"> to the ridicule that Jewish people </w:t>
      </w:r>
      <w:r w:rsidR="300B6303">
        <w:rPr/>
        <w:t xml:space="preserve">faced </w:t>
      </w:r>
      <w:r w:rsidR="00C56D5D">
        <w:rPr/>
        <w:t xml:space="preserve">at the time. </w:t>
      </w:r>
    </w:p>
    <w:p w:rsidR="00C56D5D" w:rsidRDefault="00C56D5D" w14:paraId="2994DF7A" w14:textId="7DBE6330">
      <w:r w:rsidR="00C56D5D">
        <w:rPr/>
        <w:t xml:space="preserve">Burns</w:t>
      </w:r>
      <w:r w:rsidR="2E51A158">
        <w:rPr/>
        <w:t xml:space="preserve"> mainly disagrees with the</w:t>
      </w:r>
      <w:r w:rsidR="00C56D5D">
        <w:rPr/>
        <w:t xml:space="preserve"> views of Steve Mason. </w:t>
      </w:r>
      <w:r w:rsidR="7BFC5E17">
        <w:rPr/>
        <w:t xml:space="preserve">He</w:t>
      </w:r>
      <w:r w:rsidR="00C56D5D">
        <w:rPr/>
        <w:t xml:space="preserve"> states that by “following the precedent of New Testament scholarship [which uses the new translation] [Mason] </w:t>
      </w:r>
      <w:r w:rsidRPr="00C56D5D" w:rsidR="00C56D5D">
        <w:rPr/>
        <w:t xml:space="preserve">opted to render the generations of </w:t>
      </w:r>
      <w:proofErr w:type="spellStart"/>
      <w:r w:rsidRPr="53D25083" w:rsidR="00C56D5D">
        <w:rPr>
          <w:i w:val="1"/>
          <w:iCs w:val="1"/>
        </w:rPr>
        <w:t>ioudaios</w:t>
      </w:r>
      <w:proofErr w:type="spellEnd"/>
      <w:r w:rsidRPr="53D25083" w:rsidR="00C56D5D">
        <w:rPr>
          <w:i w:val="1"/>
          <w:iCs w:val="1"/>
        </w:rPr>
        <w:t xml:space="preserve"> </w:t>
      </w:r>
      <w:r w:rsidRPr="00C56D5D" w:rsidR="00C56D5D">
        <w:rPr/>
        <w:t>documented by Josephus as Judeans, effectivity erasing every last Jew from the historian</w:t>
      </w:r>
      <w:r w:rsidRPr="00C56D5D" w:rsidR="00C56D5D">
        <w:rPr/>
        <w:t>s</w:t>
      </w:r>
      <w:r w:rsidRPr="00C56D5D" w:rsidR="336B63BA">
        <w:rPr/>
        <w:t>’</w:t>
      </w:r>
      <w:r w:rsidRPr="00C56D5D" w:rsidR="00C56D5D">
        <w:rPr/>
        <w:t xml:space="preserve"> work</w:t>
      </w:r>
      <w:r w:rsidRPr="00C56D5D" w:rsidR="289EBA71">
        <w:rPr/>
        <w:t>”.</w:t>
      </w:r>
      <w:r w:rsidR="00051505">
        <w:rPr>
          <w:rStyle w:val="FootnoteReference"/>
        </w:rPr>
        <w:footnoteReference w:id="8"/>
      </w:r>
      <w:r w:rsidR="00051505">
        <w:rPr/>
        <w:t xml:space="preserve"> From further evaluation of Masons arguments, it can be concluded that he is arguing that </w:t>
      </w:r>
      <w:proofErr w:type="spellStart"/>
      <w:r w:rsidRPr="53D25083" w:rsidR="00051505">
        <w:rPr>
          <w:i w:val="1"/>
          <w:iCs w:val="1"/>
        </w:rPr>
        <w:t>ioudaios</w:t>
      </w:r>
      <w:proofErr w:type="spellEnd"/>
      <w:r w:rsidRPr="53D25083" w:rsidR="00051505">
        <w:rPr>
          <w:i w:val="1"/>
          <w:iCs w:val="1"/>
        </w:rPr>
        <w:t xml:space="preserve"> </w:t>
      </w:r>
      <w:r w:rsidR="00051505">
        <w:rPr/>
        <w:t xml:space="preserve">would have been an identification of someone’s ethnic </w:t>
      </w:r>
      <w:r w:rsidR="7A1E3DBA">
        <w:rPr/>
        <w:t>background</w:t>
      </w:r>
      <w:r w:rsidR="00051505">
        <w:rPr/>
        <w:t>, that they were from Judean and not that they were Jewish</w:t>
      </w:r>
      <w:r w:rsidR="00051505">
        <w:rPr>
          <w:rStyle w:val="FootnoteReference"/>
        </w:rPr>
        <w:footnoteReference w:id="9"/>
      </w:r>
      <w:r w:rsidR="00051505">
        <w:rPr/>
        <w:t xml:space="preserve">. Mason states that “since the modern English “Jew” does not mean “of Judaea” as </w:t>
      </w:r>
      <w:proofErr w:type="spellStart"/>
      <w:r w:rsidR="00051505">
        <w:rPr/>
        <w:t>Ioudaios</w:t>
      </w:r>
      <w:proofErr w:type="spellEnd"/>
      <w:r w:rsidR="00051505">
        <w:rPr/>
        <w:t xml:space="preserve"> did, the ancient term is more faithfully rendered “Judaean”</w:t>
      </w:r>
      <w:r w:rsidR="11AF8834">
        <w:rPr/>
        <w:t xml:space="preserve">”.</w:t>
      </w:r>
      <w:r w:rsidR="00051505">
        <w:rPr>
          <w:rStyle w:val="FootnoteReference"/>
        </w:rPr>
        <w:footnoteReference w:id="10"/>
      </w:r>
      <w:r w:rsidR="00291A2B">
        <w:rPr/>
        <w:t xml:space="preserve"> </w:t>
      </w:r>
      <w:r w:rsidR="004706AD">
        <w:rPr/>
        <w:t xml:space="preserve">Burns strongly disagrees with this, and it seems as though </w:t>
      </w:r>
      <w:r w:rsidR="6B07A482">
        <w:rPr/>
        <w:t>his reasoning is</w:t>
      </w:r>
      <w:r w:rsidR="004706AD">
        <w:rPr/>
        <w:t xml:space="preserve"> valid. The changing of the definition does in fact change the perception of who</w:t>
      </w:r>
      <w:r w:rsidR="006E0C1A">
        <w:rPr/>
        <w:t xml:space="preserve">m </w:t>
      </w:r>
      <w:proofErr w:type="spellStart"/>
      <w:r w:rsidRPr="53D25083" w:rsidR="006E0C1A">
        <w:rPr>
          <w:i w:val="1"/>
          <w:iCs w:val="1"/>
        </w:rPr>
        <w:t>ioudaios</w:t>
      </w:r>
      <w:proofErr w:type="spellEnd"/>
      <w:r w:rsidR="006E0C1A">
        <w:rPr/>
        <w:t xml:space="preserve"> is referring to. This ultimately changes the whole narrative and history of the Jewish people and places it onto the people of Judean. Nevertheless, the original translation is not the definitive meaning, as 2 Maccabees “was never translated from Greek into Hebrew except in modern times for the Hebrew-speaking academic community of modern Israel”.</w:t>
      </w:r>
      <w:r w:rsidR="00E06422">
        <w:rPr>
          <w:rStyle w:val="FootnoteReference"/>
        </w:rPr>
        <w:footnoteReference w:id="11"/>
      </w:r>
      <w:r w:rsidR="006E0C1A">
        <w:rPr/>
        <w:t xml:space="preserve"> This overall means that the true meaning of words in the texts may have become distorted through numerous translations. </w:t>
      </w:r>
    </w:p>
    <w:p w:rsidR="00B209E4" w:rsidP="00B209E4" w:rsidRDefault="009241B8" w14:paraId="1925EF97" w14:textId="71F32A65">
      <w:r w:rsidR="009241B8">
        <w:rPr/>
        <w:t xml:space="preserve">Finally, Burns discusses </w:t>
      </w:r>
      <w:r w:rsidR="00F60207">
        <w:rPr/>
        <w:t>how Hellenization affected what it meant to be Jewish during 2 Maccabees. The common idea in the field is that Hellenization of the Jews caused a loss of Jewish culture and that 2 Maccabees was written f</w:t>
      </w:r>
      <w:r w:rsidR="11A6594D">
        <w:rPr/>
        <w:t>ro</w:t>
      </w:r>
      <w:r w:rsidR="00F60207">
        <w:rPr/>
        <w:t>m the perspective of Hellenized culture</w:t>
      </w:r>
      <w:r w:rsidR="0087063D">
        <w:rPr/>
        <w:t xml:space="preserve">. This is evident from the text</w:t>
      </w:r>
      <w:r w:rsidR="79BCB599">
        <w:rPr/>
        <w:t xml:space="preserve">’</w:t>
      </w:r>
      <w:r w:rsidR="0087063D">
        <w:rPr/>
        <w:t xml:space="preserve">s description of the attempts to reverse circumcision that </w:t>
      </w:r>
      <w:r w:rsidR="046ED509">
        <w:rPr/>
        <w:t xml:space="preserve">is</w:t>
      </w:r>
      <w:r w:rsidR="0087063D">
        <w:rPr/>
        <w:t xml:space="preserve"> seen in 1 Maccabees (1:15), as “2 </w:t>
      </w:r>
      <w:r w:rsidR="009657BB">
        <w:rPr/>
        <w:t>Maccabees</w:t>
      </w:r>
      <w:r w:rsidR="0087063D">
        <w:rPr/>
        <w:t xml:space="preserve"> does not mention the attempt to reverse circumcision”</w:t>
      </w:r>
      <w:r w:rsidR="009657BB">
        <w:rPr>
          <w:rStyle w:val="FootnoteReference"/>
        </w:rPr>
        <w:footnoteReference w:id="12"/>
      </w:r>
      <w:r w:rsidR="0087063D">
        <w:rPr/>
        <w:t xml:space="preserve"> and therefore “the failure to mention such behaviour sternly suggests that 2 Maccabees did not believe it had taken place”</w:t>
      </w:r>
      <w:r w:rsidR="009657BB">
        <w:rPr/>
        <w:t>.</w:t>
      </w:r>
      <w:r w:rsidR="009657BB">
        <w:rPr>
          <w:rStyle w:val="FootnoteReference"/>
        </w:rPr>
        <w:footnoteReference w:id="13"/>
      </w:r>
      <w:r w:rsidR="00B209E4">
        <w:rPr/>
        <w:t xml:space="preserve"> However, Burns believes that “</w:t>
      </w:r>
      <w:r w:rsidRPr="00B209E4" w:rsidR="00B209E4">
        <w:rPr/>
        <w:t>the author meant to present Judaism and Hellenism not as opposing lifestyles but, rather, as two of a kind</w:t>
      </w:r>
      <w:r w:rsidR="00B209E4">
        <w:rPr/>
        <w:t>”</w:t>
      </w:r>
      <w:r w:rsidR="00B209E4">
        <w:rPr>
          <w:rStyle w:val="FootnoteReference"/>
        </w:rPr>
        <w:footnoteReference w:id="14"/>
      </w:r>
      <w:r w:rsidR="00B209E4">
        <w:rPr/>
        <w:t>. The view that Burns holds is one that is not wi</w:t>
      </w:r>
      <w:r w:rsidR="4B0D036E">
        <w:rPr/>
        <w:t>dely</w:t>
      </w:r>
      <w:r w:rsidR="00B209E4">
        <w:rPr/>
        <w:t xml:space="preserve"> acknowledged, and it is evident to see why, even from a</w:t>
      </w:r>
      <w:r w:rsidR="3028D530">
        <w:rPr/>
        <w:t xml:space="preserve"> superficial</w:t>
      </w:r>
      <w:r w:rsidR="00B209E4">
        <w:rPr/>
        <w:t xml:space="preserve"> analysis of 2 Maccabees. Burns also states that the author of 2 Maccabees is attempting to balance the</w:t>
      </w:r>
      <w:r w:rsidRPr="00B209E4" w:rsidR="00B209E4">
        <w:rPr/>
        <w:t xml:space="preserve"> </w:t>
      </w:r>
      <w:r w:rsidR="00B209E4">
        <w:rPr/>
        <w:t>“</w:t>
      </w:r>
      <w:r w:rsidRPr="00B209E4" w:rsidR="00B209E4">
        <w:rPr/>
        <w:t xml:space="preserve">traditional values </w:t>
      </w:r>
      <w:r w:rsidR="00B209E4">
        <w:rPr/>
        <w:t xml:space="preserve">[of Judaism] </w:t>
      </w:r>
      <w:r w:rsidRPr="00B209E4" w:rsidR="00B209E4">
        <w:rPr/>
        <w:t>with the values and the culture of his Hellenized environment</w:t>
      </w:r>
      <w:r w:rsidR="00B209E4">
        <w:rPr/>
        <w:t>”</w:t>
      </w:r>
      <w:r w:rsidR="00B209E4">
        <w:rPr>
          <w:rStyle w:val="FootnoteReference"/>
        </w:rPr>
        <w:footnoteReference w:id="15"/>
      </w:r>
      <w:r w:rsidR="00B209E4">
        <w:rPr/>
        <w:t xml:space="preserve">, when in fact Greek culture was attempting to remove Jewish culture through Hellenization, </w:t>
      </w:r>
      <w:r w:rsidR="7B45BB4D">
        <w:rPr/>
        <w:t xml:space="preserve">which </w:t>
      </w:r>
      <w:r w:rsidR="00B209E4">
        <w:rPr/>
        <w:t xml:space="preserve">resulted in a great divide between people. </w:t>
      </w:r>
    </w:p>
    <w:p w:rsidRPr="00B209E4" w:rsidR="00937FC8" w:rsidP="00B209E4" w:rsidRDefault="00937FC8" w14:paraId="5AA5115B" w14:textId="186E5C04">
      <w:r w:rsidR="00937FC8">
        <w:rPr/>
        <w:t>To conclude, although the article does not set out</w:t>
      </w:r>
      <w:r w:rsidR="27BEAD19">
        <w:rPr/>
        <w:t xml:space="preserve"> to do what the title implies</w:t>
      </w:r>
      <w:r w:rsidR="00937FC8">
        <w:rPr/>
        <w:t xml:space="preserve">, the points in which Burns has made are </w:t>
      </w:r>
      <w:r w:rsidR="3614FE2F">
        <w:rPr/>
        <w:t>valid</w:t>
      </w:r>
      <w:r w:rsidR="00937FC8">
        <w:rPr/>
        <w:t xml:space="preserve">. The comments he makes on the use of masculine words to describe women were interesting, as it reflected the history of 2 Maccabees and adds </w:t>
      </w:r>
      <w:r w:rsidR="29EEF4F9">
        <w:rPr/>
        <w:t xml:space="preserve">to </w:t>
      </w:r>
      <w:r w:rsidR="7E8F8260">
        <w:rPr/>
        <w:t xml:space="preserve">the </w:t>
      </w:r>
      <w:r w:rsidR="29EEF4F9">
        <w:rPr/>
        <w:t>wider understanding</w:t>
      </w:r>
      <w:r w:rsidR="00937FC8">
        <w:rPr/>
        <w:t xml:space="preserve"> that many women may have been </w:t>
      </w:r>
      <w:r w:rsidR="50D45DC4">
        <w:rPr/>
        <w:t>included in the  text without having been explicitly referred to as women.</w:t>
      </w:r>
      <w:r w:rsidR="00937FC8">
        <w:rPr/>
        <w:t xml:space="preserve"> However, some of Burns</w:t>
      </w:r>
      <w:r w:rsidR="5E3778C2">
        <w:rPr/>
        <w:t>’</w:t>
      </w:r>
      <w:r w:rsidR="00937FC8">
        <w:rPr/>
        <w:t xml:space="preserve"> points about Hellenization </w:t>
      </w:r>
      <w:proofErr w:type="gramStart"/>
      <w:r w:rsidR="00937FC8">
        <w:rPr/>
        <w:t>can be seen as</w:t>
      </w:r>
      <w:proofErr w:type="gramEnd"/>
      <w:r w:rsidR="00937FC8">
        <w:rPr/>
        <w:t xml:space="preserve"> dismissive of the fact that a lot of Jewish culture was lost through Hellenization and attemp</w:t>
      </w:r>
      <w:r w:rsidR="5C3CF94A">
        <w:rPr/>
        <w:t>ts</w:t>
      </w:r>
      <w:r w:rsidR="00937FC8">
        <w:rPr/>
        <w:t xml:space="preserve"> to reverse circumcisions did happen. Furthermore, he </w:t>
      </w:r>
      <w:r w:rsidR="00071952">
        <w:rPr/>
        <w:t>fails</w:t>
      </w:r>
      <w:r w:rsidR="00937FC8">
        <w:rPr/>
        <w:t xml:space="preserve"> to </w:t>
      </w:r>
      <w:r w:rsidR="00071952">
        <w:rPr/>
        <w:t>acknowledge</w:t>
      </w:r>
      <w:r w:rsidR="00937FC8">
        <w:rPr/>
        <w:t xml:space="preserve"> that the author was writing from a location that had been Hellenized and would therefore most likely not speak ill of its culture. Overall,</w:t>
      </w:r>
      <w:r w:rsidR="7522BA04">
        <w:rPr/>
        <w:t xml:space="preserve"> although</w:t>
      </w:r>
      <w:r w:rsidR="00937FC8">
        <w:rPr/>
        <w:t xml:space="preserve"> the ar</w:t>
      </w:r>
      <w:r w:rsidR="00071952">
        <w:rPr/>
        <w:t>ticle does not go into great depth about topic</w:t>
      </w:r>
      <w:r w:rsidR="650849F6">
        <w:rPr/>
        <w:t>s</w:t>
      </w:r>
      <w:r w:rsidR="00071952">
        <w:rPr/>
        <w:t xml:space="preserve"> such as gendered language, </w:t>
      </w:r>
      <w:r w:rsidR="63CE4367">
        <w:rPr/>
        <w:t>as implied by the title</w:t>
      </w:r>
      <w:r w:rsidR="00071952">
        <w:rPr/>
        <w:t xml:space="preserve">, </w:t>
      </w:r>
      <w:r w:rsidR="0C133303">
        <w:rPr/>
        <w:t>Burns</w:t>
      </w:r>
      <w:r w:rsidR="00071952">
        <w:rPr/>
        <w:t xml:space="preserve"> </w:t>
      </w:r>
      <w:r w:rsidR="1422D802">
        <w:rPr/>
        <w:t xml:space="preserve">nonetheless </w:t>
      </w:r>
      <w:r w:rsidR="00071952">
        <w:rPr/>
        <w:t>provide</w:t>
      </w:r>
      <w:r w:rsidR="516138AF">
        <w:rPr/>
        <w:t>s</w:t>
      </w:r>
      <w:r w:rsidR="00071952">
        <w:rPr/>
        <w:t xml:space="preserve"> some context and history to 2 Maccabees. </w:t>
      </w:r>
    </w:p>
    <w:p w:rsidR="009241B8" w:rsidRDefault="009241B8" w14:paraId="0E83EB7E" w14:textId="6D152978"/>
    <w:p w:rsidR="002956B0" w:rsidRDefault="002956B0" w14:paraId="5FE4D5B4" w14:textId="68E756FF"/>
    <w:p w:rsidR="002956B0" w:rsidRDefault="002956B0" w14:paraId="0E01511A" w14:textId="63910B77"/>
    <w:p w:rsidR="002956B0" w:rsidRDefault="002956B0" w14:paraId="4E71B6D6" w14:textId="7B800B14"/>
    <w:p w:rsidR="002956B0" w:rsidRDefault="002956B0" w14:paraId="7A35E836" w14:textId="011A59D4"/>
    <w:p w:rsidR="002956B0" w:rsidRDefault="002956B0" w14:paraId="6AF4D761" w14:textId="4DF79B60"/>
    <w:p w:rsidRPr="002956B0" w:rsidR="002956B0" w:rsidRDefault="002956B0" w14:paraId="2F108FE9" w14:textId="2E9DA4BA">
      <w:pPr>
        <w:rPr>
          <w:sz w:val="28"/>
          <w:szCs w:val="28"/>
        </w:rPr>
      </w:pPr>
      <w:r w:rsidRPr="002956B0">
        <w:rPr>
          <w:sz w:val="28"/>
          <w:szCs w:val="28"/>
        </w:rPr>
        <w:t xml:space="preserve">Bibliography </w:t>
      </w:r>
    </w:p>
    <w:p w:rsidRPr="002956B0" w:rsidR="002956B0" w:rsidP="002956B0" w:rsidRDefault="002956B0" w14:paraId="03C7AB30" w14:textId="77777777">
      <w:r w:rsidRPr="002956B0">
        <w:t>Burns, Joshua Ezra. 2018. “Gendered Language and the Construction of Jewish Identity in 2 Maccabees,” </w:t>
      </w:r>
      <w:r w:rsidRPr="002956B0">
        <w:rPr>
          <w:i/>
          <w:iCs/>
        </w:rPr>
        <w:t>Journal of Jewish Identities</w:t>
      </w:r>
      <w:r w:rsidRPr="002956B0">
        <w:t>, 11.1: 107–22 &lt;https://doi.org/10.1353/jji.2018.0009&gt;</w:t>
      </w:r>
    </w:p>
    <w:p w:rsidRPr="002956B0" w:rsidR="002956B0" w:rsidP="002956B0" w:rsidRDefault="002956B0" w14:paraId="1DFEFDC6" w14:textId="77777777">
      <w:r w:rsidRPr="002956B0">
        <w:t>Himmelfarb, Martha. 1998. “Judaism and Hellenism in 2 Maccabees,” </w:t>
      </w:r>
      <w:r w:rsidRPr="002956B0">
        <w:rPr>
          <w:i/>
          <w:iCs/>
        </w:rPr>
        <w:t>Poetics Today</w:t>
      </w:r>
      <w:r w:rsidRPr="002956B0">
        <w:t>, 19.1: 25 &lt;https://doi.org/10.2307/1773110&gt;</w:t>
      </w:r>
    </w:p>
    <w:p w:rsidRPr="002956B0" w:rsidR="002956B0" w:rsidP="002956B0" w:rsidRDefault="002956B0" w14:paraId="5A5A4448" w14:textId="77777777">
      <w:r w:rsidRPr="002956B0">
        <w:t>Kohn, Daniel. 2009. </w:t>
      </w:r>
      <w:r w:rsidRPr="002956B0">
        <w:rPr>
          <w:i/>
          <w:iCs/>
        </w:rPr>
        <w:t>Jewish FAQs: An Internet Rabbis Answers to Frequently Asked Questions about Judaism</w:t>
      </w:r>
      <w:r w:rsidRPr="002956B0">
        <w:t> (United States in America: Xlibris Cooperation), p. 181</w:t>
      </w:r>
    </w:p>
    <w:p w:rsidRPr="002956B0" w:rsidR="002956B0" w:rsidP="002956B0" w:rsidRDefault="002956B0" w14:paraId="53FA7691" w14:textId="4A658B8B">
      <w:r w:rsidRPr="002956B0">
        <w:t>Kraemer, Ross Shepard (ed.). 2004. </w:t>
      </w:r>
      <w:r w:rsidRPr="002956B0">
        <w:rPr>
          <w:i/>
          <w:iCs/>
        </w:rPr>
        <w:t>Women Religions in the Greco-Roman World: A Sourcebook</w:t>
      </w:r>
      <w:r w:rsidRPr="002956B0">
        <w:t> (New York: Oxford University Press), p. 332</w:t>
      </w:r>
    </w:p>
    <w:p w:rsidRPr="002956B0" w:rsidR="002956B0" w:rsidP="002956B0" w:rsidRDefault="002956B0" w14:paraId="4AA36E8B" w14:textId="77777777">
      <w:r w:rsidRPr="002956B0">
        <w:t>Mason, Steve. 2007. “Jews, Judaeans, Judaizing, Judaism: Problems of Categorization in Ancient History,” </w:t>
      </w:r>
      <w:r w:rsidRPr="002956B0">
        <w:rPr>
          <w:i/>
          <w:iCs/>
        </w:rPr>
        <w:t>Journal for the Study of Judaism</w:t>
      </w:r>
      <w:r w:rsidRPr="002956B0">
        <w:t>, 38.4–5: 457–512 &lt;https://doi.org/10.1163/156851507x193108&gt;</w:t>
      </w:r>
    </w:p>
    <w:p w:rsidRPr="002956B0" w:rsidR="002956B0" w:rsidP="002956B0" w:rsidRDefault="002956B0" w14:paraId="7AD4AA7A" w14:textId="77777777">
      <w:r w:rsidRPr="002956B0">
        <w:rPr>
          <w:rFonts w:ascii="Arial" w:hAnsi="Arial" w:cs="Arial"/>
        </w:rPr>
        <w:t>‌</w:t>
      </w:r>
    </w:p>
    <w:p w:rsidRPr="006E0C1A" w:rsidR="002956B0" w:rsidRDefault="002956B0" w14:paraId="70C550B4" w14:textId="77777777"/>
    <w:sectPr w:rsidRPr="006E0C1A" w:rsidR="002956B0">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E57E6" w:rsidP="00D555C0" w:rsidRDefault="006E57E6" w14:paraId="530D4CB9" w14:textId="77777777">
      <w:pPr>
        <w:spacing w:after="0" w:line="240" w:lineRule="auto"/>
      </w:pPr>
      <w:r>
        <w:separator/>
      </w:r>
    </w:p>
  </w:endnote>
  <w:endnote w:type="continuationSeparator" w:id="0">
    <w:p w:rsidR="006E57E6" w:rsidP="00D555C0" w:rsidRDefault="006E57E6" w14:paraId="3C834A7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E57E6" w:rsidP="00D555C0" w:rsidRDefault="006E57E6" w14:paraId="5BEB98C7" w14:textId="77777777">
      <w:pPr>
        <w:spacing w:after="0" w:line="240" w:lineRule="auto"/>
      </w:pPr>
      <w:r>
        <w:separator/>
      </w:r>
    </w:p>
  </w:footnote>
  <w:footnote w:type="continuationSeparator" w:id="0">
    <w:p w:rsidR="006E57E6" w:rsidP="00D555C0" w:rsidRDefault="006E57E6" w14:paraId="53E20BCA" w14:textId="77777777">
      <w:pPr>
        <w:spacing w:after="0" w:line="240" w:lineRule="auto"/>
      </w:pPr>
      <w:r>
        <w:continuationSeparator/>
      </w:r>
    </w:p>
  </w:footnote>
  <w:footnote w:id="1">
    <w:p w:rsidR="00291A2B" w:rsidP="00467A95" w:rsidRDefault="00291A2B" w14:paraId="7A7A2F18" w14:textId="77777777">
      <w:pPr>
        <w:pStyle w:val="FootnoteText"/>
      </w:pPr>
      <w:r>
        <w:rPr>
          <w:rStyle w:val="FootnoteReference"/>
        </w:rPr>
        <w:footnoteRef/>
      </w:r>
      <w:r>
        <w:t xml:space="preserve"> </w:t>
      </w:r>
      <w:bookmarkStart w:name="_Hlk41664536" w:id="0"/>
      <w:r w:rsidRPr="00D555C0">
        <w:t>Joshua Ezra</w:t>
      </w:r>
      <w:r>
        <w:t xml:space="preserve"> Burns</w:t>
      </w:r>
      <w:r w:rsidRPr="00D555C0">
        <w:t>. 2018. “Gendered Language and the Construction of Jewish Identity in 2 Maccabees,” </w:t>
      </w:r>
      <w:r w:rsidRPr="00D555C0">
        <w:rPr>
          <w:i/>
          <w:iCs/>
        </w:rPr>
        <w:t>Journal of Jewish Identities</w:t>
      </w:r>
      <w:r w:rsidRPr="00D555C0">
        <w:t>, 11.1: 107–22 &lt;https://doi.org/10.1353/jji.2018.0009&gt;</w:t>
      </w:r>
    </w:p>
    <w:bookmarkEnd w:id="0"/>
  </w:footnote>
  <w:footnote w:id="2">
    <w:p w:rsidR="00291A2B" w:rsidP="00467A95" w:rsidRDefault="00291A2B" w14:paraId="3C6DA40E" w14:textId="77777777">
      <w:pPr>
        <w:pStyle w:val="FootnoteText"/>
      </w:pPr>
      <w:r>
        <w:rPr>
          <w:rStyle w:val="FootnoteReference"/>
        </w:rPr>
        <w:footnoteRef/>
      </w:r>
      <w:r w:rsidR="53D25083">
        <w:rPr/>
        <w:t xml:space="preserve">IBID</w:t>
      </w:r>
    </w:p>
  </w:footnote>
  <w:footnote w:id="3">
    <w:p w:rsidR="00291A2B" w:rsidRDefault="00291A2B" w14:paraId="1F9B3789" w14:textId="1BD9BA27">
      <w:pPr>
        <w:pStyle w:val="FootnoteText"/>
      </w:pPr>
      <w:r>
        <w:rPr>
          <w:rStyle w:val="FootnoteReference"/>
        </w:rPr>
        <w:footnoteRef/>
      </w:r>
      <w:r>
        <w:t xml:space="preserve"> IBID</w:t>
      </w:r>
    </w:p>
  </w:footnote>
  <w:footnote w:id="4">
    <w:p w:rsidR="00291A2B" w:rsidRDefault="00291A2B" w14:paraId="36775FCB" w14:textId="27C06465">
      <w:pPr>
        <w:pStyle w:val="FootnoteText"/>
      </w:pPr>
      <w:r>
        <w:rPr>
          <w:rStyle w:val="FootnoteReference"/>
        </w:rPr>
        <w:footnoteRef/>
      </w:r>
      <w:r>
        <w:t xml:space="preserve"> IBID</w:t>
      </w:r>
    </w:p>
  </w:footnote>
  <w:footnote w:id="5">
    <w:p w:rsidR="00291A2B" w:rsidRDefault="00291A2B" w14:paraId="58BB70E1" w14:textId="5BB45C5B">
      <w:pPr>
        <w:pStyle w:val="FootnoteText"/>
      </w:pPr>
      <w:r>
        <w:rPr>
          <w:rStyle w:val="FootnoteReference"/>
        </w:rPr>
        <w:footnoteRef/>
      </w:r>
      <w:r w:rsidRPr="00AF6679" w:rsidR="53D25083">
        <w:rPr/>
        <w:t xml:space="preserve">Ross Shepard </w:t>
      </w:r>
      <w:r w:rsidR="53D25083">
        <w:rPr/>
        <w:t xml:space="preserve">Kraemer </w:t>
      </w:r>
      <w:r w:rsidRPr="00AF6679" w:rsidR="53D25083">
        <w:rPr/>
        <w:t>(ed.). 2004. </w:t>
      </w:r>
      <w:r w:rsidRPr="53D25083" w:rsidR="53D25083">
        <w:rPr>
          <w:i w:val="1"/>
          <w:iCs w:val="1"/>
        </w:rPr>
        <w:t>Women Religions in the Greco-Roman World: A Sourcebook</w:t>
      </w:r>
      <w:r w:rsidRPr="00AF6679" w:rsidR="53D25083">
        <w:rPr/>
        <w:t> (New York: Oxford University Press), p. 332</w:t>
      </w:r>
    </w:p>
  </w:footnote>
  <w:footnote w:id="6">
    <w:p w:rsidR="00291A2B" w:rsidRDefault="00291A2B" w14:paraId="2AA75701" w14:textId="03F95842">
      <w:pPr>
        <w:pStyle w:val="FootnoteText"/>
      </w:pPr>
      <w:r>
        <w:rPr>
          <w:rStyle w:val="FootnoteReference"/>
        </w:rPr>
        <w:footnoteRef/>
      </w:r>
      <w:r>
        <w:t xml:space="preserve"> </w:t>
      </w:r>
      <w:bookmarkStart w:name="_Hlk41820856" w:id="2"/>
      <w:r w:rsidRPr="00D555C0">
        <w:t>Joshua Ezra</w:t>
      </w:r>
      <w:r>
        <w:t xml:space="preserve"> Burns</w:t>
      </w:r>
      <w:r w:rsidRPr="00D555C0">
        <w:t>. 2018. “Gendered Language and the Construction of Jewish Identity in 2 Maccabees,” </w:t>
      </w:r>
      <w:r w:rsidRPr="00D555C0">
        <w:rPr>
          <w:i/>
          <w:iCs/>
        </w:rPr>
        <w:t>Journal of Jewish Identities</w:t>
      </w:r>
      <w:r w:rsidRPr="00D555C0">
        <w:t>, 11.1: 107–22 &lt;https://doi.org/10.1353/jji.2018.0009&gt;</w:t>
      </w:r>
    </w:p>
    <w:bookmarkEnd w:id="2"/>
  </w:footnote>
  <w:footnote w:id="7">
    <w:p w:rsidR="00291A2B" w:rsidRDefault="00291A2B" w14:paraId="6BF89C4B" w14:textId="2471C74A">
      <w:pPr>
        <w:pStyle w:val="FootnoteText"/>
      </w:pPr>
      <w:r>
        <w:rPr>
          <w:rStyle w:val="FootnoteReference"/>
        </w:rPr>
        <w:footnoteRef/>
      </w:r>
      <w:r>
        <w:t xml:space="preserve"> IBID</w:t>
      </w:r>
    </w:p>
  </w:footnote>
  <w:footnote w:id="8">
    <w:p w:rsidR="00291A2B" w:rsidRDefault="00291A2B" w14:paraId="01160DE6" w14:textId="4E80FD15">
      <w:pPr>
        <w:pStyle w:val="FootnoteText"/>
      </w:pPr>
      <w:r>
        <w:rPr>
          <w:rStyle w:val="FootnoteReference"/>
        </w:rPr>
        <w:footnoteRef/>
      </w:r>
      <w:r>
        <w:t xml:space="preserve"> IBID</w:t>
      </w:r>
    </w:p>
  </w:footnote>
  <w:footnote w:id="9">
    <w:p w:rsidR="00291A2B" w:rsidRDefault="00291A2B" w14:paraId="3CD3F963" w14:textId="4B798FA7">
      <w:pPr>
        <w:pStyle w:val="FootnoteText"/>
      </w:pPr>
      <w:r>
        <w:rPr>
          <w:rStyle w:val="FootnoteReference"/>
        </w:rPr>
        <w:footnoteRef/>
      </w:r>
      <w:r>
        <w:t xml:space="preserve"> </w:t>
      </w:r>
      <w:r w:rsidRPr="00051505">
        <w:t>Steve</w:t>
      </w:r>
      <w:r w:rsidR="00B209E4">
        <w:t xml:space="preserve"> Mason</w:t>
      </w:r>
      <w:r w:rsidRPr="00051505">
        <w:t>. 2007. “Jews, Judaeans, Judaizing, Judaism: Problems of Categorization in Ancient History,” </w:t>
      </w:r>
      <w:r w:rsidRPr="00051505">
        <w:rPr>
          <w:i/>
          <w:iCs/>
        </w:rPr>
        <w:t>Journal for the Study of Judaism</w:t>
      </w:r>
      <w:r w:rsidRPr="00051505">
        <w:t>, 38.4–5: 457–512 &lt;https://doi.org/10.1163/156851507x193108&gt;</w:t>
      </w:r>
    </w:p>
  </w:footnote>
  <w:footnote w:id="10">
    <w:p w:rsidR="00291A2B" w:rsidRDefault="00291A2B" w14:paraId="387A7985" w14:textId="4568ACA7">
      <w:pPr>
        <w:pStyle w:val="FootnoteText"/>
      </w:pPr>
      <w:r>
        <w:rPr>
          <w:rStyle w:val="FootnoteReference"/>
        </w:rPr>
        <w:footnoteRef/>
      </w:r>
      <w:r>
        <w:t xml:space="preserve"> IBID. p.489.</w:t>
      </w:r>
    </w:p>
  </w:footnote>
  <w:footnote w:id="11">
    <w:p w:rsidRPr="00E06422" w:rsidR="00E06422" w:rsidP="00E06422" w:rsidRDefault="00E06422" w14:paraId="0D1FABB5" w14:textId="6317A7C9">
      <w:pPr>
        <w:pStyle w:val="FootnoteText"/>
      </w:pPr>
      <w:r>
        <w:rPr>
          <w:rStyle w:val="FootnoteReference"/>
        </w:rPr>
        <w:footnoteRef/>
      </w:r>
      <w:r>
        <w:t xml:space="preserve"> </w:t>
      </w:r>
      <w:r w:rsidRPr="00E06422">
        <w:t>Daniel</w:t>
      </w:r>
      <w:r w:rsidR="00B209E4">
        <w:t xml:space="preserve"> Kohn</w:t>
      </w:r>
      <w:r w:rsidRPr="00E06422">
        <w:t>. 2009. </w:t>
      </w:r>
      <w:r w:rsidRPr="00E06422">
        <w:rPr>
          <w:i/>
          <w:iCs/>
        </w:rPr>
        <w:t>Jewish FAQs: An Internet Rabbis Answers to Frequently Asked Questions about Judaism</w:t>
      </w:r>
      <w:r w:rsidRPr="00E06422">
        <w:t> (United States in America: Xlibris Cooperation), p. 181</w:t>
      </w:r>
    </w:p>
    <w:p w:rsidRPr="00E06422" w:rsidR="00E06422" w:rsidP="00E06422" w:rsidRDefault="00E06422" w14:paraId="130AEF16" w14:textId="77777777">
      <w:pPr>
        <w:pStyle w:val="FootnoteText"/>
      </w:pPr>
      <w:r w:rsidRPr="00E06422">
        <w:rPr>
          <w:rFonts w:ascii="Arial" w:hAnsi="Arial" w:cs="Arial"/>
        </w:rPr>
        <w:t>‌</w:t>
      </w:r>
    </w:p>
    <w:p w:rsidR="00E06422" w:rsidRDefault="00E06422" w14:paraId="415CB7EF" w14:textId="2582D88A">
      <w:pPr>
        <w:pStyle w:val="FootnoteText"/>
      </w:pPr>
    </w:p>
  </w:footnote>
  <w:footnote w:id="12">
    <w:p w:rsidR="009657BB" w:rsidRDefault="009657BB" w14:paraId="0E5DE9AF" w14:textId="16ABFD63">
      <w:pPr>
        <w:pStyle w:val="FootnoteText"/>
      </w:pPr>
      <w:r>
        <w:rPr>
          <w:rStyle w:val="FootnoteReference"/>
        </w:rPr>
        <w:footnoteRef/>
      </w:r>
      <w:r>
        <w:t xml:space="preserve"> </w:t>
      </w:r>
      <w:r w:rsidRPr="009657BB">
        <w:t>Martha</w:t>
      </w:r>
      <w:r>
        <w:t xml:space="preserve"> Himmelfarb</w:t>
      </w:r>
      <w:r w:rsidRPr="009657BB">
        <w:t>. 1998. “Judaism and Hellenism in 2 Maccabees,” </w:t>
      </w:r>
      <w:r w:rsidRPr="009657BB">
        <w:rPr>
          <w:i/>
          <w:iCs/>
        </w:rPr>
        <w:t>Poetics Today</w:t>
      </w:r>
      <w:r w:rsidRPr="009657BB">
        <w:t>, 19.1: 25 &lt;https://doi.org/10.2307/1773110&gt;</w:t>
      </w:r>
    </w:p>
  </w:footnote>
  <w:footnote w:id="13">
    <w:p w:rsidR="009657BB" w:rsidRDefault="009657BB" w14:paraId="2DD5C9A0" w14:textId="0CDA031C">
      <w:pPr>
        <w:pStyle w:val="FootnoteText"/>
      </w:pPr>
      <w:r>
        <w:rPr>
          <w:rStyle w:val="FootnoteReference"/>
        </w:rPr>
        <w:footnoteRef/>
      </w:r>
      <w:r>
        <w:t xml:space="preserve"> IBID</w:t>
      </w:r>
    </w:p>
  </w:footnote>
  <w:footnote w:id="14">
    <w:p w:rsidR="00B209E4" w:rsidRDefault="00B209E4" w14:paraId="13CF4851" w14:textId="007DDBE1">
      <w:pPr>
        <w:pStyle w:val="FootnoteText"/>
      </w:pPr>
      <w:r>
        <w:rPr>
          <w:rStyle w:val="FootnoteReference"/>
        </w:rPr>
        <w:footnoteRef/>
      </w:r>
      <w:r>
        <w:t xml:space="preserve"> </w:t>
      </w:r>
      <w:r w:rsidRPr="00D555C0">
        <w:t>Joshua Ezra</w:t>
      </w:r>
      <w:r>
        <w:t xml:space="preserve"> Burns</w:t>
      </w:r>
      <w:r w:rsidRPr="00D555C0">
        <w:t>. 2018. “Gendered Language and the Construction of Jewish Identity in 2 Maccabees,” </w:t>
      </w:r>
      <w:r w:rsidRPr="00D555C0">
        <w:rPr>
          <w:i/>
          <w:iCs/>
        </w:rPr>
        <w:t>Journal of Jewish Identities</w:t>
      </w:r>
      <w:r w:rsidRPr="00D555C0">
        <w:t>, 11.1: 107–22 &lt;https://doi.org/10.1353/jji.2018.0009&gt;</w:t>
      </w:r>
    </w:p>
  </w:footnote>
  <w:footnote w:id="15">
    <w:p w:rsidR="00B209E4" w:rsidRDefault="00B209E4" w14:paraId="3BADBC0A" w14:textId="5DB46994">
      <w:pPr>
        <w:pStyle w:val="FootnoteText"/>
      </w:pPr>
      <w:r>
        <w:rPr>
          <w:rStyle w:val="FootnoteReference"/>
        </w:rPr>
        <w:footnoteRef/>
      </w:r>
      <w:r>
        <w:t xml:space="preserve"> IBID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643DAF"/>
    <w:multiLevelType w:val="hybridMultilevel"/>
    <w:tmpl w:val="BF6AC01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3EF"/>
    <w:rsid w:val="00051505"/>
    <w:rsid w:val="00071952"/>
    <w:rsid w:val="000F2237"/>
    <w:rsid w:val="001E7F3E"/>
    <w:rsid w:val="00291A2B"/>
    <w:rsid w:val="002956B0"/>
    <w:rsid w:val="00467A95"/>
    <w:rsid w:val="004706AD"/>
    <w:rsid w:val="0056638F"/>
    <w:rsid w:val="006E0C1A"/>
    <w:rsid w:val="006E57E6"/>
    <w:rsid w:val="00772D2A"/>
    <w:rsid w:val="007B6BB2"/>
    <w:rsid w:val="0087063D"/>
    <w:rsid w:val="008D63EF"/>
    <w:rsid w:val="008F7453"/>
    <w:rsid w:val="009241B8"/>
    <w:rsid w:val="00937FC8"/>
    <w:rsid w:val="009657BB"/>
    <w:rsid w:val="00AB3012"/>
    <w:rsid w:val="00AF6679"/>
    <w:rsid w:val="00B209E4"/>
    <w:rsid w:val="00C56D5D"/>
    <w:rsid w:val="00D555C0"/>
    <w:rsid w:val="00D85CE7"/>
    <w:rsid w:val="00DB523E"/>
    <w:rsid w:val="00DE61C3"/>
    <w:rsid w:val="00E06422"/>
    <w:rsid w:val="00E47C10"/>
    <w:rsid w:val="00ED3571"/>
    <w:rsid w:val="00F60207"/>
    <w:rsid w:val="00FA7FEF"/>
    <w:rsid w:val="02FE4238"/>
    <w:rsid w:val="030AF5DF"/>
    <w:rsid w:val="035592C1"/>
    <w:rsid w:val="046ED509"/>
    <w:rsid w:val="0597C31C"/>
    <w:rsid w:val="06E34FBD"/>
    <w:rsid w:val="06F7CE68"/>
    <w:rsid w:val="073C838E"/>
    <w:rsid w:val="0763E8D4"/>
    <w:rsid w:val="085D53DC"/>
    <w:rsid w:val="09165EA3"/>
    <w:rsid w:val="093AD285"/>
    <w:rsid w:val="09CB6602"/>
    <w:rsid w:val="0A04A54D"/>
    <w:rsid w:val="0A1A9CEB"/>
    <w:rsid w:val="0A4FFCCA"/>
    <w:rsid w:val="0BE528FB"/>
    <w:rsid w:val="0C0EE6C7"/>
    <w:rsid w:val="0C133303"/>
    <w:rsid w:val="0C81535D"/>
    <w:rsid w:val="0D911DFA"/>
    <w:rsid w:val="0E38D506"/>
    <w:rsid w:val="0ED44A83"/>
    <w:rsid w:val="1032EEBF"/>
    <w:rsid w:val="11A6594D"/>
    <w:rsid w:val="11AF8834"/>
    <w:rsid w:val="1230079C"/>
    <w:rsid w:val="12B5F8EF"/>
    <w:rsid w:val="13649713"/>
    <w:rsid w:val="1422D802"/>
    <w:rsid w:val="15C27695"/>
    <w:rsid w:val="160C9936"/>
    <w:rsid w:val="163B9DF3"/>
    <w:rsid w:val="16634558"/>
    <w:rsid w:val="16B08223"/>
    <w:rsid w:val="172EAD0B"/>
    <w:rsid w:val="199D383E"/>
    <w:rsid w:val="1A1436D7"/>
    <w:rsid w:val="1A3FB355"/>
    <w:rsid w:val="1A9E4180"/>
    <w:rsid w:val="1AA93C8B"/>
    <w:rsid w:val="1AB3C042"/>
    <w:rsid w:val="1ADAC719"/>
    <w:rsid w:val="1AE7E93B"/>
    <w:rsid w:val="1B8CDE59"/>
    <w:rsid w:val="1BDFED3A"/>
    <w:rsid w:val="1BF8DC95"/>
    <w:rsid w:val="1DFAE00B"/>
    <w:rsid w:val="1E02CF33"/>
    <w:rsid w:val="1E5ECD19"/>
    <w:rsid w:val="1E805356"/>
    <w:rsid w:val="1EBD7596"/>
    <w:rsid w:val="1F8E7DE2"/>
    <w:rsid w:val="1FF2582F"/>
    <w:rsid w:val="205B8E45"/>
    <w:rsid w:val="2099719E"/>
    <w:rsid w:val="2133F3B3"/>
    <w:rsid w:val="2142975B"/>
    <w:rsid w:val="22B3E9C9"/>
    <w:rsid w:val="234360E6"/>
    <w:rsid w:val="2390BC76"/>
    <w:rsid w:val="23EAF220"/>
    <w:rsid w:val="244B11E3"/>
    <w:rsid w:val="24D6B661"/>
    <w:rsid w:val="24E61344"/>
    <w:rsid w:val="24E94796"/>
    <w:rsid w:val="2505865E"/>
    <w:rsid w:val="2555CBE2"/>
    <w:rsid w:val="257218CE"/>
    <w:rsid w:val="26181A5F"/>
    <w:rsid w:val="269D95B1"/>
    <w:rsid w:val="26A64187"/>
    <w:rsid w:val="26CDE234"/>
    <w:rsid w:val="26EE79EC"/>
    <w:rsid w:val="271B6ED8"/>
    <w:rsid w:val="27859CAD"/>
    <w:rsid w:val="27BEAD19"/>
    <w:rsid w:val="289EBA71"/>
    <w:rsid w:val="29B90E84"/>
    <w:rsid w:val="29C767B3"/>
    <w:rsid w:val="29EEF4F9"/>
    <w:rsid w:val="2A5B8F80"/>
    <w:rsid w:val="2B16A1AB"/>
    <w:rsid w:val="2B856873"/>
    <w:rsid w:val="2BD3BD5E"/>
    <w:rsid w:val="2CB53800"/>
    <w:rsid w:val="2CB7AEBD"/>
    <w:rsid w:val="2CF264BC"/>
    <w:rsid w:val="2E22D67A"/>
    <w:rsid w:val="2E51A158"/>
    <w:rsid w:val="2F8131FA"/>
    <w:rsid w:val="300B6303"/>
    <w:rsid w:val="3028D530"/>
    <w:rsid w:val="30C569DA"/>
    <w:rsid w:val="32D16CEA"/>
    <w:rsid w:val="336B63BA"/>
    <w:rsid w:val="344EB2ED"/>
    <w:rsid w:val="3614FE2F"/>
    <w:rsid w:val="367FCF44"/>
    <w:rsid w:val="36ACC64B"/>
    <w:rsid w:val="3752922B"/>
    <w:rsid w:val="375FEAB2"/>
    <w:rsid w:val="379656F6"/>
    <w:rsid w:val="37AC26D0"/>
    <w:rsid w:val="38187E7E"/>
    <w:rsid w:val="3912834B"/>
    <w:rsid w:val="3926D31F"/>
    <w:rsid w:val="3A07DE5A"/>
    <w:rsid w:val="3A6AA33B"/>
    <w:rsid w:val="3D07B6DD"/>
    <w:rsid w:val="3D335B7F"/>
    <w:rsid w:val="3D520684"/>
    <w:rsid w:val="3DE57E6C"/>
    <w:rsid w:val="3E40FD9F"/>
    <w:rsid w:val="3E605F72"/>
    <w:rsid w:val="3F16DE47"/>
    <w:rsid w:val="3F3C6FC3"/>
    <w:rsid w:val="3FE1B003"/>
    <w:rsid w:val="41878123"/>
    <w:rsid w:val="41C41316"/>
    <w:rsid w:val="4431E55E"/>
    <w:rsid w:val="445DB127"/>
    <w:rsid w:val="46EF2F5C"/>
    <w:rsid w:val="47727B4A"/>
    <w:rsid w:val="47A6169F"/>
    <w:rsid w:val="47C04C9E"/>
    <w:rsid w:val="488B84D3"/>
    <w:rsid w:val="4A668F3B"/>
    <w:rsid w:val="4B0D036E"/>
    <w:rsid w:val="4B7E6EF6"/>
    <w:rsid w:val="4C8D7867"/>
    <w:rsid w:val="4CA02DA4"/>
    <w:rsid w:val="4CA2F3A7"/>
    <w:rsid w:val="4EC9137C"/>
    <w:rsid w:val="4F4D0D21"/>
    <w:rsid w:val="50167102"/>
    <w:rsid w:val="5084D4B0"/>
    <w:rsid w:val="50D45DC4"/>
    <w:rsid w:val="513BAD17"/>
    <w:rsid w:val="516138AF"/>
    <w:rsid w:val="51951735"/>
    <w:rsid w:val="53D25083"/>
    <w:rsid w:val="555804BD"/>
    <w:rsid w:val="56AD832D"/>
    <w:rsid w:val="58B82750"/>
    <w:rsid w:val="59047B1D"/>
    <w:rsid w:val="590CB889"/>
    <w:rsid w:val="5A444649"/>
    <w:rsid w:val="5ADC8661"/>
    <w:rsid w:val="5BA6DE49"/>
    <w:rsid w:val="5C3CF94A"/>
    <w:rsid w:val="5C9DC137"/>
    <w:rsid w:val="5CAA5BED"/>
    <w:rsid w:val="5CB72E38"/>
    <w:rsid w:val="5CC7458A"/>
    <w:rsid w:val="5CF86F31"/>
    <w:rsid w:val="5D1898E3"/>
    <w:rsid w:val="5DAB0A14"/>
    <w:rsid w:val="5E3778C2"/>
    <w:rsid w:val="5F2E6F6B"/>
    <w:rsid w:val="5F3AE287"/>
    <w:rsid w:val="5F45A035"/>
    <w:rsid w:val="604639BC"/>
    <w:rsid w:val="616B549E"/>
    <w:rsid w:val="6338A460"/>
    <w:rsid w:val="63CE4367"/>
    <w:rsid w:val="650849F6"/>
    <w:rsid w:val="663B421C"/>
    <w:rsid w:val="66E2B0AD"/>
    <w:rsid w:val="66EAC43D"/>
    <w:rsid w:val="678BB762"/>
    <w:rsid w:val="67B41F80"/>
    <w:rsid w:val="67CD91CB"/>
    <w:rsid w:val="697403DD"/>
    <w:rsid w:val="69745A7B"/>
    <w:rsid w:val="6B07A482"/>
    <w:rsid w:val="6D9A2B37"/>
    <w:rsid w:val="6E1EF4DA"/>
    <w:rsid w:val="6EDCB66E"/>
    <w:rsid w:val="6F083DD3"/>
    <w:rsid w:val="6F52E1E9"/>
    <w:rsid w:val="711B4F41"/>
    <w:rsid w:val="73D3FF8A"/>
    <w:rsid w:val="7447EF9E"/>
    <w:rsid w:val="74C0746A"/>
    <w:rsid w:val="7522BA04"/>
    <w:rsid w:val="75412F27"/>
    <w:rsid w:val="75435423"/>
    <w:rsid w:val="75F0DA3B"/>
    <w:rsid w:val="75FE6A46"/>
    <w:rsid w:val="76E7C7A2"/>
    <w:rsid w:val="7706105E"/>
    <w:rsid w:val="77BBB924"/>
    <w:rsid w:val="781648CD"/>
    <w:rsid w:val="784A2277"/>
    <w:rsid w:val="78F0A1DD"/>
    <w:rsid w:val="79BCB599"/>
    <w:rsid w:val="7A107AA9"/>
    <w:rsid w:val="7A1E3DBA"/>
    <w:rsid w:val="7AE1F7FB"/>
    <w:rsid w:val="7B45BB4D"/>
    <w:rsid w:val="7BFC5E17"/>
    <w:rsid w:val="7D10724D"/>
    <w:rsid w:val="7E43EBD9"/>
    <w:rsid w:val="7E8F8260"/>
    <w:rsid w:val="7EFBC198"/>
    <w:rsid w:val="7F2ECD3D"/>
    <w:rsid w:val="7F7BD6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73EBD"/>
  <w15:chartTrackingRefBased/>
  <w15:docId w15:val="{58C375FB-C36F-490F-BD02-8A7FA3A48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D63EF"/>
    <w:rPr>
      <w:rFonts w:ascii="Trebuchet MS" w:hAnsi="Trebuchet MS"/>
      <w:sz w:val="24"/>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noteText">
    <w:name w:val="footnote text"/>
    <w:basedOn w:val="Normal"/>
    <w:link w:val="FootnoteTextChar"/>
    <w:uiPriority w:val="99"/>
    <w:semiHidden/>
    <w:unhideWhenUsed/>
    <w:rsid w:val="00D555C0"/>
    <w:pPr>
      <w:spacing w:after="0" w:line="240" w:lineRule="auto"/>
    </w:pPr>
    <w:rPr>
      <w:sz w:val="20"/>
      <w:szCs w:val="20"/>
    </w:rPr>
  </w:style>
  <w:style w:type="character" w:styleId="FootnoteTextChar" w:customStyle="1">
    <w:name w:val="Footnote Text Char"/>
    <w:basedOn w:val="DefaultParagraphFont"/>
    <w:link w:val="FootnoteText"/>
    <w:uiPriority w:val="99"/>
    <w:semiHidden/>
    <w:rsid w:val="00D555C0"/>
    <w:rPr>
      <w:rFonts w:ascii="Trebuchet MS" w:hAnsi="Trebuchet MS"/>
      <w:sz w:val="20"/>
      <w:szCs w:val="20"/>
    </w:rPr>
  </w:style>
  <w:style w:type="character" w:styleId="FootnoteReference">
    <w:name w:val="footnote reference"/>
    <w:basedOn w:val="DefaultParagraphFont"/>
    <w:uiPriority w:val="99"/>
    <w:semiHidden/>
    <w:unhideWhenUsed/>
    <w:rsid w:val="00D555C0"/>
    <w:rPr>
      <w:vertAlign w:val="superscript"/>
    </w:rPr>
  </w:style>
  <w:style w:type="paragraph" w:styleId="NormalWeb">
    <w:name w:val="Normal (Web)"/>
    <w:basedOn w:val="Normal"/>
    <w:uiPriority w:val="99"/>
    <w:semiHidden/>
    <w:unhideWhenUsed/>
    <w:rsid w:val="00D555C0"/>
    <w:rPr>
      <w:rFonts w:ascii="Times New Roman" w:hAnsi="Times New Roman" w:cs="Times New Roman"/>
      <w:szCs w:val="24"/>
    </w:rPr>
  </w:style>
  <w:style w:type="paragraph" w:styleId="ListParagraph">
    <w:name w:val="List Paragraph"/>
    <w:basedOn w:val="Normal"/>
    <w:uiPriority w:val="34"/>
    <w:qFormat/>
    <w:rsid w:val="009241B8"/>
    <w:pPr>
      <w:ind w:left="720"/>
      <w:contextualSpacing/>
    </w:pPr>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5992830">
      <w:bodyDiv w:val="1"/>
      <w:marLeft w:val="0"/>
      <w:marRight w:val="0"/>
      <w:marTop w:val="0"/>
      <w:marBottom w:val="0"/>
      <w:divBdr>
        <w:top w:val="none" w:sz="0" w:space="0" w:color="auto"/>
        <w:left w:val="none" w:sz="0" w:space="0" w:color="auto"/>
        <w:bottom w:val="none" w:sz="0" w:space="0" w:color="auto"/>
        <w:right w:val="none" w:sz="0" w:space="0" w:color="auto"/>
      </w:divBdr>
    </w:div>
    <w:div w:id="291833875">
      <w:bodyDiv w:val="1"/>
      <w:marLeft w:val="0"/>
      <w:marRight w:val="0"/>
      <w:marTop w:val="0"/>
      <w:marBottom w:val="0"/>
      <w:divBdr>
        <w:top w:val="none" w:sz="0" w:space="0" w:color="auto"/>
        <w:left w:val="none" w:sz="0" w:space="0" w:color="auto"/>
        <w:bottom w:val="none" w:sz="0" w:space="0" w:color="auto"/>
        <w:right w:val="none" w:sz="0" w:space="0" w:color="auto"/>
      </w:divBdr>
    </w:div>
    <w:div w:id="754790255">
      <w:bodyDiv w:val="1"/>
      <w:marLeft w:val="0"/>
      <w:marRight w:val="0"/>
      <w:marTop w:val="0"/>
      <w:marBottom w:val="0"/>
      <w:divBdr>
        <w:top w:val="none" w:sz="0" w:space="0" w:color="auto"/>
        <w:left w:val="none" w:sz="0" w:space="0" w:color="auto"/>
        <w:bottom w:val="none" w:sz="0" w:space="0" w:color="auto"/>
        <w:right w:val="none" w:sz="0" w:space="0" w:color="auto"/>
      </w:divBdr>
    </w:div>
    <w:div w:id="800419061">
      <w:bodyDiv w:val="1"/>
      <w:marLeft w:val="0"/>
      <w:marRight w:val="0"/>
      <w:marTop w:val="0"/>
      <w:marBottom w:val="0"/>
      <w:divBdr>
        <w:top w:val="none" w:sz="0" w:space="0" w:color="auto"/>
        <w:left w:val="none" w:sz="0" w:space="0" w:color="auto"/>
        <w:bottom w:val="none" w:sz="0" w:space="0" w:color="auto"/>
        <w:right w:val="none" w:sz="0" w:space="0" w:color="auto"/>
      </w:divBdr>
    </w:div>
    <w:div w:id="925648749">
      <w:bodyDiv w:val="1"/>
      <w:marLeft w:val="0"/>
      <w:marRight w:val="0"/>
      <w:marTop w:val="0"/>
      <w:marBottom w:val="0"/>
      <w:divBdr>
        <w:top w:val="none" w:sz="0" w:space="0" w:color="auto"/>
        <w:left w:val="none" w:sz="0" w:space="0" w:color="auto"/>
        <w:bottom w:val="none" w:sz="0" w:space="0" w:color="auto"/>
        <w:right w:val="none" w:sz="0" w:space="0" w:color="auto"/>
      </w:divBdr>
    </w:div>
    <w:div w:id="1042440213">
      <w:bodyDiv w:val="1"/>
      <w:marLeft w:val="0"/>
      <w:marRight w:val="0"/>
      <w:marTop w:val="0"/>
      <w:marBottom w:val="0"/>
      <w:divBdr>
        <w:top w:val="none" w:sz="0" w:space="0" w:color="auto"/>
        <w:left w:val="none" w:sz="0" w:space="0" w:color="auto"/>
        <w:bottom w:val="none" w:sz="0" w:space="0" w:color="auto"/>
        <w:right w:val="none" w:sz="0" w:space="0" w:color="auto"/>
      </w:divBdr>
    </w:div>
    <w:div w:id="1122769585">
      <w:bodyDiv w:val="1"/>
      <w:marLeft w:val="0"/>
      <w:marRight w:val="0"/>
      <w:marTop w:val="0"/>
      <w:marBottom w:val="0"/>
      <w:divBdr>
        <w:top w:val="none" w:sz="0" w:space="0" w:color="auto"/>
        <w:left w:val="none" w:sz="0" w:space="0" w:color="auto"/>
        <w:bottom w:val="none" w:sz="0" w:space="0" w:color="auto"/>
        <w:right w:val="none" w:sz="0" w:space="0" w:color="auto"/>
      </w:divBdr>
    </w:div>
    <w:div w:id="1596210784">
      <w:bodyDiv w:val="1"/>
      <w:marLeft w:val="0"/>
      <w:marRight w:val="0"/>
      <w:marTop w:val="0"/>
      <w:marBottom w:val="0"/>
      <w:divBdr>
        <w:top w:val="none" w:sz="0" w:space="0" w:color="auto"/>
        <w:left w:val="none" w:sz="0" w:space="0" w:color="auto"/>
        <w:bottom w:val="none" w:sz="0" w:space="0" w:color="auto"/>
        <w:right w:val="none" w:sz="0" w:space="0" w:color="auto"/>
      </w:divBdr>
    </w:div>
    <w:div w:id="1718552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ntTable" Target="fontTable.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4" ma:contentTypeDescription="Create a new document." ma:contentTypeScope="" ma:versionID="9bac5f27095fc0ee4ac401d6c5fda8ae">
  <xsd:schema xmlns:xsd="http://www.w3.org/2001/XMLSchema" xmlns:xs="http://www.w3.org/2001/XMLSchema" xmlns:p="http://schemas.microsoft.com/office/2006/metadata/properties" xmlns:ns2="92c24619-d6d5-42cf-b618-23d930ad9f20" targetNamespace="http://schemas.microsoft.com/office/2006/metadata/properties" ma:root="true" ma:fieldsID="9aae49a1ccff69719a23c38af342a078" ns2:_="">
    <xsd:import namespace="92c24619-d6d5-42cf-b618-23d930ad9f2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1BB74A-C36C-49F5-965E-0BB2E60937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94B4A23-4884-43A7-87DB-E8A07C21E06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A1D1B88-C1C3-47DD-9CC4-DF42BCE1380D}">
  <ds:schemaRefs>
    <ds:schemaRef ds:uri="http://schemas.microsoft.com/sharepoint/v3/contenttype/forms"/>
  </ds:schemaRefs>
</ds:datastoreItem>
</file>

<file path=customXml/itemProps4.xml><?xml version="1.0" encoding="utf-8"?>
<ds:datastoreItem xmlns:ds="http://schemas.openxmlformats.org/officeDocument/2006/customXml" ds:itemID="{9F29920C-9BD5-4710-8448-FEC53B41900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Emily Howell (1700912)</dc:creator>
  <keywords/>
  <dc:description/>
  <lastModifiedBy>Emily Howell (1700912)</lastModifiedBy>
  <revision>19</revision>
  <dcterms:created xsi:type="dcterms:W3CDTF">2020-05-29T13:49:00.0000000Z</dcterms:created>
  <dcterms:modified xsi:type="dcterms:W3CDTF">2020-06-04T13:12:44.3963271Z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