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787AD" w14:textId="3AFA2054" w:rsidR="00144B01" w:rsidRDefault="0053159F" w:rsidP="0053159F">
      <w:pPr>
        <w:spacing w:line="360" w:lineRule="auto"/>
        <w:jc w:val="center"/>
        <w:rPr>
          <w:rFonts w:ascii="Times New Roman" w:hAnsi="Times New Roman" w:cs="Times New Roman"/>
          <w:color w:val="000000" w:themeColor="text1"/>
          <w:sz w:val="24"/>
          <w:szCs w:val="24"/>
        </w:rPr>
      </w:pPr>
      <w:r>
        <w:rPr>
          <w:noProof/>
        </w:rPr>
        <w:drawing>
          <wp:inline distT="0" distB="0" distL="0" distR="0" wp14:anchorId="28B715AD" wp14:editId="694C294C">
            <wp:extent cx="3429000" cy="1715770"/>
            <wp:effectExtent l="0" t="0" r="0" b="0"/>
            <wp:docPr id="125730605"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605" name="Picture 3" descr="University of Wales Hub: description, news and contact info"/>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1715770"/>
                    </a:xfrm>
                    <a:prstGeom prst="ellipse">
                      <a:avLst/>
                    </a:prstGeom>
                    <a:ln>
                      <a:noFill/>
                    </a:ln>
                    <a:effectLst>
                      <a:softEdge rad="112500"/>
                    </a:effectLst>
                  </pic:spPr>
                </pic:pic>
              </a:graphicData>
            </a:graphic>
          </wp:inline>
        </w:drawing>
      </w:r>
    </w:p>
    <w:p w14:paraId="0D31C647"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2EC1EFD7" w14:textId="77777777" w:rsidR="0053159F" w:rsidRPr="0053159F" w:rsidRDefault="0053159F" w:rsidP="0053159F">
      <w:pPr>
        <w:spacing w:line="360" w:lineRule="auto"/>
        <w:jc w:val="center"/>
        <w:rPr>
          <w:rFonts w:ascii="Times New Roman" w:hAnsi="Times New Roman" w:cs="Times New Roman"/>
          <w:color w:val="000000" w:themeColor="text1"/>
          <w:sz w:val="24"/>
          <w:szCs w:val="24"/>
          <w:lang w:val="bg-BG"/>
        </w:rPr>
      </w:pPr>
      <w:r w:rsidRPr="0053159F">
        <w:rPr>
          <w:rFonts w:ascii="Times New Roman" w:hAnsi="Times New Roman" w:cs="Times New Roman"/>
          <w:color w:val="000000" w:themeColor="text1"/>
          <w:sz w:val="24"/>
          <w:szCs w:val="24"/>
          <w:lang w:val="bg-BG"/>
        </w:rPr>
        <w:t>BA (Hons) Business Management</w:t>
      </w:r>
    </w:p>
    <w:p w14:paraId="611ACB18" w14:textId="2DF85BB5" w:rsidR="0053159F" w:rsidRPr="0053159F" w:rsidRDefault="0053159F" w:rsidP="0053159F">
      <w:pPr>
        <w:spacing w:line="360" w:lineRule="auto"/>
        <w:jc w:val="center"/>
        <w:rPr>
          <w:rFonts w:ascii="Times New Roman" w:hAnsi="Times New Roman" w:cs="Times New Roman"/>
          <w:color w:val="000000" w:themeColor="text1"/>
          <w:sz w:val="24"/>
          <w:szCs w:val="24"/>
          <w:lang w:val="bg-BG"/>
        </w:rPr>
      </w:pPr>
      <w:r w:rsidRPr="0053159F">
        <w:rPr>
          <w:rFonts w:ascii="Times New Roman" w:hAnsi="Times New Roman" w:cs="Times New Roman"/>
          <w:color w:val="000000" w:themeColor="text1"/>
          <w:sz w:val="24"/>
          <w:szCs w:val="24"/>
          <w:lang w:val="bg-BG"/>
        </w:rPr>
        <w:t>Module Title:</w:t>
      </w:r>
      <w:r w:rsidRPr="0053159F">
        <w:rPr>
          <w:rFonts w:ascii="Times New Roman" w:hAnsi="Times New Roman" w:cs="Times New Roman"/>
          <w:color w:val="000000" w:themeColor="text1"/>
          <w:sz w:val="24"/>
          <w:szCs w:val="24"/>
        </w:rPr>
        <w:t xml:space="preserve"> </w:t>
      </w:r>
      <w:r w:rsidR="00906CDF" w:rsidRPr="00906CDF">
        <w:rPr>
          <w:rFonts w:ascii="Times New Roman" w:hAnsi="Times New Roman" w:cs="Times New Roman"/>
          <w:color w:val="000000" w:themeColor="text1"/>
          <w:sz w:val="24"/>
          <w:szCs w:val="24"/>
        </w:rPr>
        <w:t>Management Accounting for Managers</w:t>
      </w:r>
    </w:p>
    <w:p w14:paraId="5BEE3634" w14:textId="3DA599B9" w:rsidR="0053159F" w:rsidRPr="00906CDF" w:rsidRDefault="0053159F" w:rsidP="0053159F">
      <w:pPr>
        <w:spacing w:line="360" w:lineRule="auto"/>
        <w:jc w:val="center"/>
        <w:rPr>
          <w:rFonts w:ascii="Times New Roman" w:hAnsi="Times New Roman" w:cs="Times New Roman"/>
          <w:color w:val="000000" w:themeColor="text1"/>
          <w:sz w:val="24"/>
          <w:szCs w:val="24"/>
          <w:lang w:val="en-GB"/>
        </w:rPr>
      </w:pPr>
      <w:r w:rsidRPr="0053159F">
        <w:rPr>
          <w:rFonts w:ascii="Times New Roman" w:hAnsi="Times New Roman" w:cs="Times New Roman"/>
          <w:color w:val="000000" w:themeColor="text1"/>
          <w:sz w:val="24"/>
          <w:szCs w:val="24"/>
          <w:lang w:val="bg-BG"/>
        </w:rPr>
        <w:t>Module Code:</w:t>
      </w:r>
      <w:r w:rsidRPr="0053159F">
        <w:rPr>
          <w:rFonts w:ascii="Times New Roman" w:hAnsi="Times New Roman" w:cs="Times New Roman"/>
          <w:color w:val="000000" w:themeColor="text1"/>
          <w:sz w:val="24"/>
          <w:szCs w:val="24"/>
        </w:rPr>
        <w:t xml:space="preserve"> </w:t>
      </w:r>
      <w:r w:rsidRPr="0053159F">
        <w:rPr>
          <w:rFonts w:ascii="Times New Roman" w:hAnsi="Times New Roman" w:cs="Times New Roman"/>
          <w:color w:val="000000" w:themeColor="text1"/>
          <w:sz w:val="24"/>
          <w:szCs w:val="24"/>
          <w:lang w:val="bg-BG"/>
        </w:rPr>
        <w:t>LCBB501</w:t>
      </w:r>
      <w:r w:rsidR="00906CDF">
        <w:rPr>
          <w:rFonts w:ascii="Times New Roman" w:hAnsi="Times New Roman" w:cs="Times New Roman"/>
          <w:color w:val="000000" w:themeColor="text1"/>
          <w:sz w:val="24"/>
          <w:szCs w:val="24"/>
          <w:lang w:val="en-GB"/>
        </w:rPr>
        <w:t>0</w:t>
      </w:r>
    </w:p>
    <w:p w14:paraId="1752CE64" w14:textId="0FB2C8E1" w:rsidR="0053159F" w:rsidRPr="0053159F" w:rsidRDefault="0053159F" w:rsidP="000C6663">
      <w:pPr>
        <w:spacing w:line="360" w:lineRule="auto"/>
        <w:jc w:val="center"/>
        <w:rPr>
          <w:rFonts w:ascii="Times New Roman" w:hAnsi="Times New Roman" w:cs="Times New Roman"/>
          <w:color w:val="000000" w:themeColor="text1"/>
          <w:sz w:val="24"/>
          <w:szCs w:val="24"/>
          <w:lang w:val="en-GB"/>
        </w:rPr>
      </w:pPr>
      <w:r w:rsidRPr="0053159F">
        <w:rPr>
          <w:rFonts w:ascii="Times New Roman" w:hAnsi="Times New Roman" w:cs="Times New Roman"/>
          <w:color w:val="000000" w:themeColor="text1"/>
          <w:sz w:val="24"/>
          <w:szCs w:val="24"/>
          <w:lang w:val="en-GB"/>
        </w:rPr>
        <w:t xml:space="preserve">Lecturer:  </w:t>
      </w:r>
      <w:r w:rsidR="000C6663" w:rsidRPr="000C6663">
        <w:rPr>
          <w:rFonts w:ascii="Times New Roman" w:hAnsi="Times New Roman" w:cs="Times New Roman"/>
          <w:color w:val="000000" w:themeColor="text1"/>
          <w:sz w:val="24"/>
          <w:szCs w:val="24"/>
          <w:lang w:val="en-GB"/>
        </w:rPr>
        <w:t>Dr Rita Ukachi-Lois</w:t>
      </w:r>
      <w:r w:rsidR="000C6663">
        <w:rPr>
          <w:rFonts w:ascii="Times New Roman" w:hAnsi="Times New Roman" w:cs="Times New Roman"/>
          <w:color w:val="000000" w:themeColor="text1"/>
          <w:sz w:val="24"/>
          <w:szCs w:val="24"/>
          <w:lang w:val="en-GB"/>
        </w:rPr>
        <w:t xml:space="preserve">, </w:t>
      </w:r>
      <w:r w:rsidR="000C6663" w:rsidRPr="000C6663">
        <w:rPr>
          <w:rFonts w:ascii="Times New Roman" w:hAnsi="Times New Roman" w:cs="Times New Roman"/>
          <w:color w:val="000000" w:themeColor="text1"/>
          <w:sz w:val="24"/>
          <w:szCs w:val="24"/>
          <w:lang w:val="en-GB"/>
        </w:rPr>
        <w:t>Zainab Atta</w:t>
      </w:r>
    </w:p>
    <w:p w14:paraId="11E457F8" w14:textId="3D844B8A" w:rsidR="0053159F" w:rsidRPr="0053159F" w:rsidRDefault="0053159F" w:rsidP="0053159F">
      <w:pPr>
        <w:spacing w:line="360" w:lineRule="auto"/>
        <w:jc w:val="center"/>
        <w:rPr>
          <w:rFonts w:ascii="Times New Roman" w:hAnsi="Times New Roman" w:cs="Times New Roman"/>
          <w:color w:val="000000" w:themeColor="text1"/>
          <w:sz w:val="24"/>
          <w:szCs w:val="24"/>
          <w:lang w:val="en-GB"/>
        </w:rPr>
      </w:pPr>
      <w:r w:rsidRPr="0053159F">
        <w:rPr>
          <w:rFonts w:ascii="Times New Roman" w:hAnsi="Times New Roman" w:cs="Times New Roman"/>
          <w:color w:val="000000" w:themeColor="text1"/>
          <w:sz w:val="24"/>
          <w:szCs w:val="24"/>
          <w:lang w:val="bg-BG"/>
        </w:rPr>
        <w:t>Assignment</w:t>
      </w:r>
      <w:r w:rsidRPr="0053159F">
        <w:rPr>
          <w:rFonts w:ascii="Times New Roman" w:hAnsi="Times New Roman" w:cs="Times New Roman"/>
          <w:color w:val="000000" w:themeColor="text1"/>
          <w:sz w:val="24"/>
          <w:szCs w:val="24"/>
          <w:lang w:val="en-GB"/>
        </w:rPr>
        <w:t xml:space="preserve"> : Individual Report</w:t>
      </w:r>
    </w:p>
    <w:p w14:paraId="000F7653" w14:textId="77777777" w:rsidR="0053159F" w:rsidRPr="0053159F" w:rsidRDefault="0053159F" w:rsidP="0053159F">
      <w:pPr>
        <w:spacing w:line="360" w:lineRule="auto"/>
        <w:jc w:val="center"/>
        <w:rPr>
          <w:rFonts w:ascii="Times New Roman" w:hAnsi="Times New Roman" w:cs="Times New Roman"/>
          <w:color w:val="000000" w:themeColor="text1"/>
          <w:sz w:val="24"/>
          <w:szCs w:val="24"/>
          <w:lang w:val="bg-BG"/>
        </w:rPr>
      </w:pPr>
      <w:r w:rsidRPr="0053159F">
        <w:rPr>
          <w:rFonts w:ascii="Times New Roman" w:hAnsi="Times New Roman" w:cs="Times New Roman"/>
          <w:color w:val="000000" w:themeColor="text1"/>
          <w:sz w:val="24"/>
          <w:szCs w:val="24"/>
          <w:lang w:val="bg-BG"/>
        </w:rPr>
        <w:t>Student Name:</w:t>
      </w:r>
      <w:r w:rsidRPr="0053159F">
        <w:rPr>
          <w:rFonts w:ascii="Times New Roman" w:hAnsi="Times New Roman" w:cs="Times New Roman"/>
          <w:color w:val="000000" w:themeColor="text1"/>
          <w:sz w:val="24"/>
          <w:szCs w:val="24"/>
        </w:rPr>
        <w:t xml:space="preserve"> </w:t>
      </w:r>
      <w:r w:rsidRPr="0053159F">
        <w:rPr>
          <w:rFonts w:ascii="Times New Roman" w:hAnsi="Times New Roman" w:cs="Times New Roman"/>
          <w:color w:val="000000" w:themeColor="text1"/>
          <w:sz w:val="24"/>
          <w:szCs w:val="24"/>
          <w:lang w:val="bg-BG"/>
        </w:rPr>
        <w:t>Svetlin Kondakov</w:t>
      </w:r>
    </w:p>
    <w:p w14:paraId="6C3B0E97" w14:textId="77777777" w:rsidR="0053159F" w:rsidRPr="0053159F" w:rsidRDefault="0053159F" w:rsidP="0053159F">
      <w:pPr>
        <w:spacing w:line="360" w:lineRule="auto"/>
        <w:jc w:val="center"/>
        <w:rPr>
          <w:rFonts w:ascii="Times New Roman" w:hAnsi="Times New Roman" w:cs="Times New Roman"/>
          <w:color w:val="000000" w:themeColor="text1"/>
          <w:sz w:val="24"/>
          <w:szCs w:val="24"/>
          <w:lang w:val="bg-BG"/>
        </w:rPr>
      </w:pPr>
      <w:r w:rsidRPr="0053159F">
        <w:rPr>
          <w:rFonts w:ascii="Times New Roman" w:hAnsi="Times New Roman" w:cs="Times New Roman"/>
          <w:color w:val="000000" w:themeColor="text1"/>
          <w:sz w:val="24"/>
          <w:szCs w:val="24"/>
          <w:lang w:val="bg-BG"/>
        </w:rPr>
        <w:t>Student ID Number:</w:t>
      </w:r>
      <w:r w:rsidRPr="0053159F">
        <w:rPr>
          <w:rFonts w:ascii="Times New Roman" w:hAnsi="Times New Roman" w:cs="Times New Roman"/>
          <w:color w:val="000000" w:themeColor="text1"/>
          <w:sz w:val="24"/>
          <w:szCs w:val="24"/>
        </w:rPr>
        <w:t xml:space="preserve"> </w:t>
      </w:r>
      <w:r w:rsidRPr="0053159F">
        <w:rPr>
          <w:rFonts w:ascii="Times New Roman" w:hAnsi="Times New Roman" w:cs="Times New Roman"/>
          <w:color w:val="000000" w:themeColor="text1"/>
          <w:sz w:val="24"/>
          <w:szCs w:val="24"/>
          <w:lang w:val="bg-BG"/>
        </w:rPr>
        <w:t>2326084</w:t>
      </w:r>
    </w:p>
    <w:p w14:paraId="30AB98CA" w14:textId="2E555D0B" w:rsidR="0053159F" w:rsidRPr="0053159F" w:rsidRDefault="0053159F" w:rsidP="0053159F">
      <w:pPr>
        <w:spacing w:line="360" w:lineRule="auto"/>
        <w:jc w:val="center"/>
        <w:rPr>
          <w:rFonts w:ascii="Times New Roman" w:hAnsi="Times New Roman" w:cs="Times New Roman"/>
          <w:color w:val="000000" w:themeColor="text1"/>
          <w:sz w:val="24"/>
          <w:szCs w:val="24"/>
          <w:lang w:val="bg-BG"/>
        </w:rPr>
      </w:pPr>
      <w:r w:rsidRPr="0053159F">
        <w:rPr>
          <w:rFonts w:ascii="Times New Roman" w:hAnsi="Times New Roman" w:cs="Times New Roman"/>
          <w:color w:val="000000" w:themeColor="text1"/>
          <w:sz w:val="24"/>
          <w:szCs w:val="24"/>
          <w:lang w:val="bg-BG"/>
        </w:rPr>
        <w:t>Word Count:</w:t>
      </w:r>
      <w:r w:rsidRPr="0053159F">
        <w:rPr>
          <w:rFonts w:ascii="Times New Roman" w:hAnsi="Times New Roman" w:cs="Times New Roman"/>
          <w:color w:val="000000" w:themeColor="text1"/>
          <w:sz w:val="24"/>
          <w:szCs w:val="24"/>
        </w:rPr>
        <w:t xml:space="preserve"> </w:t>
      </w:r>
      <w:r w:rsidRPr="0053159F">
        <w:rPr>
          <w:rFonts w:ascii="Times New Roman" w:hAnsi="Times New Roman" w:cs="Times New Roman"/>
          <w:color w:val="000000" w:themeColor="text1"/>
          <w:sz w:val="24"/>
          <w:szCs w:val="24"/>
          <w:lang w:val="en-GB"/>
        </w:rPr>
        <w:t>2</w:t>
      </w:r>
      <w:r w:rsidRPr="0053159F">
        <w:rPr>
          <w:rFonts w:ascii="Times New Roman" w:hAnsi="Times New Roman" w:cs="Times New Roman"/>
          <w:color w:val="000000" w:themeColor="text1"/>
          <w:sz w:val="24"/>
          <w:szCs w:val="24"/>
          <w:lang w:val="bg-BG"/>
        </w:rPr>
        <w:t>,000 words (± 10%)</w:t>
      </w:r>
    </w:p>
    <w:p w14:paraId="4228126C"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3A9ABB97"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7E203570"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3A437FC4"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10B159C9"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618FDB3F" w14:textId="27820EC9" w:rsidR="00144B01" w:rsidRDefault="00144B01" w:rsidP="00676B5E">
      <w:pPr>
        <w:spacing w:line="360" w:lineRule="auto"/>
        <w:jc w:val="both"/>
        <w:rPr>
          <w:rFonts w:ascii="Times New Roman" w:hAnsi="Times New Roman" w:cs="Times New Roman"/>
          <w:b/>
          <w:color w:val="000000" w:themeColor="text1"/>
          <w:sz w:val="24"/>
          <w:szCs w:val="24"/>
        </w:rPr>
      </w:pPr>
    </w:p>
    <w:sdt>
      <w:sdtPr>
        <w:rPr>
          <w:rFonts w:ascii="Calibri" w:eastAsiaTheme="minorEastAsia" w:hAnsi="Calibri" w:cstheme="minorBidi"/>
          <w:b w:val="0"/>
          <w:bCs w:val="0"/>
          <w:color w:val="auto"/>
          <w:sz w:val="22"/>
          <w:szCs w:val="22"/>
        </w:rPr>
        <w:id w:val="1741053610"/>
        <w:docPartObj>
          <w:docPartGallery w:val="Table of Contents"/>
          <w:docPartUnique/>
        </w:docPartObj>
      </w:sdtPr>
      <w:sdtEndPr>
        <w:rPr>
          <w:noProof/>
        </w:rPr>
      </w:sdtEndPr>
      <w:sdtContent>
        <w:p w14:paraId="22CDFCFF" w14:textId="6302D4A5" w:rsidR="0053159F" w:rsidRPr="00EF0181" w:rsidRDefault="0053159F">
          <w:pPr>
            <w:pStyle w:val="TOCHeading"/>
            <w:rPr>
              <w:rFonts w:ascii="Times New Roman" w:hAnsi="Times New Roman" w:cs="Times New Roman"/>
              <w:color w:val="000000" w:themeColor="text1"/>
              <w:sz w:val="32"/>
              <w:szCs w:val="32"/>
            </w:rPr>
          </w:pPr>
          <w:r w:rsidRPr="00EF0181">
            <w:rPr>
              <w:rFonts w:ascii="Times New Roman" w:hAnsi="Times New Roman" w:cs="Times New Roman"/>
              <w:color w:val="000000" w:themeColor="text1"/>
              <w:sz w:val="32"/>
              <w:szCs w:val="32"/>
            </w:rPr>
            <w:t>Table of Contents</w:t>
          </w:r>
        </w:p>
        <w:p w14:paraId="1142A309" w14:textId="40C11842" w:rsidR="0053159F" w:rsidRPr="00EF0181" w:rsidRDefault="0053159F">
          <w:pPr>
            <w:pStyle w:val="TOC1"/>
            <w:tabs>
              <w:tab w:val="left" w:pos="480"/>
              <w:tab w:val="right" w:leader="dot" w:pos="8630"/>
            </w:tabs>
            <w:rPr>
              <w:rFonts w:ascii="Times New Roman" w:hAnsi="Times New Roman" w:cs="Times New Roman"/>
              <w:noProof/>
              <w:sz w:val="28"/>
              <w:szCs w:val="28"/>
            </w:rPr>
          </w:pPr>
          <w:r w:rsidRPr="00EF0181">
            <w:rPr>
              <w:sz w:val="24"/>
              <w:szCs w:val="24"/>
            </w:rPr>
            <w:fldChar w:fldCharType="begin"/>
          </w:r>
          <w:r w:rsidRPr="00EF0181">
            <w:rPr>
              <w:sz w:val="24"/>
              <w:szCs w:val="24"/>
            </w:rPr>
            <w:instrText xml:space="preserve"> TOC \o "1-3" \h \z \u </w:instrText>
          </w:r>
          <w:r w:rsidRPr="00EF0181">
            <w:rPr>
              <w:sz w:val="24"/>
              <w:szCs w:val="24"/>
            </w:rPr>
            <w:fldChar w:fldCharType="separate"/>
          </w:r>
          <w:hyperlink w:anchor="_Toc213785862" w:history="1">
            <w:r w:rsidRPr="00EF0181">
              <w:rPr>
                <w:rStyle w:val="Hyperlink"/>
                <w:rFonts w:ascii="Times New Roman" w:hAnsi="Times New Roman" w:cs="Times New Roman"/>
                <w:noProof/>
                <w:sz w:val="28"/>
                <w:szCs w:val="28"/>
              </w:rPr>
              <w:t>1.</w:t>
            </w:r>
            <w:r w:rsidRPr="00EF0181">
              <w:rPr>
                <w:rFonts w:ascii="Times New Roman" w:hAnsi="Times New Roman" w:cs="Times New Roman"/>
                <w:noProof/>
                <w:sz w:val="28"/>
                <w:szCs w:val="28"/>
              </w:rPr>
              <w:tab/>
            </w:r>
            <w:r w:rsidRPr="00EF0181">
              <w:rPr>
                <w:rStyle w:val="Hyperlink"/>
                <w:rFonts w:ascii="Times New Roman" w:hAnsi="Times New Roman" w:cs="Times New Roman"/>
                <w:noProof/>
                <w:sz w:val="28"/>
                <w:szCs w:val="28"/>
              </w:rPr>
              <w:t>Introduction</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_Toc213785862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2</w:t>
            </w:r>
            <w:r w:rsidRPr="00EF0181">
              <w:rPr>
                <w:rFonts w:ascii="Times New Roman" w:hAnsi="Times New Roman" w:cs="Times New Roman"/>
                <w:noProof/>
                <w:webHidden/>
                <w:sz w:val="28"/>
                <w:szCs w:val="28"/>
              </w:rPr>
              <w:fldChar w:fldCharType="end"/>
            </w:r>
          </w:hyperlink>
        </w:p>
        <w:p w14:paraId="62DFBA9B" w14:textId="36BB3294" w:rsidR="0053159F" w:rsidRPr="00EF0181" w:rsidRDefault="0053159F">
          <w:pPr>
            <w:pStyle w:val="TOC1"/>
            <w:tabs>
              <w:tab w:val="right" w:leader="dot" w:pos="8630"/>
            </w:tabs>
            <w:rPr>
              <w:rFonts w:ascii="Times New Roman" w:hAnsi="Times New Roman" w:cs="Times New Roman"/>
              <w:noProof/>
              <w:sz w:val="28"/>
              <w:szCs w:val="28"/>
            </w:rPr>
          </w:pPr>
          <w:hyperlink w:anchor="_Toc213785864" w:history="1">
            <w:r w:rsidRPr="00EF0181">
              <w:rPr>
                <w:rStyle w:val="Hyperlink"/>
                <w:rFonts w:ascii="Times New Roman" w:hAnsi="Times New Roman" w:cs="Times New Roman"/>
                <w:noProof/>
                <w:sz w:val="28"/>
                <w:szCs w:val="28"/>
              </w:rPr>
              <w:t>2. Cost Analysis and Business Model</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_Toc213785864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2</w:t>
            </w:r>
            <w:r w:rsidRPr="00EF0181">
              <w:rPr>
                <w:rFonts w:ascii="Times New Roman" w:hAnsi="Times New Roman" w:cs="Times New Roman"/>
                <w:noProof/>
                <w:webHidden/>
                <w:sz w:val="28"/>
                <w:szCs w:val="28"/>
              </w:rPr>
              <w:fldChar w:fldCharType="end"/>
            </w:r>
          </w:hyperlink>
        </w:p>
        <w:p w14:paraId="3C06C578" w14:textId="56AB161C" w:rsidR="0053159F" w:rsidRPr="00EF0181" w:rsidRDefault="0053159F">
          <w:pPr>
            <w:pStyle w:val="TOC1"/>
            <w:tabs>
              <w:tab w:val="right" w:leader="dot" w:pos="8630"/>
            </w:tabs>
            <w:rPr>
              <w:rFonts w:ascii="Times New Roman" w:hAnsi="Times New Roman" w:cs="Times New Roman"/>
              <w:noProof/>
              <w:sz w:val="28"/>
              <w:szCs w:val="28"/>
            </w:rPr>
          </w:pPr>
          <w:hyperlink w:anchor="_Toc213785865" w:history="1">
            <w:r w:rsidRPr="00EF0181">
              <w:rPr>
                <w:rStyle w:val="Hyperlink"/>
                <w:rFonts w:ascii="Times New Roman" w:hAnsi="Times New Roman" w:cs="Times New Roman"/>
                <w:noProof/>
                <w:sz w:val="28"/>
                <w:szCs w:val="28"/>
              </w:rPr>
              <w:t>3. Budgeting and Financial Planning</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_Toc213785865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4</w:t>
            </w:r>
            <w:r w:rsidRPr="00EF0181">
              <w:rPr>
                <w:rFonts w:ascii="Times New Roman" w:hAnsi="Times New Roman" w:cs="Times New Roman"/>
                <w:noProof/>
                <w:webHidden/>
                <w:sz w:val="28"/>
                <w:szCs w:val="28"/>
              </w:rPr>
              <w:fldChar w:fldCharType="end"/>
            </w:r>
          </w:hyperlink>
        </w:p>
        <w:p w14:paraId="6AD25B6B" w14:textId="652B80E8" w:rsidR="0053159F" w:rsidRPr="00EF0181" w:rsidRDefault="0053159F">
          <w:pPr>
            <w:pStyle w:val="TOC1"/>
            <w:tabs>
              <w:tab w:val="right" w:leader="dot" w:pos="8630"/>
            </w:tabs>
            <w:rPr>
              <w:rFonts w:ascii="Times New Roman" w:hAnsi="Times New Roman" w:cs="Times New Roman"/>
              <w:noProof/>
              <w:sz w:val="28"/>
              <w:szCs w:val="28"/>
            </w:rPr>
          </w:pPr>
          <w:hyperlink w:anchor="_Toc213785866" w:history="1">
            <w:r w:rsidRPr="00EF0181">
              <w:rPr>
                <w:rStyle w:val="Hyperlink"/>
                <w:rFonts w:ascii="Times New Roman" w:hAnsi="Times New Roman" w:cs="Times New Roman"/>
                <w:noProof/>
                <w:sz w:val="28"/>
                <w:szCs w:val="28"/>
              </w:rPr>
              <w:t>4. Performance Measurement and Decision‑Making</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_Toc213785866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5</w:t>
            </w:r>
            <w:r w:rsidRPr="00EF0181">
              <w:rPr>
                <w:rFonts w:ascii="Times New Roman" w:hAnsi="Times New Roman" w:cs="Times New Roman"/>
                <w:noProof/>
                <w:webHidden/>
                <w:sz w:val="28"/>
                <w:szCs w:val="28"/>
              </w:rPr>
              <w:fldChar w:fldCharType="end"/>
            </w:r>
          </w:hyperlink>
        </w:p>
        <w:p w14:paraId="2309F502" w14:textId="5922640F" w:rsidR="0053159F" w:rsidRPr="00EF0181" w:rsidRDefault="0053159F">
          <w:pPr>
            <w:pStyle w:val="TOC1"/>
            <w:tabs>
              <w:tab w:val="right" w:leader="dot" w:pos="8630"/>
            </w:tabs>
            <w:rPr>
              <w:rFonts w:ascii="Times New Roman" w:hAnsi="Times New Roman" w:cs="Times New Roman"/>
              <w:noProof/>
              <w:sz w:val="28"/>
              <w:szCs w:val="28"/>
            </w:rPr>
          </w:pPr>
          <w:hyperlink w:anchor="_Toc213785867" w:history="1">
            <w:r w:rsidRPr="00EF0181">
              <w:rPr>
                <w:rStyle w:val="Hyperlink"/>
                <w:rFonts w:ascii="Times New Roman" w:hAnsi="Times New Roman" w:cs="Times New Roman"/>
                <w:noProof/>
                <w:sz w:val="28"/>
                <w:szCs w:val="28"/>
              </w:rPr>
              <w:t>5. Sustainability and Ethical Considerations</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_Toc213785867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6</w:t>
            </w:r>
            <w:r w:rsidRPr="00EF0181">
              <w:rPr>
                <w:rFonts w:ascii="Times New Roman" w:hAnsi="Times New Roman" w:cs="Times New Roman"/>
                <w:noProof/>
                <w:webHidden/>
                <w:sz w:val="28"/>
                <w:szCs w:val="28"/>
              </w:rPr>
              <w:fldChar w:fldCharType="end"/>
            </w:r>
          </w:hyperlink>
        </w:p>
        <w:p w14:paraId="50091F2C" w14:textId="786C4613" w:rsidR="0053159F" w:rsidRPr="00EF0181" w:rsidRDefault="0053159F">
          <w:pPr>
            <w:pStyle w:val="TOC1"/>
            <w:tabs>
              <w:tab w:val="right" w:leader="dot" w:pos="8630"/>
            </w:tabs>
            <w:rPr>
              <w:rFonts w:ascii="Times New Roman" w:hAnsi="Times New Roman" w:cs="Times New Roman"/>
              <w:noProof/>
              <w:sz w:val="28"/>
              <w:szCs w:val="28"/>
            </w:rPr>
          </w:pPr>
          <w:hyperlink w:anchor="_Toc213785868" w:history="1">
            <w:r w:rsidRPr="00EF0181">
              <w:rPr>
                <w:rStyle w:val="Hyperlink"/>
                <w:rFonts w:ascii="Times New Roman" w:hAnsi="Times New Roman" w:cs="Times New Roman"/>
                <w:noProof/>
                <w:sz w:val="28"/>
                <w:szCs w:val="28"/>
              </w:rPr>
              <w:t>6. Conclusion and Recommendations</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_Toc213785868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8</w:t>
            </w:r>
            <w:r w:rsidRPr="00EF0181">
              <w:rPr>
                <w:rFonts w:ascii="Times New Roman" w:hAnsi="Times New Roman" w:cs="Times New Roman"/>
                <w:noProof/>
                <w:webHidden/>
                <w:sz w:val="28"/>
                <w:szCs w:val="28"/>
              </w:rPr>
              <w:fldChar w:fldCharType="end"/>
            </w:r>
          </w:hyperlink>
        </w:p>
        <w:p w14:paraId="08FDC5D6" w14:textId="0D89CB4E" w:rsidR="0053159F" w:rsidRPr="00EF0181" w:rsidRDefault="0053159F">
          <w:pPr>
            <w:pStyle w:val="TOC1"/>
            <w:tabs>
              <w:tab w:val="right" w:leader="dot" w:pos="8630"/>
            </w:tabs>
            <w:rPr>
              <w:rFonts w:ascii="Times New Roman" w:hAnsi="Times New Roman" w:cs="Times New Roman"/>
              <w:noProof/>
              <w:sz w:val="24"/>
              <w:szCs w:val="24"/>
            </w:rPr>
          </w:pPr>
          <w:hyperlink w:anchor="_Toc213785869" w:history="1">
            <w:r w:rsidRPr="00EF0181">
              <w:rPr>
                <w:rStyle w:val="Hyperlink"/>
                <w:rFonts w:ascii="Times New Roman" w:hAnsi="Times New Roman" w:cs="Times New Roman"/>
                <w:noProof/>
                <w:sz w:val="28"/>
                <w:szCs w:val="28"/>
              </w:rPr>
              <w:t>References</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_Toc213785869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9</w:t>
            </w:r>
            <w:r w:rsidRPr="00EF0181">
              <w:rPr>
                <w:rFonts w:ascii="Times New Roman" w:hAnsi="Times New Roman" w:cs="Times New Roman"/>
                <w:noProof/>
                <w:webHidden/>
                <w:sz w:val="28"/>
                <w:szCs w:val="28"/>
              </w:rPr>
              <w:fldChar w:fldCharType="end"/>
            </w:r>
          </w:hyperlink>
        </w:p>
        <w:p w14:paraId="536F7C68" w14:textId="7A49244F" w:rsidR="0053159F" w:rsidRDefault="0053159F">
          <w:r w:rsidRPr="00EF0181">
            <w:rPr>
              <w:b/>
              <w:bCs/>
              <w:noProof/>
              <w:sz w:val="24"/>
              <w:szCs w:val="24"/>
            </w:rPr>
            <w:fldChar w:fldCharType="end"/>
          </w:r>
        </w:p>
      </w:sdtContent>
    </w:sdt>
    <w:p w14:paraId="5FBFD7C6" w14:textId="77777777" w:rsidR="0053159F" w:rsidRDefault="0053159F" w:rsidP="00676B5E">
      <w:pPr>
        <w:spacing w:line="360" w:lineRule="auto"/>
        <w:jc w:val="both"/>
        <w:rPr>
          <w:rFonts w:ascii="Times New Roman" w:hAnsi="Times New Roman" w:cs="Times New Roman"/>
          <w:b/>
          <w:color w:val="000000" w:themeColor="text1"/>
          <w:sz w:val="24"/>
          <w:szCs w:val="24"/>
        </w:rPr>
      </w:pPr>
    </w:p>
    <w:p w14:paraId="0647629B" w14:textId="77777777" w:rsidR="0053159F" w:rsidRDefault="0053159F" w:rsidP="00676B5E">
      <w:pPr>
        <w:spacing w:line="360" w:lineRule="auto"/>
        <w:jc w:val="both"/>
        <w:rPr>
          <w:rFonts w:ascii="Times New Roman" w:hAnsi="Times New Roman" w:cs="Times New Roman"/>
          <w:b/>
          <w:color w:val="000000" w:themeColor="text1"/>
          <w:sz w:val="24"/>
          <w:szCs w:val="24"/>
        </w:rPr>
      </w:pPr>
    </w:p>
    <w:p w14:paraId="0D55C9FA" w14:textId="77777777" w:rsidR="0053159F" w:rsidRDefault="0053159F" w:rsidP="00676B5E">
      <w:pPr>
        <w:spacing w:line="360" w:lineRule="auto"/>
        <w:jc w:val="both"/>
        <w:rPr>
          <w:rFonts w:ascii="Times New Roman" w:hAnsi="Times New Roman" w:cs="Times New Roman"/>
          <w:b/>
          <w:color w:val="000000" w:themeColor="text1"/>
          <w:sz w:val="24"/>
          <w:szCs w:val="24"/>
        </w:rPr>
      </w:pPr>
    </w:p>
    <w:p w14:paraId="51B191C5"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32E9D73A"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2683DEFB"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301B334A"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66D04DA3"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78074E0B"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712BF8F6"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396CF93D"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03AA60A3"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4514ABF2"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3B5C71FB" w14:textId="77777777" w:rsidR="0053159F" w:rsidRPr="00676B5E" w:rsidRDefault="0053159F" w:rsidP="00676B5E">
      <w:pPr>
        <w:spacing w:line="360" w:lineRule="auto"/>
        <w:jc w:val="both"/>
        <w:rPr>
          <w:rFonts w:ascii="Times New Roman" w:hAnsi="Times New Roman" w:cs="Times New Roman"/>
          <w:color w:val="000000" w:themeColor="text1"/>
          <w:sz w:val="24"/>
          <w:szCs w:val="24"/>
        </w:rPr>
      </w:pPr>
    </w:p>
    <w:p w14:paraId="0CD5DBA8" w14:textId="3E6E571B" w:rsidR="00676B5E" w:rsidRPr="00EF4E85" w:rsidRDefault="00000000" w:rsidP="00676B5E">
      <w:pPr>
        <w:pStyle w:val="Heading1"/>
        <w:numPr>
          <w:ilvl w:val="0"/>
          <w:numId w:val="10"/>
        </w:numPr>
        <w:spacing w:line="360" w:lineRule="auto"/>
        <w:jc w:val="both"/>
        <w:rPr>
          <w:rFonts w:ascii="Times New Roman" w:hAnsi="Times New Roman" w:cs="Times New Roman"/>
          <w:color w:val="000000" w:themeColor="text1"/>
        </w:rPr>
      </w:pPr>
      <w:bookmarkStart w:id="0" w:name="_Toc213785862"/>
      <w:r w:rsidRPr="00676B5E">
        <w:rPr>
          <w:rFonts w:ascii="Times New Roman" w:hAnsi="Times New Roman" w:cs="Times New Roman"/>
          <w:color w:val="000000" w:themeColor="text1"/>
        </w:rPr>
        <w:lastRenderedPageBreak/>
        <w:t>Introduction</w:t>
      </w:r>
      <w:bookmarkEnd w:id="0"/>
    </w:p>
    <w:p w14:paraId="02D0CA45" w14:textId="33A473AE" w:rsidR="00676B5E" w:rsidRDefault="00676B5E" w:rsidP="00EF0181">
      <w:pPr>
        <w:pStyle w:val="Heading2"/>
        <w:spacing w:line="360" w:lineRule="auto"/>
        <w:jc w:val="both"/>
        <w:rPr>
          <w:rFonts w:ascii="Times New Roman" w:eastAsiaTheme="minorEastAsia" w:hAnsi="Times New Roman" w:cs="Times New Roman"/>
          <w:b w:val="0"/>
          <w:bCs w:val="0"/>
          <w:color w:val="000000" w:themeColor="text1"/>
          <w:sz w:val="24"/>
          <w:szCs w:val="24"/>
        </w:rPr>
      </w:pPr>
      <w:bookmarkStart w:id="1" w:name="_Toc213785863"/>
      <w:r w:rsidRPr="00676B5E">
        <w:rPr>
          <w:rFonts w:ascii="Times New Roman" w:eastAsiaTheme="minorEastAsia" w:hAnsi="Times New Roman" w:cs="Times New Roman"/>
          <w:b w:val="0"/>
          <w:bCs w:val="0"/>
          <w:color w:val="000000" w:themeColor="text1"/>
          <w:sz w:val="24"/>
          <w:szCs w:val="24"/>
        </w:rPr>
        <w:t>Wise plc (LSE: WISE), formerly known as TransferWise, is a London-listed fintech that provides cross-border money transfers and multi-currency accounts for customers. In FY2025 (year to 31 March 2025), the company served 15.6 million active customers and handled £145.2 billion of cross-border payments, highlighting its scale and importance in global payments (Wise plc, 2025). Contemporary management accounting supplies the analytical backbone that allows digital firms to plan, steer and decide confidently amid rapid change and abundant data. Techniques including cost–volume–profit (CVP) analysis, activity-based costing (ABC), budgeting with rolling forecasts, variance analysis, and performance frameworks such as the Balanced Scorecard inform resource allocation, pricing, and strategic direction and priorities (Horngren, Datar &amp; Rajan, 2015; Kaplan &amp; Norton, 1992; Hope &amp; Fraser, 2003). This report examines how these management accounting practices operate within Wise, emphasising its cost structure and business model, budgeting and financial planning, performance metrics, and sustainability and ethics, and concludes with evidence-based recommendations</w:t>
      </w:r>
      <w:bookmarkEnd w:id="1"/>
    </w:p>
    <w:p w14:paraId="0085F27C" w14:textId="77777777" w:rsidR="00EF0181" w:rsidRPr="00EF0181" w:rsidRDefault="00EF0181" w:rsidP="00EF0181"/>
    <w:p w14:paraId="2E96E97E" w14:textId="6C145384" w:rsidR="00676B5E" w:rsidRPr="00676B5E" w:rsidRDefault="00000000" w:rsidP="00EF4E85">
      <w:pPr>
        <w:pStyle w:val="Heading1"/>
        <w:spacing w:line="360" w:lineRule="auto"/>
        <w:rPr>
          <w:rFonts w:ascii="Times New Roman" w:hAnsi="Times New Roman" w:cs="Times New Roman"/>
          <w:color w:val="000000" w:themeColor="text1"/>
        </w:rPr>
      </w:pPr>
      <w:bookmarkStart w:id="2" w:name="_Toc213785864"/>
      <w:r w:rsidRPr="00676B5E">
        <w:rPr>
          <w:rFonts w:ascii="Times New Roman" w:hAnsi="Times New Roman" w:cs="Times New Roman"/>
          <w:color w:val="000000" w:themeColor="text1"/>
        </w:rPr>
        <w:t>2. Cost Analysis and Business Model</w:t>
      </w:r>
      <w:bookmarkEnd w:id="2"/>
      <w:r w:rsidRPr="00676B5E">
        <w:rPr>
          <w:rFonts w:ascii="Times New Roman" w:hAnsi="Times New Roman" w:cs="Times New Roman"/>
          <w:color w:val="000000" w:themeColor="text1"/>
        </w:rPr>
        <w:t xml:space="preserve"> </w:t>
      </w:r>
    </w:p>
    <w:p w14:paraId="0524D04B" w14:textId="7CD81038" w:rsidR="00FE1EED" w:rsidRDefault="00000000" w:rsidP="00FE1EED">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 xml:space="preserve">Revenue model. Wise generates income from three primary sources: cross‑border fees on money transfers and currency conversions; card revenue (predominantly interchange fees from debit card usage); and ‘other’ revenue streams such as business account set‑up fees, card replacement fees and fees on its Wise Assets investment features. In FY2025, revenue reached £1,211.9m, comprising £840.4m from cross‑border, £219.8m from card, and £151.7m from other revenue (Wise plc, 2025). Wise also earns interest income on customer balances; under its policy, it treats only the first 1% gross yield as ‘underlying interest income’ for management performance tracking (Wise plc, 2025). Importantly, Wise has continued to reduce prices to customers, with the cross‑border ‘take rate’ declining to c.58 bps for FY2025 and to ~53 bps by Q4 FY2025 as efficiency gains were passed on (Wise plc, 2025). In FY2024, the average cross‑border price was 0.67% and 62% of transfers were instant, reflecting operational efficiencies that underpin the pricing model (Wise plc, </w:t>
      </w:r>
      <w:r w:rsidRPr="00676B5E">
        <w:rPr>
          <w:rFonts w:ascii="Times New Roman" w:hAnsi="Times New Roman" w:cs="Times New Roman"/>
          <w:color w:val="000000" w:themeColor="text1"/>
          <w:sz w:val="24"/>
          <w:szCs w:val="24"/>
        </w:rPr>
        <w:lastRenderedPageBreak/>
        <w:t xml:space="preserve">2024).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 xml:space="preserve">Cost structure. Wise’s cost base comprises (a) cost of sales (network, liquidity and payment processing costs), (b) administrative expenses (people costs, technology, outsourced services and marketing), and (c) finance costs. In FY2025, cost of sales and credit losses totalled £337.2m (+5% YoY), while administrative expenses rose to £768.6m (+25% YoY), driven by a 9% increase in employee benefit expenses to £412.7m, higher outsourced service costs (+42% YoY to £128.1m), technology expenses (+23% YoY to £65.9m), and a deliberate 47% rise in marketing spend to £53.8m to support growth (Wise plc, 2025). These cost dynamics illustrate a mixed cost structure: • Fixed and step‑fixed costs: engineering talent, compliance teams, core platform and connectivity, and long‑term licensing and infrastructure commitments (e.g., direct connections to domestic payment systems in Australia, the Philippines and Japan) create a substantial fixed and step‑fixed cost base that supports scaling (Wise plc, 2024; 2025). • Variable and semi‑variable costs: processing fees, card scheme fees, fraud‑loss provisions and customer support scale with volume and activity. Marketing spend is partly discretionary but is often treated as variable with growth targets.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Implications for management accounting. With high operating leverage in technology and network capacity but variable costs tied to transaction throughput, CVP analysis and contribution margin tracking are central to Wise’s pricing and product decisions (Horngren, Datar &amp; Rajan, 2015). ABC can improve visibility of cost drivers across cross‑border corridors, card usage patterns, and compliance workloads, informing route‑level pricing and discounting. Moreover, monitoring cost‑to‑income ratios at product and region level helps assess scale efficiency, while scenario analysis evaluates the margin impact of fee reductions versus expected elasticity of demand (Kaplan &amp; Atkinson, 2015).</w:t>
      </w:r>
      <w:bookmarkStart w:id="3" w:name="_Toc213785865"/>
    </w:p>
    <w:p w14:paraId="15E66B32" w14:textId="77777777" w:rsidR="00FE1EED" w:rsidRPr="00FE1EED" w:rsidRDefault="00FE1EED" w:rsidP="00FE1EED">
      <w:pPr>
        <w:spacing w:line="360" w:lineRule="auto"/>
        <w:jc w:val="both"/>
        <w:rPr>
          <w:rFonts w:ascii="Times New Roman" w:hAnsi="Times New Roman" w:cs="Times New Roman"/>
          <w:color w:val="000000" w:themeColor="text1"/>
          <w:sz w:val="24"/>
          <w:szCs w:val="24"/>
        </w:rPr>
      </w:pPr>
    </w:p>
    <w:p w14:paraId="649C0FBC" w14:textId="35FB4F7A" w:rsidR="00676B5E" w:rsidRPr="00676B5E" w:rsidRDefault="00000000" w:rsidP="00EF4E85">
      <w:pPr>
        <w:pStyle w:val="Heading1"/>
        <w:spacing w:line="360" w:lineRule="auto"/>
        <w:rPr>
          <w:rFonts w:ascii="Times New Roman" w:hAnsi="Times New Roman" w:cs="Times New Roman"/>
          <w:color w:val="000000" w:themeColor="text1"/>
        </w:rPr>
      </w:pPr>
      <w:r w:rsidRPr="00676B5E">
        <w:rPr>
          <w:rFonts w:ascii="Times New Roman" w:hAnsi="Times New Roman" w:cs="Times New Roman"/>
          <w:color w:val="000000" w:themeColor="text1"/>
        </w:rPr>
        <w:lastRenderedPageBreak/>
        <w:t>3. Budgeting and Financial Planning</w:t>
      </w:r>
      <w:bookmarkEnd w:id="3"/>
      <w:r w:rsidRPr="00676B5E">
        <w:rPr>
          <w:rFonts w:ascii="Times New Roman" w:hAnsi="Times New Roman" w:cs="Times New Roman"/>
          <w:color w:val="000000" w:themeColor="text1"/>
        </w:rPr>
        <w:t xml:space="preserve"> </w:t>
      </w:r>
    </w:p>
    <w:p w14:paraId="6E6BC31E" w14:textId="06E88877" w:rsidR="00676B5E" w:rsidRPr="00676B5E" w:rsidRDefault="00000000" w:rsidP="00676B5E">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 xml:space="preserve">Role of budgeting. For a fast‑growing, regulated fintech, budgeting serves multiple purposes: (1) setting revenue, volume and cost targets aligned to strategic objectives (e.g., growth in active customers and cross‑border volume); (2) resourcing technology, regulatory and risk‑management investments; and (3) providing baselines for variance analysis and rolling re‑forecasts in response to market conditions (CIMA, 2009; Hope &amp; Fraser, 2003). Wise discloses medium‑term guidance of 15–20% CAGR for underlying income and a sustainable underlying PBT margin of 13–16%, while operating above this range at 21% in FY2025 as it reinvested efficiency gains into lower prices and infrastructure (Wise plc, 2025). Such guidance anchors financial planning and capital allocation (including a planned ~£2bn investment over two years in infrastructure, marketing and products), while still permitting agility via dynamic re‑pricing and corridor economics reviews (Wise plc, 2025).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 xml:space="preserve">Current year‑on‑year change in operating expenses and drivers. Google Finance shows Wise’s operating expense for Fiscal Q2 FY2026 (quarter ended 30 September 2025) at c. £232.95m, up 26.29% YoY (Google Finance, 2025). Management disclosures attribute FY2025 administrative cost growth (+25% YoY) to continued hiring to support scale (headcount exceeded 6,500), higher outsourced servicing to flex capacity, stepped‑up marketing (+47%) to acquire and engage customers, and increased technology spend (+23%) to enhance payments infrastructure (Wise plc, 2025). These are largely internal, strategic choices to build capacity and accelerate growth. Externally, macro‑drivers also intersect with the budget: (i) elevated global interest rates increased interest income on customer balances, enabling price reductions that, in turn, required volume‑led budgeting to sustain margins (Wise plc, 2024; WSJ, 2024); (ii) regulatory expansion and licensing in markets such as Japan and India add compliance and implementation costs (Wise plc, 2024; 2025).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 xml:space="preserve">Planning implications. In this context, rolling forecasts and driver‑based models are appropriate: volumes by corridor, take‑rate trajectories, marketing efficiency (CAC/LTV), fraud‑loss rates, and unit processing costs should be embedded in forecast algorithms. </w:t>
      </w:r>
      <w:r w:rsidRPr="00676B5E">
        <w:rPr>
          <w:rFonts w:ascii="Times New Roman" w:hAnsi="Times New Roman" w:cs="Times New Roman"/>
          <w:color w:val="000000" w:themeColor="text1"/>
          <w:sz w:val="24"/>
          <w:szCs w:val="24"/>
        </w:rPr>
        <w:lastRenderedPageBreak/>
        <w:t>Sensitivity and scenario analysis—e.g., a 5–10 bps reduction in take rate vs. elasticity‑driven volume uplift; or a 10–20% change in card interchange yields—help management judge whether price cuts remain value‑accretive and consistent with the mid‑term margin target (Kaplan &amp; Atkinson, 2015; CIMA, 2009)</w:t>
      </w:r>
    </w:p>
    <w:p w14:paraId="173CDC28" w14:textId="45153CAE" w:rsidR="00676B5E" w:rsidRPr="00676B5E" w:rsidRDefault="00000000" w:rsidP="00EF4E85">
      <w:pPr>
        <w:pStyle w:val="Heading1"/>
        <w:spacing w:line="360" w:lineRule="auto"/>
        <w:rPr>
          <w:rFonts w:ascii="Times New Roman" w:hAnsi="Times New Roman" w:cs="Times New Roman"/>
          <w:color w:val="000000" w:themeColor="text1"/>
        </w:rPr>
      </w:pPr>
      <w:bookmarkStart w:id="4" w:name="_Toc213785866"/>
      <w:r w:rsidRPr="00676B5E">
        <w:rPr>
          <w:rFonts w:ascii="Times New Roman" w:hAnsi="Times New Roman" w:cs="Times New Roman"/>
          <w:color w:val="000000" w:themeColor="text1"/>
        </w:rPr>
        <w:t>4. Performance Measurement and Decision‑Making</w:t>
      </w:r>
      <w:bookmarkEnd w:id="4"/>
      <w:r w:rsidRPr="00676B5E">
        <w:rPr>
          <w:rFonts w:ascii="Times New Roman" w:hAnsi="Times New Roman" w:cs="Times New Roman"/>
          <w:color w:val="000000" w:themeColor="text1"/>
        </w:rPr>
        <w:t xml:space="preserve"> </w:t>
      </w:r>
    </w:p>
    <w:p w14:paraId="52D4D358" w14:textId="77777777" w:rsidR="00144B01" w:rsidRPr="00676B5E" w:rsidRDefault="00000000" w:rsidP="00676B5E">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Management accounting underpins Wise’s data‑driven decision‑making. A robust performance framework combines financial and non‑financial KPIs, aligned with the company’s mission of “money without borders” and a low‑cost, high‑speed value proposition (Kaplan &amp; Norton, 1992; Wise, Mission page). Key indicators, drawn from investor disclosures and common fintech practice, include:</w:t>
      </w:r>
    </w:p>
    <w:p w14:paraId="49BCA92A" w14:textId="77777777" w:rsidR="00144B01" w:rsidRPr="00676B5E" w:rsidRDefault="00000000" w:rsidP="00676B5E">
      <w:pPr>
        <w:pStyle w:val="ListBullet"/>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Active customers (million): 15.6m in FY2025 (+21% YoY). Indicates market penetration and network effects; supports capacity planning and marketing ROI calibration. (Wise plc, 2025).</w:t>
      </w:r>
    </w:p>
    <w:p w14:paraId="65B2940F" w14:textId="77777777" w:rsidR="00144B01" w:rsidRPr="00676B5E" w:rsidRDefault="00000000" w:rsidP="00676B5E">
      <w:pPr>
        <w:pStyle w:val="ListBullet"/>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Cross‑border volume (£bn): £145.2bn in FY2025 (+23% YoY). A principal activity driver for revenue and cost; central to CVP, corridor profitability and liquidity management. (Wise plc, 2025).</w:t>
      </w:r>
    </w:p>
    <w:p w14:paraId="0EE7018F" w14:textId="77777777" w:rsidR="00144B01" w:rsidRPr="00676B5E" w:rsidRDefault="00000000" w:rsidP="00676B5E">
      <w:pPr>
        <w:pStyle w:val="ListBullet"/>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Take rate (cross‑border revenue/volume, bps): ~58 bps in FY2025; ~53 bps by Q4 FY2025. Guides pricing decisions and tests price‑elasticity hypotheses while balancing margin. (Wise plc, 2025; The Times, 2025).</w:t>
      </w:r>
    </w:p>
    <w:p w14:paraId="4F3372F6" w14:textId="77777777" w:rsidR="00144B01" w:rsidRPr="00676B5E" w:rsidRDefault="00000000" w:rsidP="00676B5E">
      <w:pPr>
        <w:pStyle w:val="ListBullet"/>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Cost‑to‑income / administrative expense growth: Admin expenses +25% YoY in FY2025; Opex +26.3% YoY in Q2 FY26. Tracks operating leverage and overhead absorption vs. scaling. (Wise plc, 2025; Google Finance, 2025).</w:t>
      </w:r>
    </w:p>
    <w:p w14:paraId="03CE210F" w14:textId="77777777" w:rsidR="00144B01" w:rsidRPr="00676B5E" w:rsidRDefault="00000000" w:rsidP="00676B5E">
      <w:pPr>
        <w:pStyle w:val="ListBullet"/>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Service performance and customer outcomes: instant payments share (≈65% in FY2025) and average price (0.67% in FY2024). Non‑financial KPIs inform customer value, NPS, churn, and acquisition via referrals. (Wise plc, 2024; 2025).</w:t>
      </w:r>
    </w:p>
    <w:p w14:paraId="15D70030" w14:textId="77777777" w:rsidR="00144B01" w:rsidRPr="00676B5E" w:rsidRDefault="00000000" w:rsidP="00676B5E">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br/>
        <w:t xml:space="preserve">Strategic choices based on data. Wise’s decision to reduce cross‑border fees—bringing the take rate down by c.14 bps from Q4 FY2024 to Q4 FY2025—illustrates how management uses unit economics and cohort‑level data to trade current‑period revenue for higher </w:t>
      </w:r>
      <w:r w:rsidRPr="00676B5E">
        <w:rPr>
          <w:rFonts w:ascii="Times New Roman" w:hAnsi="Times New Roman" w:cs="Times New Roman"/>
          <w:color w:val="000000" w:themeColor="text1"/>
          <w:sz w:val="24"/>
          <w:szCs w:val="24"/>
        </w:rPr>
        <w:lastRenderedPageBreak/>
        <w:t xml:space="preserve">volume, retention and network growth (Wise plc, 2025). In FY2025, card revenue grew 31% to £219.8m, and other revenue rose 71% to £151.7m, evidencing diversification beyond transfers and validating prior product investment and pricing signals (Wise plc, 2025). Meanwhile, the company’s policy to return ~80% of ‘interest income above the first 1% yield’ on customer balances to customers (with 45% actually paid in FY2025 due to regulatory and market constraints) shows how management accounting measures shape ethical pricing and customer value propositions while protecting mid‑term profitability (Wise plc, 2025).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Decision‑support techniques. Wise’s environment favours Balanced Scorecard logic—financial (underlying PBT margin, UFCF), customer (NPS, adoption of multi‑feature accounts), internal process (instant payout rate, failed‑payment ratio, fraud‑loss rate), and learning &amp; growth (product release cadence, engineering productivity)—to translate strategy into operational metrics and incentives (Kaplan &amp; Norton, 1996). Route‑level profitability analysis using ABC and contribution margins helps prioritise corridor build‑outs and re‑pricing. Real‑time dashboards and exception‑based variance monitoring enable swift corrective actions in marketing spend, operational staffing, and fraud controls (IMA, 2017).</w:t>
      </w:r>
    </w:p>
    <w:p w14:paraId="08EB392C" w14:textId="77777777" w:rsidR="00676B5E" w:rsidRPr="00676B5E" w:rsidRDefault="00676B5E" w:rsidP="00676B5E">
      <w:pPr>
        <w:spacing w:line="360" w:lineRule="auto"/>
        <w:jc w:val="both"/>
        <w:rPr>
          <w:rFonts w:ascii="Times New Roman" w:hAnsi="Times New Roman" w:cs="Times New Roman"/>
          <w:color w:val="000000" w:themeColor="text1"/>
          <w:sz w:val="24"/>
          <w:szCs w:val="24"/>
        </w:rPr>
      </w:pPr>
    </w:p>
    <w:p w14:paraId="5FE33AEF" w14:textId="2A108A3D" w:rsidR="00676B5E" w:rsidRPr="00676B5E" w:rsidRDefault="00000000" w:rsidP="00EF4E85">
      <w:pPr>
        <w:pStyle w:val="Heading1"/>
        <w:spacing w:line="360" w:lineRule="auto"/>
        <w:rPr>
          <w:rFonts w:ascii="Times New Roman" w:hAnsi="Times New Roman" w:cs="Times New Roman"/>
          <w:color w:val="000000" w:themeColor="text1"/>
        </w:rPr>
      </w:pPr>
      <w:bookmarkStart w:id="5" w:name="_Toc213785867"/>
      <w:r w:rsidRPr="00676B5E">
        <w:rPr>
          <w:rFonts w:ascii="Times New Roman" w:hAnsi="Times New Roman" w:cs="Times New Roman"/>
          <w:color w:val="000000" w:themeColor="text1"/>
        </w:rPr>
        <w:t>5. Sustainability and Ethical Considerations</w:t>
      </w:r>
      <w:bookmarkEnd w:id="5"/>
      <w:r w:rsidRPr="00676B5E">
        <w:rPr>
          <w:rFonts w:ascii="Times New Roman" w:hAnsi="Times New Roman" w:cs="Times New Roman"/>
          <w:color w:val="000000" w:themeColor="text1"/>
        </w:rPr>
        <w:t xml:space="preserve"> </w:t>
      </w:r>
    </w:p>
    <w:p w14:paraId="473BA93B" w14:textId="77777777" w:rsidR="00144B01" w:rsidRPr="00676B5E" w:rsidRDefault="00000000" w:rsidP="00676B5E">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 xml:space="preserve">Sustainability integration. Wise has progressed climate‑related financial disclosures (aligned with TCFD) since FY2023, establishing a Sustainability team to oversee climate risks and opportunities within its governance framework (Wise plc, 2023). In FY2025, the company notes strengthening ESG oversight, including board‑level governance structures (e.g., committee remit) and continued transparency on customer interest income sharing (Wise plc, 2025). As a digital‑first payments platform, Wise’s direct environmental footprint is relatively modest compared to heavy industry; nonetheless, data‑centre efficiency, renewable energy sourcing, and vendor standards remain pertinent to its Scope 2 and upstream Scope 3 emissions. Incorporating carbon‑aware procurement criteria and </w:t>
      </w:r>
      <w:r w:rsidRPr="00676B5E">
        <w:rPr>
          <w:rFonts w:ascii="Times New Roman" w:hAnsi="Times New Roman" w:cs="Times New Roman"/>
          <w:color w:val="000000" w:themeColor="text1"/>
          <w:sz w:val="24"/>
          <w:szCs w:val="24"/>
        </w:rPr>
        <w:lastRenderedPageBreak/>
        <w:t xml:space="preserve">cloud efficiency metrics into budgeting and supplier scorecards are management accounting levers to embed sustainability into financial decisions (CIMA, 2019).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Ethical considerations in cost management and pricing. Wise’s model emphasises transparent, upfront fees with no hidden FX mark‑ups (Wise, Pricing page). The stated policy to share the majority of excess interest income on customer balances and to reduce fees as efficiency improves aligns with principles of fairness and stakeholder value, but it also requires rigorous cost‑traceability to avoid cross‑subsidies that could undermine sustainability of service quality (Wise plc, 2025). Strong financial‑crime controls (including machine‑learning‑enabled monitoring) are essential to protect customers and the financial system; budgeting must recognise the cost of compliance and fraud prevention as value‑preserving investments (Wise plc, 2024). In line with the IMA’s Statement of Ethical Professional Practice, management accountants at Wise should continue to champion competence, confidentiality, integrity and credibility in reporting, especially when making pricing and investment trade‑offs (IMA, 2017). Wise’s Modern Slavery &amp; Human Trafficking Statement (2025) further evidences commitments to ethical supply chains and labour practices across jurisdictions—an area where supplier due diligence and spend analytics are integral to governance and assurance (Wise plc, 2025b).</w:t>
      </w:r>
    </w:p>
    <w:p w14:paraId="2F320DC1" w14:textId="5794216C" w:rsidR="00676B5E" w:rsidRPr="00676B5E" w:rsidRDefault="00000000" w:rsidP="00EF4E85">
      <w:pPr>
        <w:pStyle w:val="Heading1"/>
        <w:spacing w:line="360" w:lineRule="auto"/>
        <w:rPr>
          <w:rFonts w:ascii="Times New Roman" w:hAnsi="Times New Roman" w:cs="Times New Roman"/>
          <w:color w:val="000000" w:themeColor="text1"/>
        </w:rPr>
      </w:pPr>
      <w:bookmarkStart w:id="6" w:name="_Toc213785868"/>
      <w:r w:rsidRPr="00676B5E">
        <w:rPr>
          <w:rFonts w:ascii="Times New Roman" w:hAnsi="Times New Roman" w:cs="Times New Roman"/>
          <w:color w:val="000000" w:themeColor="text1"/>
        </w:rPr>
        <w:t>6. Conclusion and Recommendations</w:t>
      </w:r>
      <w:bookmarkEnd w:id="6"/>
      <w:r w:rsidRPr="00676B5E">
        <w:rPr>
          <w:rFonts w:ascii="Times New Roman" w:hAnsi="Times New Roman" w:cs="Times New Roman"/>
          <w:color w:val="000000" w:themeColor="text1"/>
        </w:rPr>
        <w:t xml:space="preserve"> </w:t>
      </w:r>
    </w:p>
    <w:p w14:paraId="03FB88CD" w14:textId="1AB6B7F7" w:rsidR="00EF4E85" w:rsidRPr="00676B5E" w:rsidRDefault="00000000" w:rsidP="00676B5E">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 xml:space="preserve">Wise’s management accounting practices are central to sustaining growth while preserving a low‑cost, high‑speed proposition. The company’s revenue mix (cross‑border, card, other) and interest income framework, alongside a cost structure with significant fixed and step‑fixed elements, create operating leverage that can be harnessed through disciplined budgeting, CVP analysis, and corridor‑level ABC. A balanced KPI set—active customers, cross‑border volume, take rate, cost‑to‑income/opex growth, and service performance—supports data‑driven decisions on pricing, capacity and market expansion.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 xml:space="preserve">Recommendations. (1) Deepen driver‑based, rolling forecasts that link price changes (bps) to volume elasticity and unit cost trajectories; incorporate guardrails to preserve the 13–16% mid‑term PBT‑margin target. (2) Expand ABC to include compliance and </w:t>
      </w:r>
      <w:r w:rsidRPr="00676B5E">
        <w:rPr>
          <w:rFonts w:ascii="Times New Roman" w:hAnsi="Times New Roman" w:cs="Times New Roman"/>
          <w:color w:val="000000" w:themeColor="text1"/>
          <w:sz w:val="24"/>
          <w:szCs w:val="24"/>
        </w:rPr>
        <w:lastRenderedPageBreak/>
        <w:t>fraud‑management activities, improving transparency of corridor‑level risk‑adjusted margins and informing selective price cuts. (3) Integrate climate and ethical‑sourcing KPIs (e.g., supplier ESG scores, cloud energy intensity) into management dashboards, aligning internal budgets and supplier contracts with Wise’s TCFD and modern‑slavery commitments. Collectively, these steps will strengthen decision quality and sustainable value creation.</w:t>
      </w:r>
    </w:p>
    <w:p w14:paraId="68DBA9E4" w14:textId="2DEAFDB7" w:rsidR="00144B01" w:rsidRPr="00676B5E" w:rsidRDefault="00000000" w:rsidP="00676B5E">
      <w:pPr>
        <w:pStyle w:val="Heading1"/>
        <w:spacing w:line="360" w:lineRule="auto"/>
        <w:rPr>
          <w:rFonts w:ascii="Times New Roman" w:hAnsi="Times New Roman" w:cs="Times New Roman"/>
          <w:color w:val="000000" w:themeColor="text1"/>
        </w:rPr>
      </w:pPr>
      <w:bookmarkStart w:id="7" w:name="_Toc213785869"/>
      <w:r w:rsidRPr="00676B5E">
        <w:rPr>
          <w:rFonts w:ascii="Times New Roman" w:hAnsi="Times New Roman" w:cs="Times New Roman"/>
          <w:color w:val="000000" w:themeColor="text1"/>
        </w:rPr>
        <w:t>References</w:t>
      </w:r>
      <w:bookmarkEnd w:id="7"/>
      <w:r w:rsidRPr="00676B5E">
        <w:rPr>
          <w:rFonts w:ascii="Times New Roman" w:hAnsi="Times New Roman" w:cs="Times New Roman"/>
          <w:color w:val="000000" w:themeColor="text1"/>
        </w:rPr>
        <w:t xml:space="preserve"> </w:t>
      </w:r>
    </w:p>
    <w:p w14:paraId="51078394" w14:textId="77777777" w:rsidR="00676B5E" w:rsidRPr="00676B5E" w:rsidRDefault="00676B5E" w:rsidP="00676B5E">
      <w:pPr>
        <w:spacing w:line="360" w:lineRule="auto"/>
        <w:rPr>
          <w:rFonts w:ascii="Times New Roman" w:hAnsi="Times New Roman" w:cs="Times New Roman"/>
          <w:color w:val="000000" w:themeColor="text1"/>
        </w:rPr>
      </w:pPr>
    </w:p>
    <w:p w14:paraId="72516088"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CIMA (2009) </w:t>
      </w:r>
      <w:r w:rsidRPr="00676B5E">
        <w:rPr>
          <w:rFonts w:ascii="Times New Roman" w:hAnsi="Times New Roman" w:cs="Times New Roman"/>
          <w:i/>
          <w:iCs/>
          <w:color w:val="000000" w:themeColor="text1"/>
          <w:sz w:val="24"/>
          <w:szCs w:val="24"/>
          <w:lang w:val="bg-BG"/>
        </w:rPr>
        <w:t>Management Accounting Official Terminology</w:t>
      </w:r>
      <w:r w:rsidRPr="00676B5E">
        <w:rPr>
          <w:rFonts w:ascii="Times New Roman" w:hAnsi="Times New Roman" w:cs="Times New Roman"/>
          <w:color w:val="000000" w:themeColor="text1"/>
          <w:sz w:val="24"/>
          <w:szCs w:val="24"/>
          <w:lang w:val="bg-BG"/>
        </w:rPr>
        <w:t>. London: Chartered Institute of Management Accountants.</w:t>
      </w:r>
    </w:p>
    <w:p w14:paraId="36F1286F"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CIMA (2019) </w:t>
      </w:r>
      <w:r w:rsidRPr="00676B5E">
        <w:rPr>
          <w:rFonts w:ascii="Times New Roman" w:hAnsi="Times New Roman" w:cs="Times New Roman"/>
          <w:i/>
          <w:iCs/>
          <w:color w:val="000000" w:themeColor="text1"/>
          <w:sz w:val="24"/>
          <w:szCs w:val="24"/>
          <w:lang w:val="bg-BG"/>
        </w:rPr>
        <w:t>Climate-related disclosures and decision-making</w:t>
      </w:r>
      <w:r w:rsidRPr="00676B5E">
        <w:rPr>
          <w:rFonts w:ascii="Times New Roman" w:hAnsi="Times New Roman" w:cs="Times New Roman"/>
          <w:color w:val="000000" w:themeColor="text1"/>
          <w:sz w:val="24"/>
          <w:szCs w:val="24"/>
          <w:lang w:val="bg-BG"/>
        </w:rPr>
        <w:t>. London: Chartered Institute of Management Accountants.</w:t>
      </w:r>
    </w:p>
    <w:p w14:paraId="5CA8FADF"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Horngren, C.T., Datar, S.M. and Rajan, M.V. (2015) </w:t>
      </w:r>
      <w:r w:rsidRPr="00676B5E">
        <w:rPr>
          <w:rFonts w:ascii="Times New Roman" w:hAnsi="Times New Roman" w:cs="Times New Roman"/>
          <w:i/>
          <w:iCs/>
          <w:color w:val="000000" w:themeColor="text1"/>
          <w:sz w:val="24"/>
          <w:szCs w:val="24"/>
          <w:lang w:val="bg-BG"/>
        </w:rPr>
        <w:t>Cost Accounting: A Managerial Emphasis</w:t>
      </w:r>
      <w:r w:rsidRPr="00676B5E">
        <w:rPr>
          <w:rFonts w:ascii="Times New Roman" w:hAnsi="Times New Roman" w:cs="Times New Roman"/>
          <w:color w:val="000000" w:themeColor="text1"/>
          <w:sz w:val="24"/>
          <w:szCs w:val="24"/>
          <w:lang w:val="bg-BG"/>
        </w:rPr>
        <w:t>. 15th edn. Harlow: Pearson.</w:t>
      </w:r>
    </w:p>
    <w:p w14:paraId="59AD20F7"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Hope, J. and Fraser, R. (2003) </w:t>
      </w:r>
      <w:r w:rsidRPr="00676B5E">
        <w:rPr>
          <w:rFonts w:ascii="Times New Roman" w:hAnsi="Times New Roman" w:cs="Times New Roman"/>
          <w:i/>
          <w:iCs/>
          <w:color w:val="000000" w:themeColor="text1"/>
          <w:sz w:val="24"/>
          <w:szCs w:val="24"/>
          <w:lang w:val="bg-BG"/>
        </w:rPr>
        <w:t>Beyond Budgeting: How Managers Can Break Free from the Annual Performance Trap</w:t>
      </w:r>
      <w:r w:rsidRPr="00676B5E">
        <w:rPr>
          <w:rFonts w:ascii="Times New Roman" w:hAnsi="Times New Roman" w:cs="Times New Roman"/>
          <w:color w:val="000000" w:themeColor="text1"/>
          <w:sz w:val="24"/>
          <w:szCs w:val="24"/>
          <w:lang w:val="bg-BG"/>
        </w:rPr>
        <w:t>. Boston, MA: Harvard Business School Press.</w:t>
      </w:r>
    </w:p>
    <w:p w14:paraId="61D68968"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IMA (2017) </w:t>
      </w:r>
      <w:r w:rsidRPr="00676B5E">
        <w:rPr>
          <w:rFonts w:ascii="Times New Roman" w:hAnsi="Times New Roman" w:cs="Times New Roman"/>
          <w:i/>
          <w:iCs/>
          <w:color w:val="000000" w:themeColor="text1"/>
          <w:sz w:val="24"/>
          <w:szCs w:val="24"/>
          <w:lang w:val="bg-BG"/>
        </w:rPr>
        <w:t>Statement of Ethical Professional Practice</w:t>
      </w:r>
      <w:r w:rsidRPr="00676B5E">
        <w:rPr>
          <w:rFonts w:ascii="Times New Roman" w:hAnsi="Times New Roman" w:cs="Times New Roman"/>
          <w:color w:val="000000" w:themeColor="text1"/>
          <w:sz w:val="24"/>
          <w:szCs w:val="24"/>
          <w:lang w:val="bg-BG"/>
        </w:rPr>
        <w:t>. Montvale, NJ: Institute of Management Accountants.</w:t>
      </w:r>
    </w:p>
    <w:p w14:paraId="7E624746"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Kaplan, R.S. and Atkinson, A.A. (2015) </w:t>
      </w:r>
      <w:r w:rsidRPr="00676B5E">
        <w:rPr>
          <w:rFonts w:ascii="Times New Roman" w:hAnsi="Times New Roman" w:cs="Times New Roman"/>
          <w:i/>
          <w:iCs/>
          <w:color w:val="000000" w:themeColor="text1"/>
          <w:sz w:val="24"/>
          <w:szCs w:val="24"/>
          <w:lang w:val="bg-BG"/>
        </w:rPr>
        <w:t>Advanced Management Accounting</w:t>
      </w:r>
      <w:r w:rsidRPr="00676B5E">
        <w:rPr>
          <w:rFonts w:ascii="Times New Roman" w:hAnsi="Times New Roman" w:cs="Times New Roman"/>
          <w:color w:val="000000" w:themeColor="text1"/>
          <w:sz w:val="24"/>
          <w:szCs w:val="24"/>
          <w:lang w:val="bg-BG"/>
        </w:rPr>
        <w:t>. 3rd edn. Harlow: Pearson.</w:t>
      </w:r>
    </w:p>
    <w:p w14:paraId="1B55493C"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Kaplan, R.S. and Norton, D.P. (1992) ‘The Balanced Scorecard—Measures that Drive Performance’, </w:t>
      </w:r>
      <w:r w:rsidRPr="00676B5E">
        <w:rPr>
          <w:rFonts w:ascii="Times New Roman" w:hAnsi="Times New Roman" w:cs="Times New Roman"/>
          <w:i/>
          <w:iCs/>
          <w:color w:val="000000" w:themeColor="text1"/>
          <w:sz w:val="24"/>
          <w:szCs w:val="24"/>
          <w:lang w:val="bg-BG"/>
        </w:rPr>
        <w:t>Harvard Business Review</w:t>
      </w:r>
      <w:r w:rsidRPr="00676B5E">
        <w:rPr>
          <w:rFonts w:ascii="Times New Roman" w:hAnsi="Times New Roman" w:cs="Times New Roman"/>
          <w:color w:val="000000" w:themeColor="text1"/>
          <w:sz w:val="24"/>
          <w:szCs w:val="24"/>
          <w:lang w:val="bg-BG"/>
        </w:rPr>
        <w:t>, 70(1), pp. 71–79.</w:t>
      </w:r>
    </w:p>
    <w:p w14:paraId="31E73F91"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Kaplan, R.S. and Norton, D.P. (1996) </w:t>
      </w:r>
      <w:r w:rsidRPr="00676B5E">
        <w:rPr>
          <w:rFonts w:ascii="Times New Roman" w:hAnsi="Times New Roman" w:cs="Times New Roman"/>
          <w:i/>
          <w:iCs/>
          <w:color w:val="000000" w:themeColor="text1"/>
          <w:sz w:val="24"/>
          <w:szCs w:val="24"/>
          <w:lang w:val="bg-BG"/>
        </w:rPr>
        <w:t>The Balanced Scorecard: Translating Strategy into Action</w:t>
      </w:r>
      <w:r w:rsidRPr="00676B5E">
        <w:rPr>
          <w:rFonts w:ascii="Times New Roman" w:hAnsi="Times New Roman" w:cs="Times New Roman"/>
          <w:color w:val="000000" w:themeColor="text1"/>
          <w:sz w:val="24"/>
          <w:szCs w:val="24"/>
          <w:lang w:val="bg-BG"/>
        </w:rPr>
        <w:t>. Boston, MA: Harvard Business School Press.</w:t>
      </w:r>
    </w:p>
    <w:p w14:paraId="0F7E5D12"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Wise plc (2023) </w:t>
      </w:r>
      <w:r w:rsidRPr="00676B5E">
        <w:rPr>
          <w:rFonts w:ascii="Times New Roman" w:hAnsi="Times New Roman" w:cs="Times New Roman"/>
          <w:i/>
          <w:iCs/>
          <w:color w:val="000000" w:themeColor="text1"/>
          <w:sz w:val="24"/>
          <w:szCs w:val="24"/>
          <w:lang w:val="bg-BG"/>
        </w:rPr>
        <w:t>Annual Report and Accounts FY2023</w:t>
      </w:r>
      <w:r w:rsidRPr="00676B5E">
        <w:rPr>
          <w:rFonts w:ascii="Times New Roman" w:hAnsi="Times New Roman" w:cs="Times New Roman"/>
          <w:color w:val="000000" w:themeColor="text1"/>
          <w:sz w:val="24"/>
          <w:szCs w:val="24"/>
          <w:lang w:val="bg-BG"/>
        </w:rPr>
        <w:t xml:space="preserve"> (TCFD section). London: Wise plc.</w:t>
      </w:r>
    </w:p>
    <w:p w14:paraId="64CD8622" w14:textId="6F817F75" w:rsidR="00144B01" w:rsidRPr="005C76DD" w:rsidRDefault="00676B5E" w:rsidP="00676B5E">
      <w:pPr>
        <w:spacing w:after="40" w:line="360" w:lineRule="auto"/>
        <w:jc w:val="both"/>
        <w:rPr>
          <w:rFonts w:ascii="Times New Roman" w:hAnsi="Times New Roman" w:cs="Times New Roman"/>
          <w:color w:val="000000" w:themeColor="text1"/>
          <w:sz w:val="24"/>
          <w:szCs w:val="24"/>
          <w:lang w:val="en-GB"/>
        </w:rPr>
      </w:pPr>
      <w:r w:rsidRPr="00676B5E">
        <w:rPr>
          <w:rFonts w:ascii="Times New Roman" w:hAnsi="Times New Roman" w:cs="Times New Roman"/>
          <w:color w:val="000000" w:themeColor="text1"/>
          <w:sz w:val="24"/>
          <w:szCs w:val="24"/>
          <w:lang w:val="bg-BG"/>
        </w:rPr>
        <w:t xml:space="preserve">Wise plc (2024) </w:t>
      </w:r>
      <w:r w:rsidRPr="00676B5E">
        <w:rPr>
          <w:rFonts w:ascii="Times New Roman" w:hAnsi="Times New Roman" w:cs="Times New Roman"/>
          <w:i/>
          <w:iCs/>
          <w:color w:val="000000" w:themeColor="text1"/>
          <w:sz w:val="24"/>
          <w:szCs w:val="24"/>
          <w:lang w:val="bg-BG"/>
        </w:rPr>
        <w:t>Preliminary results for the financial year ended 31 March 2024</w:t>
      </w:r>
      <w:r w:rsidRPr="00676B5E">
        <w:rPr>
          <w:rFonts w:ascii="Times New Roman" w:hAnsi="Times New Roman" w:cs="Times New Roman"/>
          <w:color w:val="000000" w:themeColor="text1"/>
          <w:sz w:val="24"/>
          <w:szCs w:val="24"/>
          <w:lang w:val="bg-BG"/>
        </w:rPr>
        <w:t>. London:Wiseplc.Availableat:</w:t>
      </w:r>
      <w:hyperlink r:id="rId9" w:history="1">
        <w:r w:rsidRPr="00676B5E">
          <w:rPr>
            <w:rStyle w:val="Hyperlink"/>
            <w:rFonts w:ascii="Times New Roman" w:hAnsi="Times New Roman" w:cs="Times New Roman"/>
            <w:color w:val="000000" w:themeColor="text1"/>
            <w:sz w:val="24"/>
            <w:szCs w:val="24"/>
            <w:lang w:val="bg-BG"/>
          </w:rPr>
          <w:t>https://wise.com/imaginary-v2/images/d1442409bf85ed7ad4b66b6050fc8036-Wise-plc-FY24.pdf</w:t>
        </w:r>
      </w:hyperlink>
    </w:p>
    <w:sectPr w:rsidR="00144B01" w:rsidRPr="005C76DD" w:rsidSect="00034616">
      <w:headerReference w:type="default"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9587C" w14:textId="77777777" w:rsidR="00662525" w:rsidRDefault="00662525" w:rsidP="0053159F">
      <w:pPr>
        <w:spacing w:after="0" w:line="240" w:lineRule="auto"/>
      </w:pPr>
      <w:r>
        <w:separator/>
      </w:r>
    </w:p>
  </w:endnote>
  <w:endnote w:type="continuationSeparator" w:id="0">
    <w:p w14:paraId="1D99B876" w14:textId="77777777" w:rsidR="00662525" w:rsidRDefault="00662525" w:rsidP="00531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0668416"/>
      <w:docPartObj>
        <w:docPartGallery w:val="Page Numbers (Bottom of Page)"/>
        <w:docPartUnique/>
      </w:docPartObj>
    </w:sdtPr>
    <w:sdtContent>
      <w:p w14:paraId="39578754" w14:textId="421E2A05" w:rsidR="0053159F" w:rsidRDefault="0053159F">
        <w:pPr>
          <w:pStyle w:val="Footer"/>
        </w:pPr>
        <w:r>
          <w:rPr>
            <w:noProof/>
          </w:rPr>
          <mc:AlternateContent>
            <mc:Choice Requires="wps">
              <w:drawing>
                <wp:anchor distT="0" distB="0" distL="114300" distR="114300" simplePos="0" relativeHeight="251660288" behindDoc="0" locked="0" layoutInCell="1" allowOverlap="1" wp14:anchorId="717DD371" wp14:editId="14A8B020">
                  <wp:simplePos x="0" y="0"/>
                  <wp:positionH relativeFrom="margin">
                    <wp:align>center</wp:align>
                  </wp:positionH>
                  <wp:positionV relativeFrom="bottomMargin">
                    <wp:align>center</wp:align>
                  </wp:positionV>
                  <wp:extent cx="551815" cy="238760"/>
                  <wp:effectExtent l="19050" t="19050" r="19685" b="18415"/>
                  <wp:wrapNone/>
                  <wp:docPr id="46057552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1FCA4A3" w14:textId="77777777" w:rsidR="0053159F" w:rsidRDefault="0053159F">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17DD37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51FCA4A3" w14:textId="77777777" w:rsidR="0053159F" w:rsidRDefault="0053159F">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32588C5" wp14:editId="65D50003">
                  <wp:simplePos x="0" y="0"/>
                  <wp:positionH relativeFrom="margin">
                    <wp:align>center</wp:align>
                  </wp:positionH>
                  <wp:positionV relativeFrom="bottomMargin">
                    <wp:align>center</wp:align>
                  </wp:positionV>
                  <wp:extent cx="5518150" cy="0"/>
                  <wp:effectExtent l="9525" t="9525" r="6350" b="9525"/>
                  <wp:wrapNone/>
                  <wp:docPr id="81600632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F0D959C"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C826A" w14:textId="77777777" w:rsidR="00662525" w:rsidRDefault="00662525" w:rsidP="0053159F">
      <w:pPr>
        <w:spacing w:after="0" w:line="240" w:lineRule="auto"/>
      </w:pPr>
      <w:r>
        <w:separator/>
      </w:r>
    </w:p>
  </w:footnote>
  <w:footnote w:type="continuationSeparator" w:id="0">
    <w:p w14:paraId="1C9E7B9B" w14:textId="77777777" w:rsidR="00662525" w:rsidRDefault="00662525" w:rsidP="00531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BD350" w14:textId="520C106E" w:rsidR="0053159F" w:rsidRDefault="00EF4E85">
    <w:pPr>
      <w:pStyle w:val="Header"/>
    </w:pPr>
    <w:r>
      <w:rPr>
        <w:noProof/>
      </w:rPr>
      <w:drawing>
        <wp:anchor distT="0" distB="0" distL="114300" distR="114300" simplePos="0" relativeHeight="251661312" behindDoc="0" locked="0" layoutInCell="1" allowOverlap="1" wp14:anchorId="624E6383" wp14:editId="46DD0127">
          <wp:simplePos x="0" y="0"/>
          <wp:positionH relativeFrom="column">
            <wp:posOffset>-807720</wp:posOffset>
          </wp:positionH>
          <wp:positionV relativeFrom="page">
            <wp:posOffset>266700</wp:posOffset>
          </wp:positionV>
          <wp:extent cx="815975" cy="525780"/>
          <wp:effectExtent l="0" t="171450" r="0" b="160020"/>
          <wp:wrapSquare wrapText="bothSides"/>
          <wp:docPr id="587202283" name="Picture 4" descr="Doctor of Business Administration (D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tor of Business Administration (DBA) - University of Wales Trinity Saint  David - The Hong Kong Management Associ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525780"/>
                  </a:xfrm>
                  <a:prstGeom prst="rect">
                    <a:avLst/>
                  </a:prstGeom>
                  <a:ln>
                    <a:noFill/>
                  </a:ln>
                  <a:effectLst>
                    <a:outerShdw blurRad="190500" algn="tl" rotWithShape="0">
                      <a:srgbClr val="000000">
                        <a:alpha val="70000"/>
                      </a:srgbClr>
                    </a:outerShdw>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20D5134"/>
    <w:multiLevelType w:val="hybridMultilevel"/>
    <w:tmpl w:val="DA9AE73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315300527">
    <w:abstractNumId w:val="8"/>
  </w:num>
  <w:num w:numId="2" w16cid:durableId="36205541">
    <w:abstractNumId w:val="6"/>
  </w:num>
  <w:num w:numId="3" w16cid:durableId="1416588802">
    <w:abstractNumId w:val="5"/>
  </w:num>
  <w:num w:numId="4" w16cid:durableId="632905917">
    <w:abstractNumId w:val="4"/>
  </w:num>
  <w:num w:numId="5" w16cid:durableId="1588880831">
    <w:abstractNumId w:val="7"/>
  </w:num>
  <w:num w:numId="6" w16cid:durableId="1717464488">
    <w:abstractNumId w:val="3"/>
  </w:num>
  <w:num w:numId="7" w16cid:durableId="1597444782">
    <w:abstractNumId w:val="2"/>
  </w:num>
  <w:num w:numId="8" w16cid:durableId="1966698534">
    <w:abstractNumId w:val="1"/>
  </w:num>
  <w:num w:numId="9" w16cid:durableId="310719807">
    <w:abstractNumId w:val="0"/>
  </w:num>
  <w:num w:numId="10" w16cid:durableId="4444297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6663"/>
    <w:rsid w:val="00144B01"/>
    <w:rsid w:val="0015074B"/>
    <w:rsid w:val="0029639D"/>
    <w:rsid w:val="002E1034"/>
    <w:rsid w:val="00326F90"/>
    <w:rsid w:val="0053159F"/>
    <w:rsid w:val="005C76DD"/>
    <w:rsid w:val="00662525"/>
    <w:rsid w:val="00676B5E"/>
    <w:rsid w:val="007E71AB"/>
    <w:rsid w:val="008B2D23"/>
    <w:rsid w:val="00903D7B"/>
    <w:rsid w:val="00906CDF"/>
    <w:rsid w:val="00AA1D8D"/>
    <w:rsid w:val="00B47730"/>
    <w:rsid w:val="00BA552D"/>
    <w:rsid w:val="00CB0664"/>
    <w:rsid w:val="00E21B07"/>
    <w:rsid w:val="00EF0181"/>
    <w:rsid w:val="00EF4E85"/>
    <w:rsid w:val="00F0126C"/>
    <w:rsid w:val="00FC693F"/>
    <w:rsid w:val="00FE1E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47D2DF"/>
  <w14:defaultImageDpi w14:val="330"/>
  <w15:docId w15:val="{6CB376A1-6930-4D41-B4D5-50EBDC128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76B5E"/>
    <w:rPr>
      <w:color w:val="0000FF" w:themeColor="hyperlink"/>
      <w:u w:val="single"/>
    </w:rPr>
  </w:style>
  <w:style w:type="character" w:styleId="UnresolvedMention">
    <w:name w:val="Unresolved Mention"/>
    <w:basedOn w:val="DefaultParagraphFont"/>
    <w:uiPriority w:val="99"/>
    <w:semiHidden/>
    <w:unhideWhenUsed/>
    <w:rsid w:val="00676B5E"/>
    <w:rPr>
      <w:color w:val="605E5C"/>
      <w:shd w:val="clear" w:color="auto" w:fill="E1DFDD"/>
    </w:rPr>
  </w:style>
  <w:style w:type="paragraph" w:styleId="TOC1">
    <w:name w:val="toc 1"/>
    <w:basedOn w:val="Normal"/>
    <w:next w:val="Normal"/>
    <w:autoRedefine/>
    <w:uiPriority w:val="39"/>
    <w:unhideWhenUsed/>
    <w:rsid w:val="0053159F"/>
    <w:pPr>
      <w:spacing w:after="100"/>
    </w:pPr>
  </w:style>
  <w:style w:type="paragraph" w:styleId="TOC2">
    <w:name w:val="toc 2"/>
    <w:basedOn w:val="Normal"/>
    <w:next w:val="Normal"/>
    <w:autoRedefine/>
    <w:uiPriority w:val="39"/>
    <w:unhideWhenUsed/>
    <w:rsid w:val="0053159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096105">
      <w:bodyDiv w:val="1"/>
      <w:marLeft w:val="0"/>
      <w:marRight w:val="0"/>
      <w:marTop w:val="0"/>
      <w:marBottom w:val="0"/>
      <w:divBdr>
        <w:top w:val="none" w:sz="0" w:space="0" w:color="auto"/>
        <w:left w:val="none" w:sz="0" w:space="0" w:color="auto"/>
        <w:bottom w:val="none" w:sz="0" w:space="0" w:color="auto"/>
        <w:right w:val="none" w:sz="0" w:space="0" w:color="auto"/>
      </w:divBdr>
    </w:div>
    <w:div w:id="394208982">
      <w:bodyDiv w:val="1"/>
      <w:marLeft w:val="0"/>
      <w:marRight w:val="0"/>
      <w:marTop w:val="0"/>
      <w:marBottom w:val="0"/>
      <w:divBdr>
        <w:top w:val="none" w:sz="0" w:space="0" w:color="auto"/>
        <w:left w:val="none" w:sz="0" w:space="0" w:color="auto"/>
        <w:bottom w:val="none" w:sz="0" w:space="0" w:color="auto"/>
        <w:right w:val="none" w:sz="0" w:space="0" w:color="auto"/>
      </w:divBdr>
    </w:div>
    <w:div w:id="1267930887">
      <w:bodyDiv w:val="1"/>
      <w:marLeft w:val="0"/>
      <w:marRight w:val="0"/>
      <w:marTop w:val="0"/>
      <w:marBottom w:val="0"/>
      <w:divBdr>
        <w:top w:val="none" w:sz="0" w:space="0" w:color="auto"/>
        <w:left w:val="none" w:sz="0" w:space="0" w:color="auto"/>
        <w:bottom w:val="none" w:sz="0" w:space="0" w:color="auto"/>
        <w:right w:val="none" w:sz="0" w:space="0" w:color="auto"/>
      </w:divBdr>
    </w:div>
    <w:div w:id="17740866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ise.com/imaginary-v2/images/d1442409bf85ed7ad4b66b6050fc8036-Wise-plc-FY2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2369</Words>
  <Characters>13508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petar mitev</cp:lastModifiedBy>
  <cp:revision>7</cp:revision>
  <dcterms:created xsi:type="dcterms:W3CDTF">2025-11-11T18:49:00Z</dcterms:created>
  <dcterms:modified xsi:type="dcterms:W3CDTF">2025-11-11T18:55:00Z</dcterms:modified>
  <cp:category/>
</cp:coreProperties>
</file>