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F21D4" w14:textId="77777777" w:rsidR="005E0D53" w:rsidRDefault="005E0D53" w:rsidP="005E0D53">
      <w:pPr>
        <w:spacing w:line="360" w:lineRule="auto"/>
        <w:jc w:val="center"/>
        <w:rPr>
          <w:rFonts w:ascii="Times New Roman" w:hAnsi="Times New Roman" w:cs="Times New Roman"/>
          <w:sz w:val="24"/>
          <w:szCs w:val="24"/>
        </w:rPr>
      </w:pPr>
    </w:p>
    <w:p w14:paraId="1381B722" w14:textId="77777777" w:rsidR="005E0D53" w:rsidRDefault="005E0D53" w:rsidP="005E0D53">
      <w:pPr>
        <w:spacing w:line="360" w:lineRule="auto"/>
        <w:jc w:val="center"/>
        <w:rPr>
          <w:rFonts w:ascii="Times New Roman" w:hAnsi="Times New Roman" w:cs="Times New Roman"/>
          <w:sz w:val="24"/>
          <w:szCs w:val="24"/>
        </w:rPr>
      </w:pPr>
    </w:p>
    <w:p w14:paraId="725B4327" w14:textId="77777777" w:rsidR="005E0D53" w:rsidRDefault="005E0D53" w:rsidP="005E0D53">
      <w:pPr>
        <w:spacing w:line="360" w:lineRule="auto"/>
        <w:jc w:val="center"/>
        <w:rPr>
          <w:rFonts w:ascii="Times New Roman" w:hAnsi="Times New Roman" w:cs="Times New Roman"/>
          <w:sz w:val="24"/>
          <w:szCs w:val="24"/>
        </w:rPr>
      </w:pPr>
    </w:p>
    <w:p w14:paraId="322C2B07" w14:textId="77777777" w:rsidR="005E0D53" w:rsidRDefault="005E0D53" w:rsidP="005E0D53">
      <w:pPr>
        <w:spacing w:line="360" w:lineRule="auto"/>
        <w:jc w:val="center"/>
        <w:rPr>
          <w:rFonts w:ascii="Times New Roman" w:hAnsi="Times New Roman" w:cs="Times New Roman"/>
          <w:sz w:val="24"/>
          <w:szCs w:val="24"/>
        </w:rPr>
      </w:pPr>
    </w:p>
    <w:p w14:paraId="637B68C2" w14:textId="77777777" w:rsidR="005E0D53" w:rsidRDefault="005E0D53" w:rsidP="005E0D53">
      <w:pPr>
        <w:spacing w:line="360" w:lineRule="auto"/>
        <w:jc w:val="center"/>
        <w:rPr>
          <w:rFonts w:ascii="Times New Roman" w:hAnsi="Times New Roman" w:cs="Times New Roman"/>
          <w:sz w:val="24"/>
          <w:szCs w:val="24"/>
        </w:rPr>
      </w:pPr>
    </w:p>
    <w:p w14:paraId="106EC3AE" w14:textId="77777777" w:rsidR="005E0D53" w:rsidRDefault="005E0D53" w:rsidP="005E0D53">
      <w:pPr>
        <w:spacing w:line="360" w:lineRule="auto"/>
        <w:jc w:val="center"/>
        <w:rPr>
          <w:rFonts w:ascii="Times New Roman" w:hAnsi="Times New Roman" w:cs="Times New Roman"/>
          <w:sz w:val="24"/>
          <w:szCs w:val="24"/>
        </w:rPr>
      </w:pPr>
    </w:p>
    <w:p w14:paraId="04559E97" w14:textId="77777777" w:rsidR="005E0D53" w:rsidRDefault="005E0D53" w:rsidP="005E0D53">
      <w:pPr>
        <w:spacing w:line="360" w:lineRule="auto"/>
        <w:jc w:val="center"/>
        <w:rPr>
          <w:rFonts w:ascii="Times New Roman" w:hAnsi="Times New Roman" w:cs="Times New Roman"/>
          <w:sz w:val="24"/>
          <w:szCs w:val="24"/>
        </w:rPr>
      </w:pPr>
    </w:p>
    <w:p w14:paraId="63B1B90E" w14:textId="77777777" w:rsidR="005E0D53" w:rsidRDefault="005E0D53" w:rsidP="005E0D53">
      <w:pPr>
        <w:spacing w:line="360" w:lineRule="auto"/>
        <w:jc w:val="center"/>
        <w:rPr>
          <w:rFonts w:ascii="Times New Roman" w:hAnsi="Times New Roman" w:cs="Times New Roman"/>
          <w:sz w:val="24"/>
          <w:szCs w:val="24"/>
        </w:rPr>
      </w:pPr>
    </w:p>
    <w:p w14:paraId="341542C0" w14:textId="61EC8B1A" w:rsidR="005E0D53" w:rsidRPr="00495899" w:rsidRDefault="005E0D53" w:rsidP="005E0D53">
      <w:pPr>
        <w:spacing w:line="360" w:lineRule="auto"/>
        <w:jc w:val="center"/>
        <w:rPr>
          <w:rFonts w:ascii="Times New Roman" w:hAnsi="Times New Roman" w:cs="Times New Roman"/>
          <w:b/>
          <w:bCs/>
          <w:color w:val="000000" w:themeColor="text1"/>
          <w:sz w:val="32"/>
          <w:szCs w:val="32"/>
        </w:rPr>
      </w:pPr>
      <w:r w:rsidRPr="00495899">
        <w:rPr>
          <w:rFonts w:ascii="Times New Roman" w:hAnsi="Times New Roman" w:cs="Times New Roman"/>
          <w:b/>
          <w:bCs/>
          <w:color w:val="000000" w:themeColor="text1"/>
          <w:sz w:val="32"/>
          <w:szCs w:val="32"/>
        </w:rPr>
        <w:t>Green</w:t>
      </w:r>
      <w:r w:rsidR="0097166F">
        <w:rPr>
          <w:rFonts w:ascii="Times New Roman" w:hAnsi="Times New Roman" w:cs="Times New Roman"/>
          <w:b/>
          <w:bCs/>
          <w:color w:val="000000" w:themeColor="text1"/>
          <w:sz w:val="32"/>
          <w:szCs w:val="32"/>
        </w:rPr>
        <w:t xml:space="preserve"> </w:t>
      </w:r>
      <w:r w:rsidRPr="00495899">
        <w:rPr>
          <w:rFonts w:ascii="Times New Roman" w:hAnsi="Times New Roman" w:cs="Times New Roman"/>
          <w:b/>
          <w:bCs/>
          <w:color w:val="000000" w:themeColor="text1"/>
          <w:sz w:val="32"/>
          <w:szCs w:val="32"/>
        </w:rPr>
        <w:t>Link Community Park: A proposed inclusive public park for Canning Town, London Borough of Newham</w:t>
      </w:r>
    </w:p>
    <w:p w14:paraId="2EAE9279" w14:textId="77777777" w:rsidR="005E0D53" w:rsidRPr="00495899" w:rsidRDefault="005E0D53" w:rsidP="005E0D53">
      <w:pPr>
        <w:spacing w:line="360" w:lineRule="auto"/>
        <w:jc w:val="center"/>
        <w:rPr>
          <w:rFonts w:ascii="Times New Roman" w:hAnsi="Times New Roman" w:cs="Times New Roman"/>
          <w:b/>
          <w:bCs/>
          <w:color w:val="000000" w:themeColor="text1"/>
          <w:sz w:val="32"/>
          <w:szCs w:val="32"/>
        </w:rPr>
      </w:pPr>
      <w:r w:rsidRPr="00495899">
        <w:rPr>
          <w:rFonts w:ascii="Times New Roman" w:hAnsi="Times New Roman" w:cs="Times New Roman"/>
          <w:b/>
          <w:bCs/>
          <w:color w:val="000000" w:themeColor="text1"/>
          <w:sz w:val="32"/>
          <w:szCs w:val="32"/>
        </w:rPr>
        <w:t>Module: Stakeholder Engagement</w:t>
      </w:r>
    </w:p>
    <w:p w14:paraId="7A35F3CF" w14:textId="77777777" w:rsidR="005E0D53" w:rsidRPr="00495899" w:rsidRDefault="005E0D53" w:rsidP="005E0D53">
      <w:pPr>
        <w:spacing w:line="360" w:lineRule="auto"/>
        <w:jc w:val="center"/>
        <w:rPr>
          <w:rFonts w:ascii="Times New Roman" w:hAnsi="Times New Roman" w:cs="Times New Roman"/>
          <w:b/>
          <w:bCs/>
          <w:color w:val="000000" w:themeColor="text1"/>
          <w:sz w:val="32"/>
          <w:szCs w:val="32"/>
        </w:rPr>
      </w:pPr>
      <w:r w:rsidRPr="00495899">
        <w:rPr>
          <w:rFonts w:ascii="Times New Roman" w:hAnsi="Times New Roman" w:cs="Times New Roman"/>
          <w:b/>
          <w:bCs/>
          <w:color w:val="000000" w:themeColor="text1"/>
          <w:sz w:val="32"/>
          <w:szCs w:val="32"/>
        </w:rPr>
        <w:t>Module Code: LCBB4013</w:t>
      </w:r>
    </w:p>
    <w:p w14:paraId="02D753D3" w14:textId="77777777" w:rsidR="005E0D53" w:rsidRDefault="005E0D53" w:rsidP="005E0D53">
      <w:pPr>
        <w:spacing w:line="360" w:lineRule="auto"/>
        <w:jc w:val="center"/>
        <w:rPr>
          <w:rFonts w:ascii="Times New Roman" w:hAnsi="Times New Roman" w:cs="Times New Roman"/>
          <w:b/>
          <w:bCs/>
          <w:color w:val="000000" w:themeColor="text1"/>
          <w:sz w:val="32"/>
          <w:szCs w:val="32"/>
        </w:rPr>
      </w:pPr>
      <w:r w:rsidRPr="00495899">
        <w:rPr>
          <w:rFonts w:ascii="Times New Roman" w:hAnsi="Times New Roman" w:cs="Times New Roman"/>
          <w:b/>
          <w:bCs/>
          <w:color w:val="000000" w:themeColor="text1"/>
          <w:sz w:val="32"/>
          <w:szCs w:val="32"/>
        </w:rPr>
        <w:t>Word Count: 3288</w:t>
      </w:r>
    </w:p>
    <w:p w14:paraId="342B46D0" w14:textId="490FCBBA" w:rsidR="00D12DB8" w:rsidRDefault="00BB61B5" w:rsidP="005E0D53">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Student Name: Apu Babu Chanda</w:t>
      </w:r>
    </w:p>
    <w:p w14:paraId="7F8F06B8" w14:textId="1D705367" w:rsidR="00BB61B5" w:rsidRDefault="00C74EA9" w:rsidP="005E0D53">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ID: 2517222</w:t>
      </w:r>
    </w:p>
    <w:p w14:paraId="1AFC9012" w14:textId="710564FE" w:rsidR="00C74EA9" w:rsidRPr="00495899" w:rsidRDefault="00D91E1F" w:rsidP="005E0D53">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Lecturer: Zainab Atta</w:t>
      </w:r>
    </w:p>
    <w:p w14:paraId="19B77070"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826024783"/>
        <w:docPartObj>
          <w:docPartGallery w:val="Table of Contents"/>
          <w:docPartUnique/>
        </w:docPartObj>
      </w:sdtPr>
      <w:sdtEndPr>
        <w:rPr>
          <w:b/>
          <w:bCs/>
          <w:noProof/>
        </w:rPr>
      </w:sdtEndPr>
      <w:sdtContent>
        <w:p w14:paraId="2D6147AA" w14:textId="77777777" w:rsidR="005E0D53" w:rsidRDefault="005E0D53" w:rsidP="005E0D53">
          <w:pPr>
            <w:pStyle w:val="TOCHeading"/>
            <w:rPr>
              <w:rFonts w:ascii="Times New Roman" w:hAnsi="Times New Roman" w:cs="Times New Roman"/>
              <w:b/>
              <w:bCs/>
              <w:color w:val="000000" w:themeColor="text1"/>
            </w:rPr>
          </w:pPr>
          <w:r w:rsidRPr="00004810">
            <w:rPr>
              <w:rFonts w:ascii="Times New Roman" w:hAnsi="Times New Roman" w:cs="Times New Roman"/>
              <w:b/>
              <w:bCs/>
              <w:color w:val="000000" w:themeColor="text1"/>
            </w:rPr>
            <w:t>Table of Contents</w:t>
          </w:r>
        </w:p>
        <w:p w14:paraId="08072079" w14:textId="77777777" w:rsidR="005E0D53" w:rsidRPr="00004810" w:rsidRDefault="005E0D53" w:rsidP="005E0D53"/>
        <w:p w14:paraId="14758206" w14:textId="77777777" w:rsidR="005E0D53" w:rsidRPr="00004810" w:rsidRDefault="005E0D53" w:rsidP="005E0D53">
          <w:pPr>
            <w:pStyle w:val="TOC1"/>
            <w:tabs>
              <w:tab w:val="right" w:leader="dot" w:pos="9350"/>
            </w:tabs>
            <w:rPr>
              <w:noProof/>
              <w:sz w:val="24"/>
              <w:szCs w:val="24"/>
            </w:rPr>
          </w:pPr>
          <w:r>
            <w:fldChar w:fldCharType="begin"/>
          </w:r>
          <w:r>
            <w:instrText xml:space="preserve"> TOC \o "1-3" \h \z \u </w:instrText>
          </w:r>
          <w:r>
            <w:fldChar w:fldCharType="separate"/>
          </w:r>
          <w:hyperlink w:anchor="_Toc238209070" w:history="1">
            <w:r w:rsidRPr="00004810">
              <w:rPr>
                <w:rStyle w:val="Hyperlink"/>
                <w:rFonts w:ascii="Times New Roman" w:hAnsi="Times New Roman" w:cs="Times New Roman"/>
                <w:noProof/>
                <w:sz w:val="24"/>
                <w:szCs w:val="24"/>
              </w:rPr>
              <w:t>Element 1: Introduction</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_Toc238209070 \h </w:instrText>
            </w:r>
            <w:r w:rsidRPr="00004810">
              <w:rPr>
                <w:noProof/>
                <w:webHidden/>
                <w:sz w:val="24"/>
                <w:szCs w:val="24"/>
              </w:rPr>
            </w:r>
            <w:r w:rsidRPr="00004810">
              <w:rPr>
                <w:noProof/>
                <w:webHidden/>
                <w:sz w:val="24"/>
                <w:szCs w:val="24"/>
              </w:rPr>
              <w:fldChar w:fldCharType="separate"/>
            </w:r>
            <w:r w:rsidRPr="00004810">
              <w:rPr>
                <w:noProof/>
                <w:webHidden/>
                <w:sz w:val="24"/>
                <w:szCs w:val="24"/>
              </w:rPr>
              <w:t>1</w:t>
            </w:r>
            <w:r w:rsidRPr="00004810">
              <w:rPr>
                <w:noProof/>
                <w:webHidden/>
                <w:sz w:val="24"/>
                <w:szCs w:val="24"/>
              </w:rPr>
              <w:fldChar w:fldCharType="end"/>
            </w:r>
          </w:hyperlink>
        </w:p>
        <w:p w14:paraId="7B09DF44" w14:textId="77777777" w:rsidR="005E0D53" w:rsidRPr="00004810" w:rsidRDefault="005E0D53" w:rsidP="005E0D53">
          <w:pPr>
            <w:pStyle w:val="TOC1"/>
            <w:tabs>
              <w:tab w:val="right" w:leader="dot" w:pos="9350"/>
            </w:tabs>
            <w:rPr>
              <w:noProof/>
              <w:sz w:val="24"/>
              <w:szCs w:val="24"/>
            </w:rPr>
          </w:pPr>
          <w:hyperlink w:anchor="_Toc238209071" w:history="1">
            <w:r w:rsidRPr="00004810">
              <w:rPr>
                <w:rStyle w:val="Hyperlink"/>
                <w:rFonts w:ascii="Times New Roman" w:hAnsi="Times New Roman" w:cs="Times New Roman"/>
                <w:noProof/>
                <w:sz w:val="24"/>
                <w:szCs w:val="24"/>
              </w:rPr>
              <w:t>Element 2: Application - Stakeholder Engagement Strategies</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_Toc238209071 \h </w:instrText>
            </w:r>
            <w:r w:rsidRPr="00004810">
              <w:rPr>
                <w:noProof/>
                <w:webHidden/>
                <w:sz w:val="24"/>
                <w:szCs w:val="24"/>
              </w:rPr>
            </w:r>
            <w:r w:rsidRPr="00004810">
              <w:rPr>
                <w:noProof/>
                <w:webHidden/>
                <w:sz w:val="24"/>
                <w:szCs w:val="24"/>
              </w:rPr>
              <w:fldChar w:fldCharType="separate"/>
            </w:r>
            <w:r w:rsidRPr="00004810">
              <w:rPr>
                <w:noProof/>
                <w:webHidden/>
                <w:sz w:val="24"/>
                <w:szCs w:val="24"/>
              </w:rPr>
              <w:t>4</w:t>
            </w:r>
            <w:r w:rsidRPr="00004810">
              <w:rPr>
                <w:noProof/>
                <w:webHidden/>
                <w:sz w:val="24"/>
                <w:szCs w:val="24"/>
              </w:rPr>
              <w:fldChar w:fldCharType="end"/>
            </w:r>
          </w:hyperlink>
        </w:p>
        <w:p w14:paraId="44C731A8" w14:textId="77777777" w:rsidR="005E0D53" w:rsidRPr="00004810" w:rsidRDefault="005E0D53" w:rsidP="005E0D53">
          <w:pPr>
            <w:pStyle w:val="TOC2"/>
            <w:tabs>
              <w:tab w:val="right" w:leader="dot" w:pos="9350"/>
            </w:tabs>
            <w:rPr>
              <w:noProof/>
              <w:sz w:val="24"/>
              <w:szCs w:val="24"/>
            </w:rPr>
          </w:pPr>
          <w:hyperlink w:anchor="_Toc238209072" w:history="1">
            <w:r w:rsidRPr="00004810">
              <w:rPr>
                <w:rStyle w:val="Hyperlink"/>
                <w:rFonts w:ascii="Times New Roman" w:hAnsi="Times New Roman" w:cs="Times New Roman"/>
                <w:noProof/>
                <w:sz w:val="24"/>
                <w:szCs w:val="24"/>
              </w:rPr>
              <w:t>2.1 Stakeholder assessment</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_Toc238209072 \h </w:instrText>
            </w:r>
            <w:r w:rsidRPr="00004810">
              <w:rPr>
                <w:noProof/>
                <w:webHidden/>
                <w:sz w:val="24"/>
                <w:szCs w:val="24"/>
              </w:rPr>
            </w:r>
            <w:r w:rsidRPr="00004810">
              <w:rPr>
                <w:noProof/>
                <w:webHidden/>
                <w:sz w:val="24"/>
                <w:szCs w:val="24"/>
              </w:rPr>
              <w:fldChar w:fldCharType="separate"/>
            </w:r>
            <w:r w:rsidRPr="00004810">
              <w:rPr>
                <w:noProof/>
                <w:webHidden/>
                <w:sz w:val="24"/>
                <w:szCs w:val="24"/>
              </w:rPr>
              <w:t>4</w:t>
            </w:r>
            <w:r w:rsidRPr="00004810">
              <w:rPr>
                <w:noProof/>
                <w:webHidden/>
                <w:sz w:val="24"/>
                <w:szCs w:val="24"/>
              </w:rPr>
              <w:fldChar w:fldCharType="end"/>
            </w:r>
          </w:hyperlink>
        </w:p>
        <w:p w14:paraId="28C8E0E9" w14:textId="77777777" w:rsidR="005E0D53" w:rsidRPr="00004810" w:rsidRDefault="005E0D53" w:rsidP="005E0D53">
          <w:pPr>
            <w:pStyle w:val="TOC2"/>
            <w:tabs>
              <w:tab w:val="right" w:leader="dot" w:pos="9350"/>
            </w:tabs>
            <w:rPr>
              <w:noProof/>
              <w:sz w:val="24"/>
              <w:szCs w:val="24"/>
            </w:rPr>
          </w:pPr>
          <w:hyperlink w:anchor="_Toc238209073" w:history="1">
            <w:r w:rsidRPr="00004810">
              <w:rPr>
                <w:rStyle w:val="Hyperlink"/>
                <w:rFonts w:ascii="Times New Roman" w:hAnsi="Times New Roman" w:cs="Times New Roman"/>
                <w:noProof/>
                <w:sz w:val="24"/>
                <w:szCs w:val="24"/>
              </w:rPr>
              <w:t>2.2 Communication plan</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_Toc238209073 \h </w:instrText>
            </w:r>
            <w:r w:rsidRPr="00004810">
              <w:rPr>
                <w:noProof/>
                <w:webHidden/>
                <w:sz w:val="24"/>
                <w:szCs w:val="24"/>
              </w:rPr>
            </w:r>
            <w:r w:rsidRPr="00004810">
              <w:rPr>
                <w:noProof/>
                <w:webHidden/>
                <w:sz w:val="24"/>
                <w:szCs w:val="24"/>
              </w:rPr>
              <w:fldChar w:fldCharType="separate"/>
            </w:r>
            <w:r w:rsidRPr="00004810">
              <w:rPr>
                <w:noProof/>
                <w:webHidden/>
                <w:sz w:val="24"/>
                <w:szCs w:val="24"/>
              </w:rPr>
              <w:t>7</w:t>
            </w:r>
            <w:r w:rsidRPr="00004810">
              <w:rPr>
                <w:noProof/>
                <w:webHidden/>
                <w:sz w:val="24"/>
                <w:szCs w:val="24"/>
              </w:rPr>
              <w:fldChar w:fldCharType="end"/>
            </w:r>
          </w:hyperlink>
        </w:p>
        <w:p w14:paraId="3D690D2E" w14:textId="77777777" w:rsidR="005E0D53" w:rsidRPr="00004810" w:rsidRDefault="005E0D53" w:rsidP="005E0D53">
          <w:pPr>
            <w:pStyle w:val="TOC2"/>
            <w:tabs>
              <w:tab w:val="right" w:leader="dot" w:pos="9350"/>
            </w:tabs>
            <w:rPr>
              <w:noProof/>
              <w:sz w:val="24"/>
              <w:szCs w:val="24"/>
            </w:rPr>
          </w:pPr>
          <w:hyperlink w:anchor="_Toc238209074" w:history="1">
            <w:r w:rsidRPr="00004810">
              <w:rPr>
                <w:rStyle w:val="Hyperlink"/>
                <w:rFonts w:ascii="Times New Roman" w:hAnsi="Times New Roman" w:cs="Times New Roman"/>
                <w:noProof/>
                <w:sz w:val="24"/>
                <w:szCs w:val="24"/>
              </w:rPr>
              <w:t>2.3 Consultation strategy and justification</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_Toc238209074 \h </w:instrText>
            </w:r>
            <w:r w:rsidRPr="00004810">
              <w:rPr>
                <w:noProof/>
                <w:webHidden/>
                <w:sz w:val="24"/>
                <w:szCs w:val="24"/>
              </w:rPr>
            </w:r>
            <w:r w:rsidRPr="00004810">
              <w:rPr>
                <w:noProof/>
                <w:webHidden/>
                <w:sz w:val="24"/>
                <w:szCs w:val="24"/>
              </w:rPr>
              <w:fldChar w:fldCharType="separate"/>
            </w:r>
            <w:r w:rsidRPr="00004810">
              <w:rPr>
                <w:noProof/>
                <w:webHidden/>
                <w:sz w:val="24"/>
                <w:szCs w:val="24"/>
              </w:rPr>
              <w:t>9</w:t>
            </w:r>
            <w:r w:rsidRPr="00004810">
              <w:rPr>
                <w:noProof/>
                <w:webHidden/>
                <w:sz w:val="24"/>
                <w:szCs w:val="24"/>
              </w:rPr>
              <w:fldChar w:fldCharType="end"/>
            </w:r>
          </w:hyperlink>
        </w:p>
        <w:p w14:paraId="022B82F1" w14:textId="77777777" w:rsidR="005E0D53" w:rsidRPr="00004810" w:rsidRDefault="005E0D53" w:rsidP="005E0D53">
          <w:pPr>
            <w:pStyle w:val="TOC1"/>
            <w:tabs>
              <w:tab w:val="right" w:leader="dot" w:pos="9350"/>
            </w:tabs>
            <w:rPr>
              <w:noProof/>
              <w:sz w:val="24"/>
              <w:szCs w:val="24"/>
            </w:rPr>
          </w:pPr>
          <w:hyperlink w:anchor="_Toc238209075" w:history="1">
            <w:r w:rsidRPr="00004810">
              <w:rPr>
                <w:rStyle w:val="Hyperlink"/>
                <w:rFonts w:ascii="Times New Roman" w:hAnsi="Times New Roman" w:cs="Times New Roman"/>
                <w:noProof/>
                <w:sz w:val="24"/>
                <w:szCs w:val="24"/>
              </w:rPr>
              <w:t>Element 3: Ethical Considerations in Consultation, Participation and Feedback</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_Toc238209075 \h </w:instrText>
            </w:r>
            <w:r w:rsidRPr="00004810">
              <w:rPr>
                <w:noProof/>
                <w:webHidden/>
                <w:sz w:val="24"/>
                <w:szCs w:val="24"/>
              </w:rPr>
            </w:r>
            <w:r w:rsidRPr="00004810">
              <w:rPr>
                <w:noProof/>
                <w:webHidden/>
                <w:sz w:val="24"/>
                <w:szCs w:val="24"/>
              </w:rPr>
              <w:fldChar w:fldCharType="separate"/>
            </w:r>
            <w:r w:rsidRPr="00004810">
              <w:rPr>
                <w:noProof/>
                <w:webHidden/>
                <w:sz w:val="24"/>
                <w:szCs w:val="24"/>
              </w:rPr>
              <w:t>12</w:t>
            </w:r>
            <w:r w:rsidRPr="00004810">
              <w:rPr>
                <w:noProof/>
                <w:webHidden/>
                <w:sz w:val="24"/>
                <w:szCs w:val="24"/>
              </w:rPr>
              <w:fldChar w:fldCharType="end"/>
            </w:r>
          </w:hyperlink>
        </w:p>
        <w:p w14:paraId="5A4B1A3C" w14:textId="77777777" w:rsidR="005E0D53" w:rsidRPr="00004810" w:rsidRDefault="005E0D53" w:rsidP="005E0D53">
          <w:pPr>
            <w:pStyle w:val="TOC1"/>
            <w:tabs>
              <w:tab w:val="right" w:leader="dot" w:pos="9350"/>
            </w:tabs>
            <w:rPr>
              <w:noProof/>
              <w:sz w:val="24"/>
              <w:szCs w:val="24"/>
            </w:rPr>
          </w:pPr>
          <w:hyperlink w:anchor="_Toc238209076" w:history="1">
            <w:r w:rsidRPr="00004810">
              <w:rPr>
                <w:rStyle w:val="Hyperlink"/>
                <w:rFonts w:ascii="Times New Roman" w:hAnsi="Times New Roman" w:cs="Times New Roman"/>
                <w:noProof/>
                <w:sz w:val="24"/>
                <w:szCs w:val="24"/>
              </w:rPr>
              <w:t>Element 4: Conclusion and Reflective Account</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_Toc238209076 \h </w:instrText>
            </w:r>
            <w:r w:rsidRPr="00004810">
              <w:rPr>
                <w:noProof/>
                <w:webHidden/>
                <w:sz w:val="24"/>
                <w:szCs w:val="24"/>
              </w:rPr>
            </w:r>
            <w:r w:rsidRPr="00004810">
              <w:rPr>
                <w:noProof/>
                <w:webHidden/>
                <w:sz w:val="24"/>
                <w:szCs w:val="24"/>
              </w:rPr>
              <w:fldChar w:fldCharType="separate"/>
            </w:r>
            <w:r w:rsidRPr="00004810">
              <w:rPr>
                <w:noProof/>
                <w:webHidden/>
                <w:sz w:val="24"/>
                <w:szCs w:val="24"/>
              </w:rPr>
              <w:t>15</w:t>
            </w:r>
            <w:r w:rsidRPr="00004810">
              <w:rPr>
                <w:noProof/>
                <w:webHidden/>
                <w:sz w:val="24"/>
                <w:szCs w:val="24"/>
              </w:rPr>
              <w:fldChar w:fldCharType="end"/>
            </w:r>
          </w:hyperlink>
        </w:p>
        <w:p w14:paraId="0E3A62F8" w14:textId="77777777" w:rsidR="005E0D53" w:rsidRPr="00004810" w:rsidRDefault="005E0D53" w:rsidP="005E0D53">
          <w:pPr>
            <w:pStyle w:val="TOC2"/>
            <w:tabs>
              <w:tab w:val="right" w:leader="dot" w:pos="9350"/>
            </w:tabs>
            <w:rPr>
              <w:noProof/>
              <w:sz w:val="24"/>
              <w:szCs w:val="24"/>
            </w:rPr>
          </w:pPr>
          <w:hyperlink w:anchor="_Toc238209077" w:history="1">
            <w:r w:rsidRPr="00004810">
              <w:rPr>
                <w:rStyle w:val="Hyperlink"/>
                <w:rFonts w:ascii="Times New Roman" w:hAnsi="Times New Roman" w:cs="Times New Roman"/>
                <w:noProof/>
                <w:sz w:val="24"/>
                <w:szCs w:val="24"/>
              </w:rPr>
              <w:t>4.1 Conclusion</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_Toc238209077 \h </w:instrText>
            </w:r>
            <w:r w:rsidRPr="00004810">
              <w:rPr>
                <w:noProof/>
                <w:webHidden/>
                <w:sz w:val="24"/>
                <w:szCs w:val="24"/>
              </w:rPr>
            </w:r>
            <w:r w:rsidRPr="00004810">
              <w:rPr>
                <w:noProof/>
                <w:webHidden/>
                <w:sz w:val="24"/>
                <w:szCs w:val="24"/>
              </w:rPr>
              <w:fldChar w:fldCharType="separate"/>
            </w:r>
            <w:r w:rsidRPr="00004810">
              <w:rPr>
                <w:noProof/>
                <w:webHidden/>
                <w:sz w:val="24"/>
                <w:szCs w:val="24"/>
              </w:rPr>
              <w:t>15</w:t>
            </w:r>
            <w:r w:rsidRPr="00004810">
              <w:rPr>
                <w:noProof/>
                <w:webHidden/>
                <w:sz w:val="24"/>
                <w:szCs w:val="24"/>
              </w:rPr>
              <w:fldChar w:fldCharType="end"/>
            </w:r>
          </w:hyperlink>
        </w:p>
        <w:p w14:paraId="70F36F2D" w14:textId="77777777" w:rsidR="005E0D53" w:rsidRPr="00004810" w:rsidRDefault="005E0D53" w:rsidP="005E0D53">
          <w:pPr>
            <w:pStyle w:val="TOC2"/>
            <w:tabs>
              <w:tab w:val="right" w:leader="dot" w:pos="9350"/>
            </w:tabs>
            <w:rPr>
              <w:noProof/>
              <w:sz w:val="24"/>
              <w:szCs w:val="24"/>
            </w:rPr>
          </w:pPr>
          <w:hyperlink w:anchor="_Toc238209078" w:history="1">
            <w:r w:rsidRPr="00004810">
              <w:rPr>
                <w:rStyle w:val="Hyperlink"/>
                <w:rFonts w:ascii="Times New Roman" w:hAnsi="Times New Roman" w:cs="Times New Roman"/>
                <w:noProof/>
                <w:sz w:val="24"/>
                <w:szCs w:val="24"/>
              </w:rPr>
              <w:t>4.2 Reflective account</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_Toc238209078 \h </w:instrText>
            </w:r>
            <w:r w:rsidRPr="00004810">
              <w:rPr>
                <w:noProof/>
                <w:webHidden/>
                <w:sz w:val="24"/>
                <w:szCs w:val="24"/>
              </w:rPr>
            </w:r>
            <w:r w:rsidRPr="00004810">
              <w:rPr>
                <w:noProof/>
                <w:webHidden/>
                <w:sz w:val="24"/>
                <w:szCs w:val="24"/>
              </w:rPr>
              <w:fldChar w:fldCharType="separate"/>
            </w:r>
            <w:r w:rsidRPr="00004810">
              <w:rPr>
                <w:noProof/>
                <w:webHidden/>
                <w:sz w:val="24"/>
                <w:szCs w:val="24"/>
              </w:rPr>
              <w:t>15</w:t>
            </w:r>
            <w:r w:rsidRPr="00004810">
              <w:rPr>
                <w:noProof/>
                <w:webHidden/>
                <w:sz w:val="24"/>
                <w:szCs w:val="24"/>
              </w:rPr>
              <w:fldChar w:fldCharType="end"/>
            </w:r>
          </w:hyperlink>
        </w:p>
        <w:p w14:paraId="45FCFC32" w14:textId="77777777" w:rsidR="005E0D53" w:rsidRPr="00004810" w:rsidRDefault="005E0D53" w:rsidP="005E0D53">
          <w:pPr>
            <w:pStyle w:val="TOC1"/>
            <w:tabs>
              <w:tab w:val="right" w:leader="dot" w:pos="9350"/>
            </w:tabs>
            <w:rPr>
              <w:noProof/>
              <w:sz w:val="24"/>
              <w:szCs w:val="24"/>
            </w:rPr>
          </w:pPr>
          <w:hyperlink w:anchor="_Toc238209079" w:history="1">
            <w:r w:rsidRPr="00004810">
              <w:rPr>
                <w:rStyle w:val="Hyperlink"/>
                <w:rFonts w:ascii="Times New Roman" w:hAnsi="Times New Roman" w:cs="Times New Roman"/>
                <w:noProof/>
                <w:sz w:val="24"/>
                <w:szCs w:val="24"/>
              </w:rPr>
              <w:t>References</w:t>
            </w:r>
            <w:r w:rsidRPr="00004810">
              <w:rPr>
                <w:noProof/>
                <w:webHidden/>
                <w:sz w:val="24"/>
                <w:szCs w:val="24"/>
              </w:rPr>
              <w:tab/>
            </w:r>
            <w:r w:rsidRPr="00004810">
              <w:rPr>
                <w:noProof/>
                <w:webHidden/>
                <w:sz w:val="24"/>
                <w:szCs w:val="24"/>
              </w:rPr>
              <w:fldChar w:fldCharType="begin"/>
            </w:r>
            <w:r w:rsidRPr="00004810">
              <w:rPr>
                <w:noProof/>
                <w:webHidden/>
                <w:sz w:val="24"/>
                <w:szCs w:val="24"/>
              </w:rPr>
              <w:instrText xml:space="preserve"> PAGEREF _Toc238209079 \h </w:instrText>
            </w:r>
            <w:r w:rsidRPr="00004810">
              <w:rPr>
                <w:noProof/>
                <w:webHidden/>
                <w:sz w:val="24"/>
                <w:szCs w:val="24"/>
              </w:rPr>
            </w:r>
            <w:r w:rsidRPr="00004810">
              <w:rPr>
                <w:noProof/>
                <w:webHidden/>
                <w:sz w:val="24"/>
                <w:szCs w:val="24"/>
              </w:rPr>
              <w:fldChar w:fldCharType="separate"/>
            </w:r>
            <w:r w:rsidRPr="00004810">
              <w:rPr>
                <w:noProof/>
                <w:webHidden/>
                <w:sz w:val="24"/>
                <w:szCs w:val="24"/>
              </w:rPr>
              <w:t>17</w:t>
            </w:r>
            <w:r w:rsidRPr="00004810">
              <w:rPr>
                <w:noProof/>
                <w:webHidden/>
                <w:sz w:val="24"/>
                <w:szCs w:val="24"/>
              </w:rPr>
              <w:fldChar w:fldCharType="end"/>
            </w:r>
          </w:hyperlink>
        </w:p>
        <w:p w14:paraId="1563E4E8" w14:textId="77777777" w:rsidR="005E0D53" w:rsidRDefault="005E0D53" w:rsidP="005E0D53">
          <w:r>
            <w:rPr>
              <w:b/>
              <w:bCs/>
              <w:noProof/>
            </w:rPr>
            <w:fldChar w:fldCharType="end"/>
          </w:r>
        </w:p>
      </w:sdtContent>
    </w:sdt>
    <w:p w14:paraId="34514A7C"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br w:type="page"/>
      </w:r>
    </w:p>
    <w:p w14:paraId="2DA34559" w14:textId="77777777" w:rsidR="005E0D53" w:rsidRDefault="005E0D53" w:rsidP="005E0D53">
      <w:pPr>
        <w:pStyle w:val="Heading1"/>
        <w:spacing w:after="240"/>
        <w:rPr>
          <w:rFonts w:ascii="Times New Roman" w:hAnsi="Times New Roman" w:cs="Times New Roman"/>
          <w:b/>
          <w:bCs/>
          <w:color w:val="000000" w:themeColor="text1"/>
        </w:rPr>
        <w:sectPr w:rsidR="005E0D53" w:rsidSect="005E0D53">
          <w:footerReference w:type="default" r:id="rId4"/>
          <w:pgSz w:w="12240" w:h="15840"/>
          <w:pgMar w:top="1440" w:right="1440" w:bottom="1440" w:left="1440" w:header="720" w:footer="720" w:gutter="0"/>
          <w:pgNumType w:fmt="lowerRoman"/>
          <w:cols w:space="720"/>
          <w:docGrid w:linePitch="360"/>
        </w:sectPr>
      </w:pPr>
    </w:p>
    <w:p w14:paraId="6BA83A0D" w14:textId="77777777" w:rsidR="005E0D53" w:rsidRPr="00B1790B" w:rsidRDefault="005E0D53" w:rsidP="005E0D53">
      <w:pPr>
        <w:pStyle w:val="Heading1"/>
        <w:spacing w:after="240"/>
        <w:rPr>
          <w:rFonts w:ascii="Times New Roman" w:hAnsi="Times New Roman" w:cs="Times New Roman"/>
          <w:b/>
          <w:bCs/>
          <w:color w:val="000000" w:themeColor="text1"/>
        </w:rPr>
      </w:pPr>
      <w:bookmarkStart w:id="0" w:name="_Toc238209070"/>
      <w:r w:rsidRPr="00B1790B">
        <w:rPr>
          <w:rFonts w:ascii="Times New Roman" w:hAnsi="Times New Roman" w:cs="Times New Roman"/>
          <w:b/>
          <w:bCs/>
          <w:color w:val="000000" w:themeColor="text1"/>
        </w:rPr>
        <w:lastRenderedPageBreak/>
        <w:t>Element 1: Introduction</w:t>
      </w:r>
      <w:bookmarkEnd w:id="0"/>
    </w:p>
    <w:p w14:paraId="2FC7F2F2"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In this portfolio, I act as Junior Stakeholder Manager for GreenBridge Consulting on the hypothetical </w:t>
      </w:r>
      <w:proofErr w:type="spellStart"/>
      <w:r w:rsidRPr="00B1790B">
        <w:rPr>
          <w:rFonts w:ascii="Times New Roman" w:hAnsi="Times New Roman" w:cs="Times New Roman"/>
          <w:sz w:val="24"/>
          <w:szCs w:val="24"/>
        </w:rPr>
        <w:t>GreenLink</w:t>
      </w:r>
      <w:proofErr w:type="spellEnd"/>
      <w:r w:rsidRPr="00B1790B">
        <w:rPr>
          <w:rFonts w:ascii="Times New Roman" w:hAnsi="Times New Roman" w:cs="Times New Roman"/>
          <w:sz w:val="24"/>
          <w:szCs w:val="24"/>
        </w:rPr>
        <w:t xml:space="preserve"> Community Park, a six-hectare regeneration scheme on a brownfield site in Canning Town, Newham. The significance of the location is that the Newham population grew by 14.0% between 2011 and 2021, compared to 7.7% across London, and is approximately 351,000 (ONS, 2023). It is also a young, densely populated, and highly diverse borough where 42.2% of residents identified as Asian ethnic groups, compared to 30.8% White and 17.5% Black in Census 2021. This variety makes a single, one-size-fits-all approach impractical. Newham Council's Physical Activity Health Needs Assessment (2026a) found that 31% of adults and 33% of children and young people in Newham were inactive in 2024/25</w:t>
      </w:r>
      <w:r>
        <w:rPr>
          <w:rFonts w:ascii="Times New Roman" w:hAnsi="Times New Roman" w:cs="Times New Roman"/>
          <w:sz w:val="24"/>
          <w:szCs w:val="24"/>
        </w:rPr>
        <w:t>,</w:t>
      </w:r>
      <w:r w:rsidRPr="00B1790B">
        <w:rPr>
          <w:rFonts w:ascii="Times New Roman" w:hAnsi="Times New Roman" w:cs="Times New Roman"/>
          <w:sz w:val="24"/>
          <w:szCs w:val="24"/>
        </w:rPr>
        <w:t xml:space="preserve"> compared with 25% in London and 30% respectively. Newham Council's health annual report 2024/25 also highlights that adult activity is lower than in both London and England (Newham Council, 2025a).</w:t>
      </w:r>
    </w:p>
    <w:p w14:paraId="24BFE8E2"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Green space has the potential to help with physical activity, social connections, attention and mood (Lee and Maheswaran, 2011; Kondo et al., 2018; Nguyen et al., 2021), though this varies depending on the quality, access, and safety of green space, as well as user characteristics. Trees and sustainable drainage can also help to mitigate heat and surface-water risk, and there has been a growing public awareness of the need for green space as heat-health infrastructure, as evidenced by recent newspaper reports in The Guardian (2024).</w:t>
      </w:r>
    </w:p>
    <w:p w14:paraId="7155FE11"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The proposed parking project will benefit residents, tenants, children, schools, disabled people and older residents (through inclusive play and learning, step-free routes, seating and sensory provision) and businesses (through footfall and an improved public realm). Newham Council and NHS partners have a health, climate and prevention asset. Environmental groups stand to benefit from habitat creation and stewardship opportunities, while housing providers can leverage community-investment prospects. Given that climate risk, green-space enhancement, and resident-led placemaking are central to L&amp;Q's 2024/25 reporting framework, the </w:t>
      </w:r>
      <w:proofErr w:type="spellStart"/>
      <w:r w:rsidRPr="00B1790B">
        <w:rPr>
          <w:rFonts w:ascii="Times New Roman" w:hAnsi="Times New Roman" w:cs="Times New Roman"/>
          <w:sz w:val="24"/>
          <w:szCs w:val="24"/>
        </w:rPr>
        <w:t>organisation</w:t>
      </w:r>
      <w:proofErr w:type="spellEnd"/>
      <w:r w:rsidRPr="00B1790B">
        <w:rPr>
          <w:rFonts w:ascii="Times New Roman" w:hAnsi="Times New Roman" w:cs="Times New Roman"/>
          <w:sz w:val="24"/>
          <w:szCs w:val="24"/>
        </w:rPr>
        <w:t xml:space="preserve"> is included here as a potential partner (L&amp;Q, 2025).</w:t>
      </w:r>
    </w:p>
    <w:p w14:paraId="0B00B576"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lastRenderedPageBreak/>
        <w:t xml:space="preserve"> </w:t>
      </w:r>
      <w:r w:rsidRPr="00B1790B">
        <w:rPr>
          <w:rFonts w:ascii="Times New Roman" w:hAnsi="Times New Roman" w:cs="Times New Roman"/>
          <w:noProof/>
          <w:sz w:val="24"/>
          <w:szCs w:val="24"/>
        </w:rPr>
        <w:drawing>
          <wp:inline distT="0" distB="0" distL="0" distR="0" wp14:anchorId="505E7937" wp14:editId="4843EA66">
            <wp:extent cx="5621020" cy="2707005"/>
            <wp:effectExtent l="0" t="0" r="0" b="0"/>
            <wp:docPr id="1" name="Picture 1" descr="A graph with green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green rectangles&#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21020" cy="2707005"/>
                    </a:xfrm>
                    <a:prstGeom prst="rect">
                      <a:avLst/>
                    </a:prstGeom>
                    <a:noFill/>
                  </pic:spPr>
                </pic:pic>
              </a:graphicData>
            </a:graphic>
          </wp:inline>
        </w:drawing>
      </w:r>
    </w:p>
    <w:p w14:paraId="353E16E8" w14:textId="77777777" w:rsidR="005E0D53" w:rsidRPr="00B1790B" w:rsidRDefault="005E0D53" w:rsidP="005E0D53">
      <w:pPr>
        <w:spacing w:line="360" w:lineRule="auto"/>
        <w:jc w:val="center"/>
        <w:rPr>
          <w:rFonts w:ascii="Times New Roman" w:hAnsi="Times New Roman" w:cs="Times New Roman"/>
          <w:sz w:val="24"/>
          <w:szCs w:val="24"/>
        </w:rPr>
      </w:pPr>
      <w:r w:rsidRPr="00B1790B">
        <w:rPr>
          <w:rFonts w:ascii="Times New Roman" w:hAnsi="Times New Roman" w:cs="Times New Roman"/>
          <w:sz w:val="24"/>
          <w:szCs w:val="24"/>
        </w:rPr>
        <w:t>Figure 1: Newham's broad ethnic-group composition, Census 2021</w:t>
      </w:r>
    </w:p>
    <w:p w14:paraId="2A018E1C" w14:textId="77777777" w:rsidR="005E0D53" w:rsidRDefault="005E0D53" w:rsidP="005E0D53">
      <w:pPr>
        <w:spacing w:line="360" w:lineRule="auto"/>
        <w:jc w:val="center"/>
        <w:rPr>
          <w:rFonts w:ascii="Times New Roman" w:hAnsi="Times New Roman" w:cs="Times New Roman"/>
          <w:sz w:val="24"/>
          <w:szCs w:val="24"/>
        </w:rPr>
      </w:pPr>
      <w:r w:rsidRPr="00B1790B">
        <w:rPr>
          <w:rFonts w:ascii="Times New Roman" w:hAnsi="Times New Roman" w:cs="Times New Roman"/>
          <w:sz w:val="24"/>
          <w:szCs w:val="24"/>
        </w:rPr>
        <w:t xml:space="preserve">Source: ONS (2023). </w:t>
      </w:r>
      <w:r>
        <w:rPr>
          <w:rFonts w:ascii="Times New Roman" w:hAnsi="Times New Roman" w:cs="Times New Roman"/>
          <w:sz w:val="24"/>
          <w:szCs w:val="24"/>
        </w:rPr>
        <w:t>Percentage’s</w:t>
      </w:r>
      <w:r w:rsidRPr="00B1790B">
        <w:rPr>
          <w:rFonts w:ascii="Times New Roman" w:hAnsi="Times New Roman" w:cs="Times New Roman"/>
          <w:sz w:val="24"/>
          <w:szCs w:val="24"/>
        </w:rPr>
        <w:t xml:space="preserve"> total 100.1% because of rounding.</w:t>
      </w:r>
    </w:p>
    <w:p w14:paraId="18B59B1F" w14:textId="77777777" w:rsidR="005E0D53" w:rsidRPr="00B1790B" w:rsidRDefault="005E0D53" w:rsidP="005E0D53">
      <w:pPr>
        <w:spacing w:line="360" w:lineRule="auto"/>
        <w:rPr>
          <w:rFonts w:ascii="Times New Roman" w:hAnsi="Times New Roman" w:cs="Times New Roman"/>
          <w:i/>
          <w:iCs/>
          <w:sz w:val="24"/>
          <w:szCs w:val="24"/>
        </w:rPr>
      </w:pPr>
      <w:r w:rsidRPr="00B1790B">
        <w:rPr>
          <w:rFonts w:ascii="Times New Roman" w:hAnsi="Times New Roman" w:cs="Times New Roman"/>
          <w:i/>
          <w:iCs/>
          <w:sz w:val="24"/>
          <w:szCs w:val="24"/>
        </w:rPr>
        <w:t>Table 2. Key stakeholders and expected project benefits</w:t>
      </w:r>
    </w:p>
    <w:tbl>
      <w:tblPr>
        <w:tblStyle w:val="TableGrid"/>
        <w:tblW w:w="9360" w:type="dxa"/>
        <w:tblLayout w:type="fixed"/>
        <w:tblLook w:val="04A0" w:firstRow="1" w:lastRow="0" w:firstColumn="1" w:lastColumn="0" w:noHBand="0" w:noVBand="1"/>
      </w:tblPr>
      <w:tblGrid>
        <w:gridCol w:w="3000"/>
        <w:gridCol w:w="1200"/>
        <w:gridCol w:w="5160"/>
      </w:tblGrid>
      <w:tr w:rsidR="005E0D53" w:rsidRPr="00082665" w14:paraId="08DF6234" w14:textId="77777777" w:rsidTr="00E5182E">
        <w:tc>
          <w:tcPr>
            <w:tcW w:w="3000" w:type="dxa"/>
            <w:vAlign w:val="center"/>
          </w:tcPr>
          <w:p w14:paraId="0A0CAAAA"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Pr>
                <w:rFonts w:ascii="Times New Roman" w:hAnsi="Times New Roman" w:cs="Times New Roman"/>
                <w:b/>
                <w:color w:val="20313C"/>
                <w:sz w:val="24"/>
                <w:szCs w:val="24"/>
              </w:rPr>
              <w:t>Stakeholder/beneficiary</w:t>
            </w:r>
          </w:p>
        </w:tc>
        <w:tc>
          <w:tcPr>
            <w:tcW w:w="1200" w:type="dxa"/>
            <w:vAlign w:val="center"/>
          </w:tcPr>
          <w:p w14:paraId="22FBEA4A"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Benefit type</w:t>
            </w:r>
          </w:p>
        </w:tc>
        <w:tc>
          <w:tcPr>
            <w:tcW w:w="5160" w:type="dxa"/>
            <w:vAlign w:val="center"/>
          </w:tcPr>
          <w:p w14:paraId="3557EB01"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Expected benefit</w:t>
            </w:r>
          </w:p>
        </w:tc>
      </w:tr>
      <w:tr w:rsidR="005E0D53" w:rsidRPr="00082665" w14:paraId="27A37ADC" w14:textId="77777777" w:rsidTr="00E5182E">
        <w:tc>
          <w:tcPr>
            <w:tcW w:w="3000" w:type="dxa"/>
          </w:tcPr>
          <w:p w14:paraId="7CC71A63"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Nearby residents, tenants and community groups</w:t>
            </w:r>
          </w:p>
        </w:tc>
        <w:tc>
          <w:tcPr>
            <w:tcW w:w="1200" w:type="dxa"/>
            <w:vAlign w:val="center"/>
          </w:tcPr>
          <w:p w14:paraId="7D4C3C53"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Direct</w:t>
            </w:r>
          </w:p>
        </w:tc>
        <w:tc>
          <w:tcPr>
            <w:tcW w:w="5160" w:type="dxa"/>
          </w:tcPr>
          <w:p w14:paraId="70B33FCC" w14:textId="2DF2C9A1"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 xml:space="preserve">Free recreation, social connection, safer walking routes, volunteering and influence over </w:t>
            </w:r>
            <w:r w:rsidR="003A0D58" w:rsidRPr="00082665">
              <w:rPr>
                <w:rFonts w:ascii="Times New Roman" w:hAnsi="Times New Roman" w:cs="Times New Roman"/>
                <w:color w:val="20313C"/>
                <w:sz w:val="24"/>
                <w:szCs w:val="24"/>
              </w:rPr>
              <w:t>neighborhood</w:t>
            </w:r>
            <w:r w:rsidRPr="00082665">
              <w:rPr>
                <w:rFonts w:ascii="Times New Roman" w:hAnsi="Times New Roman" w:cs="Times New Roman"/>
                <w:color w:val="20313C"/>
                <w:sz w:val="24"/>
                <w:szCs w:val="24"/>
              </w:rPr>
              <w:t xml:space="preserve"> design.</w:t>
            </w:r>
          </w:p>
        </w:tc>
      </w:tr>
      <w:tr w:rsidR="005E0D53" w:rsidRPr="00082665" w14:paraId="00C4D686" w14:textId="77777777" w:rsidTr="00E5182E">
        <w:tc>
          <w:tcPr>
            <w:tcW w:w="3000" w:type="dxa"/>
          </w:tcPr>
          <w:p w14:paraId="45AD063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Children, young people and schools</w:t>
            </w:r>
          </w:p>
        </w:tc>
        <w:tc>
          <w:tcPr>
            <w:tcW w:w="1200" w:type="dxa"/>
            <w:vAlign w:val="center"/>
          </w:tcPr>
          <w:p w14:paraId="19D53478"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Direct</w:t>
            </w:r>
          </w:p>
        </w:tc>
        <w:tc>
          <w:tcPr>
            <w:tcW w:w="5160" w:type="dxa"/>
          </w:tcPr>
          <w:p w14:paraId="234A9F0F"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Inclusive play, informal sport, outdoor learning and safe youth-focused programming.</w:t>
            </w:r>
          </w:p>
        </w:tc>
      </w:tr>
      <w:tr w:rsidR="005E0D53" w:rsidRPr="00082665" w14:paraId="174661E3" w14:textId="77777777" w:rsidTr="00E5182E">
        <w:tc>
          <w:tcPr>
            <w:tcW w:w="3000" w:type="dxa"/>
          </w:tcPr>
          <w:p w14:paraId="1A667E84"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Disabled people and older residents</w:t>
            </w:r>
          </w:p>
        </w:tc>
        <w:tc>
          <w:tcPr>
            <w:tcW w:w="1200" w:type="dxa"/>
            <w:vAlign w:val="center"/>
          </w:tcPr>
          <w:p w14:paraId="69104B65"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Direct</w:t>
            </w:r>
          </w:p>
        </w:tc>
        <w:tc>
          <w:tcPr>
            <w:tcW w:w="5160" w:type="dxa"/>
          </w:tcPr>
          <w:p w14:paraId="312944EF"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Step-free paths, frequent seating, accessible toilets, quiet/sensory areas and safer mobility.</w:t>
            </w:r>
          </w:p>
        </w:tc>
      </w:tr>
      <w:tr w:rsidR="005E0D53" w:rsidRPr="00082665" w14:paraId="28224159" w14:textId="77777777" w:rsidTr="00E5182E">
        <w:tc>
          <w:tcPr>
            <w:tcW w:w="3000" w:type="dxa"/>
          </w:tcPr>
          <w:p w14:paraId="02260BDF"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Local businesses and market traders</w:t>
            </w:r>
          </w:p>
        </w:tc>
        <w:tc>
          <w:tcPr>
            <w:tcW w:w="1200" w:type="dxa"/>
            <w:vAlign w:val="center"/>
          </w:tcPr>
          <w:p w14:paraId="08A22BA7"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Indirect/direct</w:t>
            </w:r>
          </w:p>
        </w:tc>
        <w:tc>
          <w:tcPr>
            <w:tcW w:w="5160" w:type="dxa"/>
          </w:tcPr>
          <w:p w14:paraId="50715DA4"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Footfall, local procurement, event opportunities and an improved trading environment.</w:t>
            </w:r>
          </w:p>
        </w:tc>
      </w:tr>
      <w:tr w:rsidR="005E0D53" w:rsidRPr="00082665" w14:paraId="28B1E3EE" w14:textId="77777777" w:rsidTr="00E5182E">
        <w:tc>
          <w:tcPr>
            <w:tcW w:w="3000" w:type="dxa"/>
          </w:tcPr>
          <w:p w14:paraId="4531C9A6"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Newham Council and GLA</w:t>
            </w:r>
          </w:p>
        </w:tc>
        <w:tc>
          <w:tcPr>
            <w:tcW w:w="1200" w:type="dxa"/>
            <w:vAlign w:val="center"/>
          </w:tcPr>
          <w:p w14:paraId="2211C8BD"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Strategic</w:t>
            </w:r>
          </w:p>
        </w:tc>
        <w:tc>
          <w:tcPr>
            <w:tcW w:w="5160" w:type="dxa"/>
          </w:tcPr>
          <w:p w14:paraId="1F4EAF90"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Delivery of health, climate, planning, biodiversity and public-realm objectives; stronger public value.</w:t>
            </w:r>
          </w:p>
        </w:tc>
      </w:tr>
      <w:tr w:rsidR="005E0D53" w:rsidRPr="00082665" w14:paraId="3F75D6A1" w14:textId="77777777" w:rsidTr="00E5182E">
        <w:tc>
          <w:tcPr>
            <w:tcW w:w="3000" w:type="dxa"/>
          </w:tcPr>
          <w:p w14:paraId="4B81F947"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NHS North East London / public health</w:t>
            </w:r>
          </w:p>
        </w:tc>
        <w:tc>
          <w:tcPr>
            <w:tcW w:w="1200" w:type="dxa"/>
            <w:vAlign w:val="center"/>
          </w:tcPr>
          <w:p w14:paraId="5444EE23"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Strategic</w:t>
            </w:r>
          </w:p>
        </w:tc>
        <w:tc>
          <w:tcPr>
            <w:tcW w:w="5160" w:type="dxa"/>
          </w:tcPr>
          <w:p w14:paraId="73708A48" w14:textId="222FEBBA"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 xml:space="preserve">A prevention setting for walking, social prescribing and community wellbeing </w:t>
            </w:r>
            <w:r w:rsidR="002677B6" w:rsidRPr="00082665">
              <w:rPr>
                <w:rFonts w:ascii="Times New Roman" w:hAnsi="Times New Roman" w:cs="Times New Roman"/>
                <w:color w:val="20313C"/>
                <w:sz w:val="24"/>
                <w:szCs w:val="24"/>
              </w:rPr>
              <w:t>programs</w:t>
            </w:r>
            <w:r w:rsidRPr="00082665">
              <w:rPr>
                <w:rFonts w:ascii="Times New Roman" w:hAnsi="Times New Roman" w:cs="Times New Roman"/>
                <w:color w:val="20313C"/>
                <w:sz w:val="24"/>
                <w:szCs w:val="24"/>
              </w:rPr>
              <w:t>.</w:t>
            </w:r>
          </w:p>
        </w:tc>
      </w:tr>
      <w:tr w:rsidR="005E0D53" w:rsidRPr="00082665" w14:paraId="3C4BA114" w14:textId="77777777" w:rsidTr="00E5182E">
        <w:tc>
          <w:tcPr>
            <w:tcW w:w="3000" w:type="dxa"/>
          </w:tcPr>
          <w:p w14:paraId="26B7BCA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lastRenderedPageBreak/>
              <w:t>Environmental and stewardship groups</w:t>
            </w:r>
          </w:p>
        </w:tc>
        <w:tc>
          <w:tcPr>
            <w:tcW w:w="1200" w:type="dxa"/>
            <w:vAlign w:val="center"/>
          </w:tcPr>
          <w:p w14:paraId="71CDF8AF"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Direct</w:t>
            </w:r>
          </w:p>
        </w:tc>
        <w:tc>
          <w:tcPr>
            <w:tcW w:w="5160" w:type="dxa"/>
          </w:tcPr>
          <w:p w14:paraId="05CA487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Habitat creation, citizen science, gardening and long-term stewardship opportunities.</w:t>
            </w:r>
          </w:p>
        </w:tc>
      </w:tr>
      <w:tr w:rsidR="005E0D53" w:rsidRPr="00082665" w14:paraId="5F123D34" w14:textId="77777777" w:rsidTr="00E5182E">
        <w:tc>
          <w:tcPr>
            <w:tcW w:w="3000" w:type="dxa"/>
          </w:tcPr>
          <w:p w14:paraId="3C6F428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Housing providers and developers</w:t>
            </w:r>
          </w:p>
        </w:tc>
        <w:tc>
          <w:tcPr>
            <w:tcW w:w="1200" w:type="dxa"/>
            <w:vAlign w:val="center"/>
          </w:tcPr>
          <w:p w14:paraId="1358DD3D"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Indirect/direct</w:t>
            </w:r>
          </w:p>
        </w:tc>
        <w:tc>
          <w:tcPr>
            <w:tcW w:w="5160" w:type="dxa"/>
          </w:tcPr>
          <w:p w14:paraId="532C219C"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Improved resident environment, community-investment opportunities and place value.</w:t>
            </w:r>
          </w:p>
        </w:tc>
      </w:tr>
    </w:tbl>
    <w:p w14:paraId="59C2E46F" w14:textId="77777777" w:rsidR="005E0D53" w:rsidRPr="00B1790B" w:rsidRDefault="005E0D53" w:rsidP="005E0D53">
      <w:pPr>
        <w:spacing w:before="80" w:after="80" w:line="360" w:lineRule="auto"/>
        <w:jc w:val="center"/>
        <w:rPr>
          <w:rFonts w:ascii="Times New Roman" w:eastAsia="MS Mincho" w:hAnsi="Times New Roman" w:cs="Times New Roman"/>
          <w:b/>
          <w:bCs/>
          <w:i/>
          <w:sz w:val="24"/>
          <w:szCs w:val="24"/>
        </w:rPr>
      </w:pPr>
      <w:r w:rsidRPr="00082665">
        <w:rPr>
          <w:rFonts w:ascii="Times New Roman" w:eastAsia="MS Mincho" w:hAnsi="Times New Roman" w:cs="Times New Roman"/>
          <w:b/>
          <w:bCs/>
          <w:i/>
          <w:sz w:val="24"/>
          <w:szCs w:val="24"/>
        </w:rPr>
        <w:t>Source: Author's stakeholder identification, informed by Freeman (1984), ONS (2023), Newham Council (2025a; 2025b; 2026a) and L&amp;Q (2025).</w:t>
      </w:r>
    </w:p>
    <w:p w14:paraId="24C2496C" w14:textId="77777777" w:rsidR="005E0D53" w:rsidRDefault="005E0D53" w:rsidP="005E0D53">
      <w:pPr>
        <w:rPr>
          <w:rFonts w:ascii="Times New Roman" w:eastAsiaTheme="majorEastAsia" w:hAnsi="Times New Roman" w:cs="Times New Roman"/>
          <w:b/>
          <w:bCs/>
          <w:color w:val="000000" w:themeColor="text1"/>
          <w:sz w:val="32"/>
          <w:szCs w:val="32"/>
        </w:rPr>
      </w:pPr>
      <w:r>
        <w:rPr>
          <w:rFonts w:ascii="Times New Roman" w:hAnsi="Times New Roman" w:cs="Times New Roman"/>
          <w:b/>
          <w:bCs/>
          <w:color w:val="000000" w:themeColor="text1"/>
        </w:rPr>
        <w:br w:type="page"/>
      </w:r>
    </w:p>
    <w:p w14:paraId="4C877892" w14:textId="77777777" w:rsidR="005E0D53" w:rsidRPr="00B1790B" w:rsidRDefault="005E0D53" w:rsidP="005E0D53">
      <w:pPr>
        <w:pStyle w:val="Heading1"/>
        <w:spacing w:after="240"/>
        <w:rPr>
          <w:rFonts w:ascii="Times New Roman" w:hAnsi="Times New Roman" w:cs="Times New Roman"/>
          <w:b/>
          <w:bCs/>
          <w:color w:val="000000" w:themeColor="text1"/>
        </w:rPr>
      </w:pPr>
      <w:bookmarkStart w:id="1" w:name="_Toc238209071"/>
      <w:r w:rsidRPr="00B1790B">
        <w:rPr>
          <w:rFonts w:ascii="Times New Roman" w:hAnsi="Times New Roman" w:cs="Times New Roman"/>
          <w:b/>
          <w:bCs/>
          <w:color w:val="000000" w:themeColor="text1"/>
        </w:rPr>
        <w:lastRenderedPageBreak/>
        <w:t>Element 2: Application - Stakeholder Engagement Strategies</w:t>
      </w:r>
      <w:bookmarkEnd w:id="1"/>
    </w:p>
    <w:p w14:paraId="042945B2" w14:textId="77777777" w:rsidR="005E0D53" w:rsidRPr="00B1790B" w:rsidRDefault="005E0D53" w:rsidP="005E0D53">
      <w:pPr>
        <w:pStyle w:val="Heading2"/>
        <w:spacing w:after="240"/>
        <w:rPr>
          <w:rFonts w:ascii="Times New Roman" w:hAnsi="Times New Roman" w:cs="Times New Roman"/>
          <w:b/>
          <w:bCs/>
          <w:color w:val="000000" w:themeColor="text1"/>
          <w:sz w:val="28"/>
          <w:szCs w:val="28"/>
        </w:rPr>
      </w:pPr>
      <w:bookmarkStart w:id="2" w:name="_Toc238209072"/>
      <w:r w:rsidRPr="00B1790B">
        <w:rPr>
          <w:rFonts w:ascii="Times New Roman" w:hAnsi="Times New Roman" w:cs="Times New Roman"/>
          <w:b/>
          <w:bCs/>
          <w:color w:val="000000" w:themeColor="text1"/>
          <w:sz w:val="28"/>
          <w:szCs w:val="28"/>
        </w:rPr>
        <w:t>2.1 Stakeholder assessment</w:t>
      </w:r>
      <w:bookmarkEnd w:id="2"/>
    </w:p>
    <w:p w14:paraId="3E636A2C"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The first part of stakeholder management is to discover any person or </w:t>
      </w:r>
      <w:proofErr w:type="spellStart"/>
      <w:r w:rsidRPr="00B1790B">
        <w:rPr>
          <w:rFonts w:ascii="Times New Roman" w:hAnsi="Times New Roman" w:cs="Times New Roman"/>
          <w:sz w:val="24"/>
          <w:szCs w:val="24"/>
        </w:rPr>
        <w:t>organisation</w:t>
      </w:r>
      <w:proofErr w:type="spellEnd"/>
      <w:r w:rsidRPr="00B1790B">
        <w:rPr>
          <w:rFonts w:ascii="Times New Roman" w:hAnsi="Times New Roman" w:cs="Times New Roman"/>
          <w:sz w:val="24"/>
          <w:szCs w:val="24"/>
        </w:rPr>
        <w:t xml:space="preserve"> that can impact, is impacted, or feels impacted by a decision. Freeman's (1984) broad stakeholder concept is relevant to inclusion, and Mitchell, Agle and Wood's (1997) attributes of power, legitimacy and urgency are relevant to why attention cannot be given to formal authority alone. The ratings listed in Table 3 are preliminary and should be reviewed at every gateway as the position of the various stakeholders evolves as design, planning and construction risks become apparent.</w:t>
      </w:r>
    </w:p>
    <w:p w14:paraId="06ECEFC8"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Using Bryson's (2004) use of the grid, the power-interest map translates those assessments into four management responses. Close management of Newham Council and the GLA/funding partnership is required as they have control over land, approvals, finance and delivery. A residents' co-design panel is intentionally positioned in the same quadrant: the project is afforded defined decision-making powers in regard to play, access, programming and a </w:t>
      </w:r>
      <w:proofErr w:type="spellStart"/>
      <w:r w:rsidRPr="00B1790B">
        <w:rPr>
          <w:rFonts w:ascii="Times New Roman" w:hAnsi="Times New Roman" w:cs="Times New Roman"/>
          <w:sz w:val="24"/>
          <w:szCs w:val="24"/>
        </w:rPr>
        <w:t>prioritised</w:t>
      </w:r>
      <w:proofErr w:type="spellEnd"/>
      <w:r w:rsidRPr="00B1790B">
        <w:rPr>
          <w:rFonts w:ascii="Times New Roman" w:hAnsi="Times New Roman" w:cs="Times New Roman"/>
          <w:sz w:val="24"/>
          <w:szCs w:val="24"/>
        </w:rPr>
        <w:t xml:space="preserve"> portion of the landscape brief. This prevents residents from being treated as high-interest parties lacking any real power.</w:t>
      </w:r>
    </w:p>
    <w:p w14:paraId="4AB77E4F" w14:textId="77777777" w:rsidR="005E0D53" w:rsidRPr="00B1790B" w:rsidRDefault="005E0D53" w:rsidP="005E0D53">
      <w:pPr>
        <w:spacing w:line="360" w:lineRule="auto"/>
        <w:jc w:val="both"/>
        <w:rPr>
          <w:rFonts w:ascii="Times New Roman" w:hAnsi="Times New Roman" w:cs="Times New Roman"/>
          <w:i/>
          <w:iCs/>
          <w:sz w:val="24"/>
          <w:szCs w:val="24"/>
        </w:rPr>
      </w:pPr>
      <w:r w:rsidRPr="00B1790B">
        <w:rPr>
          <w:rFonts w:ascii="Times New Roman" w:hAnsi="Times New Roman" w:cs="Times New Roman"/>
          <w:i/>
          <w:iCs/>
          <w:sz w:val="24"/>
          <w:szCs w:val="24"/>
        </w:rPr>
        <w:t>Table 3. Power, influence and interest assessment</w:t>
      </w:r>
    </w:p>
    <w:tbl>
      <w:tblPr>
        <w:tblStyle w:val="TableGrid"/>
        <w:tblW w:w="9360" w:type="dxa"/>
        <w:tblLayout w:type="fixed"/>
        <w:tblLook w:val="04A0" w:firstRow="1" w:lastRow="0" w:firstColumn="1" w:lastColumn="0" w:noHBand="0" w:noVBand="1"/>
      </w:tblPr>
      <w:tblGrid>
        <w:gridCol w:w="2500"/>
        <w:gridCol w:w="1095"/>
        <w:gridCol w:w="1260"/>
        <w:gridCol w:w="1080"/>
        <w:gridCol w:w="3425"/>
      </w:tblGrid>
      <w:tr w:rsidR="005E0D53" w:rsidRPr="00082665" w14:paraId="70687145" w14:textId="77777777" w:rsidTr="00E5182E">
        <w:trPr>
          <w:trHeight w:val="593"/>
        </w:trPr>
        <w:tc>
          <w:tcPr>
            <w:tcW w:w="2500" w:type="dxa"/>
            <w:vAlign w:val="center"/>
          </w:tcPr>
          <w:p w14:paraId="7C756E71" w14:textId="77777777" w:rsidR="005E0D53" w:rsidRPr="00082665" w:rsidRDefault="005E0D53" w:rsidP="00E5182E">
            <w:pPr>
              <w:spacing w:after="40" w:line="360" w:lineRule="auto"/>
              <w:jc w:val="center"/>
              <w:rPr>
                <w:rFonts w:ascii="Times New Roman" w:hAnsi="Times New Roman" w:cs="Times New Roman"/>
                <w:color w:val="20313C"/>
                <w:sz w:val="24"/>
                <w:szCs w:val="24"/>
              </w:rPr>
            </w:pPr>
            <w:bookmarkStart w:id="3" w:name="_Hlk238208511"/>
            <w:r w:rsidRPr="00082665">
              <w:rPr>
                <w:rFonts w:ascii="Times New Roman" w:hAnsi="Times New Roman" w:cs="Times New Roman"/>
                <w:b/>
                <w:color w:val="20313C"/>
                <w:sz w:val="24"/>
                <w:szCs w:val="24"/>
              </w:rPr>
              <w:t>Stakeholder</w:t>
            </w:r>
          </w:p>
        </w:tc>
        <w:tc>
          <w:tcPr>
            <w:tcW w:w="1095" w:type="dxa"/>
            <w:vAlign w:val="center"/>
          </w:tcPr>
          <w:p w14:paraId="401AEBC6"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Power</w:t>
            </w:r>
          </w:p>
        </w:tc>
        <w:tc>
          <w:tcPr>
            <w:tcW w:w="1260" w:type="dxa"/>
            <w:vAlign w:val="center"/>
          </w:tcPr>
          <w:p w14:paraId="63D3D52F"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Influence</w:t>
            </w:r>
          </w:p>
        </w:tc>
        <w:tc>
          <w:tcPr>
            <w:tcW w:w="1080" w:type="dxa"/>
            <w:vAlign w:val="center"/>
          </w:tcPr>
          <w:p w14:paraId="50A64623"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Interest</w:t>
            </w:r>
          </w:p>
        </w:tc>
        <w:tc>
          <w:tcPr>
            <w:tcW w:w="3425" w:type="dxa"/>
            <w:vAlign w:val="center"/>
          </w:tcPr>
          <w:p w14:paraId="15DD934B"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Justification</w:t>
            </w:r>
          </w:p>
        </w:tc>
      </w:tr>
      <w:tr w:rsidR="005E0D53" w:rsidRPr="00082665" w14:paraId="68FDC54B" w14:textId="77777777" w:rsidTr="00E5182E">
        <w:tc>
          <w:tcPr>
            <w:tcW w:w="2500" w:type="dxa"/>
          </w:tcPr>
          <w:p w14:paraId="71CE59C7"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Newham Council project board, parks and planning</w:t>
            </w:r>
          </w:p>
        </w:tc>
        <w:tc>
          <w:tcPr>
            <w:tcW w:w="1095" w:type="dxa"/>
            <w:vAlign w:val="center"/>
          </w:tcPr>
          <w:p w14:paraId="14570EEC"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1260" w:type="dxa"/>
            <w:vAlign w:val="center"/>
          </w:tcPr>
          <w:p w14:paraId="6AE42F4D"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1080" w:type="dxa"/>
            <w:vAlign w:val="center"/>
          </w:tcPr>
          <w:p w14:paraId="4EF78652"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3425" w:type="dxa"/>
          </w:tcPr>
          <w:p w14:paraId="08E8E09E"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Land, approvals, budget and operating responsibility.</w:t>
            </w:r>
          </w:p>
        </w:tc>
      </w:tr>
      <w:tr w:rsidR="005E0D53" w:rsidRPr="00082665" w14:paraId="2B79273D" w14:textId="77777777" w:rsidTr="00E5182E">
        <w:tc>
          <w:tcPr>
            <w:tcW w:w="2500" w:type="dxa"/>
          </w:tcPr>
          <w:p w14:paraId="6A86BB6A"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GLA and capital/revenue funders</w:t>
            </w:r>
          </w:p>
        </w:tc>
        <w:tc>
          <w:tcPr>
            <w:tcW w:w="1095" w:type="dxa"/>
            <w:vAlign w:val="center"/>
          </w:tcPr>
          <w:p w14:paraId="4DD0C44C"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1260" w:type="dxa"/>
            <w:vAlign w:val="center"/>
          </w:tcPr>
          <w:p w14:paraId="5D077BF0"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1080" w:type="dxa"/>
            <w:vAlign w:val="center"/>
          </w:tcPr>
          <w:p w14:paraId="032A8859"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3425" w:type="dxa"/>
          </w:tcPr>
          <w:p w14:paraId="11BD6FD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Funding conditions, strategic policy and gateway assurance.</w:t>
            </w:r>
          </w:p>
        </w:tc>
      </w:tr>
      <w:tr w:rsidR="005E0D53" w:rsidRPr="00082665" w14:paraId="0626F09D" w14:textId="77777777" w:rsidTr="00E5182E">
        <w:tc>
          <w:tcPr>
            <w:tcW w:w="2500" w:type="dxa"/>
          </w:tcPr>
          <w:p w14:paraId="61E3113F"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 xml:space="preserve">Residents, tenants and community </w:t>
            </w:r>
            <w:proofErr w:type="spellStart"/>
            <w:r w:rsidRPr="00082665">
              <w:rPr>
                <w:rFonts w:ascii="Times New Roman" w:hAnsi="Times New Roman" w:cs="Times New Roman"/>
                <w:b/>
                <w:color w:val="20313C"/>
                <w:sz w:val="24"/>
                <w:szCs w:val="24"/>
              </w:rPr>
              <w:t>organisations</w:t>
            </w:r>
            <w:proofErr w:type="spellEnd"/>
          </w:p>
        </w:tc>
        <w:tc>
          <w:tcPr>
            <w:tcW w:w="1095" w:type="dxa"/>
            <w:vAlign w:val="center"/>
          </w:tcPr>
          <w:p w14:paraId="5F197FAB"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260" w:type="dxa"/>
            <w:vAlign w:val="center"/>
          </w:tcPr>
          <w:p w14:paraId="70439E88"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1080" w:type="dxa"/>
            <w:vAlign w:val="center"/>
          </w:tcPr>
          <w:p w14:paraId="6D25B852"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3425" w:type="dxa"/>
          </w:tcPr>
          <w:p w14:paraId="5B1D17C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Directly affected; collective voice and local legitimacy can reshape scope.</w:t>
            </w:r>
          </w:p>
        </w:tc>
      </w:tr>
      <w:tr w:rsidR="005E0D53" w:rsidRPr="00082665" w14:paraId="18923BDB" w14:textId="77777777" w:rsidTr="00E5182E">
        <w:tc>
          <w:tcPr>
            <w:tcW w:w="2500" w:type="dxa"/>
          </w:tcPr>
          <w:p w14:paraId="1EE9620C"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lastRenderedPageBreak/>
              <w:t>Residents' co-design panel</w:t>
            </w:r>
          </w:p>
        </w:tc>
        <w:tc>
          <w:tcPr>
            <w:tcW w:w="1095" w:type="dxa"/>
            <w:vAlign w:val="center"/>
          </w:tcPr>
          <w:p w14:paraId="7A6323DF"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1260" w:type="dxa"/>
            <w:vAlign w:val="center"/>
          </w:tcPr>
          <w:p w14:paraId="48642716"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1080" w:type="dxa"/>
            <w:vAlign w:val="center"/>
          </w:tcPr>
          <w:p w14:paraId="453C413F"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3425" w:type="dxa"/>
          </w:tcPr>
          <w:p w14:paraId="339FE7F4"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Delegated design rights create effective power (*</w:t>
            </w:r>
            <w:r>
              <w:rPr>
                <w:rFonts w:ascii="Times New Roman" w:hAnsi="Times New Roman" w:cs="Times New Roman"/>
                <w:color w:val="20313C"/>
                <w:sz w:val="24"/>
                <w:szCs w:val="24"/>
              </w:rPr>
              <w:t>as belonging to</w:t>
            </w:r>
            <w:r w:rsidRPr="00082665">
              <w:rPr>
                <w:rFonts w:ascii="Times New Roman" w:hAnsi="Times New Roman" w:cs="Times New Roman"/>
                <w:color w:val="20313C"/>
                <w:sz w:val="24"/>
                <w:szCs w:val="24"/>
              </w:rPr>
              <w:t xml:space="preserve"> agreed decisions).</w:t>
            </w:r>
          </w:p>
        </w:tc>
      </w:tr>
      <w:tr w:rsidR="005E0D53" w:rsidRPr="00082665" w14:paraId="76C27C4D" w14:textId="77777777" w:rsidTr="00E5182E">
        <w:tc>
          <w:tcPr>
            <w:tcW w:w="2500" w:type="dxa"/>
          </w:tcPr>
          <w:p w14:paraId="3D0F0D96"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Children, young people and schools</w:t>
            </w:r>
          </w:p>
        </w:tc>
        <w:tc>
          <w:tcPr>
            <w:tcW w:w="1095" w:type="dxa"/>
            <w:vAlign w:val="center"/>
          </w:tcPr>
          <w:p w14:paraId="058902D8"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Low</w:t>
            </w:r>
          </w:p>
        </w:tc>
        <w:tc>
          <w:tcPr>
            <w:tcW w:w="1260" w:type="dxa"/>
            <w:vAlign w:val="center"/>
          </w:tcPr>
          <w:p w14:paraId="743ED9A7"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080" w:type="dxa"/>
            <w:vAlign w:val="center"/>
          </w:tcPr>
          <w:p w14:paraId="2A30DCEC"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3425" w:type="dxa"/>
          </w:tcPr>
          <w:p w14:paraId="2F9809F3"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High use and insight, but limited formal authority.</w:t>
            </w:r>
          </w:p>
        </w:tc>
      </w:tr>
      <w:tr w:rsidR="005E0D53" w:rsidRPr="00082665" w14:paraId="25221CEA" w14:textId="77777777" w:rsidTr="00E5182E">
        <w:tc>
          <w:tcPr>
            <w:tcW w:w="2500" w:type="dxa"/>
          </w:tcPr>
          <w:p w14:paraId="1E278BB0"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 xml:space="preserve">Disabled and older </w:t>
            </w:r>
            <w:r>
              <w:rPr>
                <w:rFonts w:ascii="Times New Roman" w:hAnsi="Times New Roman" w:cs="Times New Roman"/>
                <w:b/>
                <w:color w:val="20313C"/>
                <w:sz w:val="24"/>
                <w:szCs w:val="24"/>
              </w:rPr>
              <w:t>residents/access</w:t>
            </w:r>
            <w:r w:rsidRPr="00082665">
              <w:rPr>
                <w:rFonts w:ascii="Times New Roman" w:hAnsi="Times New Roman" w:cs="Times New Roman"/>
                <w:b/>
                <w:color w:val="20313C"/>
                <w:sz w:val="24"/>
                <w:szCs w:val="24"/>
              </w:rPr>
              <w:t xml:space="preserve"> groups</w:t>
            </w:r>
          </w:p>
        </w:tc>
        <w:tc>
          <w:tcPr>
            <w:tcW w:w="1095" w:type="dxa"/>
            <w:vAlign w:val="center"/>
          </w:tcPr>
          <w:p w14:paraId="6E26A033"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260" w:type="dxa"/>
            <w:vAlign w:val="center"/>
          </w:tcPr>
          <w:p w14:paraId="5ADCA662"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080" w:type="dxa"/>
            <w:vAlign w:val="center"/>
          </w:tcPr>
          <w:p w14:paraId="5DE7E021"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3425" w:type="dxa"/>
          </w:tcPr>
          <w:p w14:paraId="238E4CB9"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Equality duties and access expertise strengthen influence.</w:t>
            </w:r>
          </w:p>
        </w:tc>
      </w:tr>
      <w:tr w:rsidR="005E0D53" w:rsidRPr="00082665" w14:paraId="3A049AFC" w14:textId="77777777" w:rsidTr="00E5182E">
        <w:tc>
          <w:tcPr>
            <w:tcW w:w="2500" w:type="dxa"/>
          </w:tcPr>
          <w:p w14:paraId="28BC1054"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NHS NEL and Newham public health</w:t>
            </w:r>
          </w:p>
        </w:tc>
        <w:tc>
          <w:tcPr>
            <w:tcW w:w="1095" w:type="dxa"/>
            <w:vAlign w:val="center"/>
          </w:tcPr>
          <w:p w14:paraId="51CB3FC1"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260" w:type="dxa"/>
            <w:vAlign w:val="center"/>
          </w:tcPr>
          <w:p w14:paraId="7D59B5C3"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080" w:type="dxa"/>
            <w:vAlign w:val="center"/>
          </w:tcPr>
          <w:p w14:paraId="759EF432"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3425" w:type="dxa"/>
          </w:tcPr>
          <w:p w14:paraId="6E0B13D4"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Health evidence, programming and potential revenue partnership.</w:t>
            </w:r>
          </w:p>
        </w:tc>
      </w:tr>
      <w:tr w:rsidR="005E0D53" w:rsidRPr="00082665" w14:paraId="6F0EF918" w14:textId="77777777" w:rsidTr="00E5182E">
        <w:tc>
          <w:tcPr>
            <w:tcW w:w="2500" w:type="dxa"/>
          </w:tcPr>
          <w:p w14:paraId="5DBA8FD5"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TfL, utilities and emergency services</w:t>
            </w:r>
          </w:p>
        </w:tc>
        <w:tc>
          <w:tcPr>
            <w:tcW w:w="1095" w:type="dxa"/>
            <w:vAlign w:val="center"/>
          </w:tcPr>
          <w:p w14:paraId="592CD9DC"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1260" w:type="dxa"/>
            <w:vAlign w:val="center"/>
          </w:tcPr>
          <w:p w14:paraId="28AEB3F3"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1080" w:type="dxa"/>
            <w:vAlign w:val="center"/>
          </w:tcPr>
          <w:p w14:paraId="513A41C0"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3425" w:type="dxa"/>
          </w:tcPr>
          <w:p w14:paraId="42F93FBC"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Can constrain entrances, works, servicing, security and emergency access.</w:t>
            </w:r>
          </w:p>
        </w:tc>
      </w:tr>
      <w:tr w:rsidR="005E0D53" w:rsidRPr="00082665" w14:paraId="7054C8B6" w14:textId="77777777" w:rsidTr="00E5182E">
        <w:tc>
          <w:tcPr>
            <w:tcW w:w="2500" w:type="dxa"/>
          </w:tcPr>
          <w:p w14:paraId="2C76F9D8"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Local businesses, housing providers and developers</w:t>
            </w:r>
          </w:p>
        </w:tc>
        <w:tc>
          <w:tcPr>
            <w:tcW w:w="1095" w:type="dxa"/>
            <w:vAlign w:val="center"/>
          </w:tcPr>
          <w:p w14:paraId="6B5B8B23"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260" w:type="dxa"/>
            <w:vAlign w:val="center"/>
          </w:tcPr>
          <w:p w14:paraId="31F5BC58"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080" w:type="dxa"/>
            <w:vAlign w:val="center"/>
          </w:tcPr>
          <w:p w14:paraId="3B4754E9"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3425" w:type="dxa"/>
          </w:tcPr>
          <w:p w14:paraId="3A91396C"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Affected by works and footfall; possible finance and stewardship partners.</w:t>
            </w:r>
          </w:p>
        </w:tc>
      </w:tr>
      <w:bookmarkEnd w:id="3"/>
      <w:tr w:rsidR="005E0D53" w:rsidRPr="00082665" w14:paraId="197D5821" w14:textId="77777777" w:rsidTr="00E5182E">
        <w:tc>
          <w:tcPr>
            <w:tcW w:w="2500" w:type="dxa"/>
          </w:tcPr>
          <w:p w14:paraId="7FA4DE35"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Environmental NGOs and friends’ groups</w:t>
            </w:r>
          </w:p>
        </w:tc>
        <w:tc>
          <w:tcPr>
            <w:tcW w:w="1095" w:type="dxa"/>
            <w:vAlign w:val="center"/>
          </w:tcPr>
          <w:p w14:paraId="72ED8D43"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Low</w:t>
            </w:r>
          </w:p>
        </w:tc>
        <w:tc>
          <w:tcPr>
            <w:tcW w:w="1260" w:type="dxa"/>
            <w:vAlign w:val="center"/>
          </w:tcPr>
          <w:p w14:paraId="1E5146D7"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080" w:type="dxa"/>
            <w:vAlign w:val="center"/>
          </w:tcPr>
          <w:p w14:paraId="2F17778E"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High</w:t>
            </w:r>
          </w:p>
        </w:tc>
        <w:tc>
          <w:tcPr>
            <w:tcW w:w="3425" w:type="dxa"/>
          </w:tcPr>
          <w:p w14:paraId="32524712"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Ecology knowledge, public advocacy and volunteer capacity.</w:t>
            </w:r>
          </w:p>
        </w:tc>
      </w:tr>
      <w:tr w:rsidR="005E0D53" w:rsidRPr="00082665" w14:paraId="0395F236" w14:textId="77777777" w:rsidTr="00E5182E">
        <w:tc>
          <w:tcPr>
            <w:tcW w:w="2500" w:type="dxa"/>
          </w:tcPr>
          <w:p w14:paraId="78AAB49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Wider London visitors and media</w:t>
            </w:r>
          </w:p>
        </w:tc>
        <w:tc>
          <w:tcPr>
            <w:tcW w:w="1095" w:type="dxa"/>
            <w:vAlign w:val="center"/>
          </w:tcPr>
          <w:p w14:paraId="47DFE7F1"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Low</w:t>
            </w:r>
          </w:p>
        </w:tc>
        <w:tc>
          <w:tcPr>
            <w:tcW w:w="1260" w:type="dxa"/>
            <w:vAlign w:val="center"/>
          </w:tcPr>
          <w:p w14:paraId="73D1DA98"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Medium</w:t>
            </w:r>
          </w:p>
        </w:tc>
        <w:tc>
          <w:tcPr>
            <w:tcW w:w="1080" w:type="dxa"/>
            <w:vAlign w:val="center"/>
          </w:tcPr>
          <w:p w14:paraId="54BBF573"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color w:val="20313C"/>
                <w:sz w:val="24"/>
                <w:szCs w:val="24"/>
              </w:rPr>
              <w:t>Low</w:t>
            </w:r>
          </w:p>
        </w:tc>
        <w:tc>
          <w:tcPr>
            <w:tcW w:w="3425" w:type="dxa"/>
          </w:tcPr>
          <w:p w14:paraId="49C41CE9"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Limited early stake, but reputational influence may rise after controversy/opening.</w:t>
            </w:r>
          </w:p>
        </w:tc>
      </w:tr>
    </w:tbl>
    <w:p w14:paraId="2A79B3BF" w14:textId="77777777" w:rsidR="005E0D53" w:rsidRDefault="005E0D53" w:rsidP="005E0D53">
      <w:pPr>
        <w:spacing w:before="80" w:after="80" w:line="360" w:lineRule="auto"/>
        <w:jc w:val="center"/>
        <w:rPr>
          <w:rFonts w:ascii="Times New Roman" w:eastAsia="MS Mincho" w:hAnsi="Times New Roman" w:cs="Times New Roman"/>
          <w:b/>
          <w:bCs/>
          <w:i/>
          <w:sz w:val="24"/>
          <w:szCs w:val="24"/>
        </w:rPr>
      </w:pPr>
      <w:r w:rsidRPr="00082665">
        <w:rPr>
          <w:rFonts w:ascii="Times New Roman" w:eastAsia="MS Mincho" w:hAnsi="Times New Roman" w:cs="Times New Roman"/>
          <w:b/>
          <w:bCs/>
          <w:i/>
          <w:sz w:val="24"/>
          <w:szCs w:val="24"/>
        </w:rPr>
        <w:t>Source: Author's assessment using Bryson (2004) and Mitchell, Agle and Wood (1997). Ratings are provisional and should be reviewed at project gateways.</w:t>
      </w:r>
    </w:p>
    <w:p w14:paraId="19F16DB9" w14:textId="77777777" w:rsidR="005E0D53" w:rsidRPr="00082665" w:rsidRDefault="005E0D53" w:rsidP="005E0D53">
      <w:pPr>
        <w:spacing w:before="80" w:after="80" w:line="360" w:lineRule="auto"/>
        <w:jc w:val="center"/>
        <w:rPr>
          <w:rFonts w:ascii="Times New Roman" w:eastAsia="MS Mincho" w:hAnsi="Times New Roman" w:cs="Times New Roman"/>
          <w:b/>
          <w:bCs/>
          <w:i/>
          <w:sz w:val="24"/>
          <w:szCs w:val="24"/>
        </w:rPr>
      </w:pPr>
    </w:p>
    <w:p w14:paraId="5E0B02AF" w14:textId="77777777" w:rsidR="005E0D53" w:rsidRPr="00B1790B" w:rsidRDefault="005E0D53" w:rsidP="005E0D53">
      <w:pPr>
        <w:spacing w:line="360" w:lineRule="auto"/>
        <w:jc w:val="both"/>
        <w:rPr>
          <w:rFonts w:ascii="Times New Roman" w:hAnsi="Times New Roman" w:cs="Times New Roman"/>
          <w:sz w:val="24"/>
          <w:szCs w:val="24"/>
        </w:rPr>
      </w:pPr>
      <w:r w:rsidRPr="00082665">
        <w:rPr>
          <w:rFonts w:ascii="Times New Roman" w:eastAsia="MS Mincho" w:hAnsi="Times New Roman" w:cs="Times New Roman"/>
          <w:noProof/>
          <w:color w:val="20313C"/>
          <w:sz w:val="24"/>
          <w:szCs w:val="24"/>
        </w:rPr>
        <w:lastRenderedPageBreak/>
        <w:drawing>
          <wp:inline distT="0" distB="0" distL="0" distR="0" wp14:anchorId="350F16F6" wp14:editId="1EF0A313">
            <wp:extent cx="5668010" cy="3905250"/>
            <wp:effectExtent l="0" t="0" r="8890" b="0"/>
            <wp:docPr id="3" name="Picture 3" descr="Power-interest quadrant map. Newham Council, funders and a residents' panel are managed closely; TfL and utilities are kept satisfied; residents and target user groups are involved and kept informed; wider visitors and media are monitored." title="Figure 3. GreenLink stakeholder power-interest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keholder_map.png"/>
                    <pic:cNvPicPr/>
                  </pic:nvPicPr>
                  <pic:blipFill rotWithShape="1">
                    <a:blip r:embed="rId6"/>
                    <a:srcRect t="4136"/>
                    <a:stretch/>
                  </pic:blipFill>
                  <pic:spPr bwMode="auto">
                    <a:xfrm>
                      <a:off x="0" y="0"/>
                      <a:ext cx="5680493" cy="3913851"/>
                    </a:xfrm>
                    <a:prstGeom prst="rect">
                      <a:avLst/>
                    </a:prstGeom>
                    <a:ln>
                      <a:noFill/>
                    </a:ln>
                    <a:extLst>
                      <a:ext uri="{53640926-AAD7-44D8-BBD7-CCE9431645EC}">
                        <a14:shadowObscured xmlns:a14="http://schemas.microsoft.com/office/drawing/2010/main"/>
                      </a:ext>
                    </a:extLst>
                  </pic:spPr>
                </pic:pic>
              </a:graphicData>
            </a:graphic>
          </wp:inline>
        </w:drawing>
      </w:r>
    </w:p>
    <w:p w14:paraId="6772E16B" w14:textId="77777777" w:rsidR="005E0D53" w:rsidRPr="00004810" w:rsidRDefault="005E0D53" w:rsidP="005E0D53">
      <w:pPr>
        <w:spacing w:line="240" w:lineRule="auto"/>
        <w:jc w:val="center"/>
        <w:rPr>
          <w:rFonts w:ascii="Times New Roman" w:hAnsi="Times New Roman" w:cs="Times New Roman"/>
          <w:b/>
          <w:bCs/>
          <w:i/>
          <w:iCs/>
          <w:color w:val="000000" w:themeColor="text1"/>
          <w:sz w:val="24"/>
          <w:szCs w:val="24"/>
        </w:rPr>
      </w:pPr>
      <w:r w:rsidRPr="00004810">
        <w:rPr>
          <w:rFonts w:ascii="Times New Roman" w:hAnsi="Times New Roman" w:cs="Times New Roman"/>
          <w:b/>
          <w:bCs/>
          <w:i/>
          <w:iCs/>
          <w:color w:val="000000" w:themeColor="text1"/>
          <w:sz w:val="24"/>
          <w:szCs w:val="24"/>
        </w:rPr>
        <w:t xml:space="preserve">Figure 3. </w:t>
      </w:r>
      <w:proofErr w:type="spellStart"/>
      <w:r w:rsidRPr="00004810">
        <w:rPr>
          <w:rFonts w:ascii="Times New Roman" w:hAnsi="Times New Roman" w:cs="Times New Roman"/>
          <w:b/>
          <w:bCs/>
          <w:i/>
          <w:iCs/>
          <w:color w:val="000000" w:themeColor="text1"/>
          <w:sz w:val="24"/>
          <w:szCs w:val="24"/>
        </w:rPr>
        <w:t>GreenLink</w:t>
      </w:r>
      <w:proofErr w:type="spellEnd"/>
      <w:r w:rsidRPr="00004810">
        <w:rPr>
          <w:rFonts w:ascii="Times New Roman" w:hAnsi="Times New Roman" w:cs="Times New Roman"/>
          <w:b/>
          <w:bCs/>
          <w:i/>
          <w:iCs/>
          <w:color w:val="000000" w:themeColor="text1"/>
          <w:sz w:val="24"/>
          <w:szCs w:val="24"/>
        </w:rPr>
        <w:t xml:space="preserve"> stakeholder power-interest map</w:t>
      </w:r>
    </w:p>
    <w:p w14:paraId="3D3EAAA6" w14:textId="77777777" w:rsidR="005E0D53" w:rsidRPr="00004810" w:rsidRDefault="005E0D53" w:rsidP="005E0D53">
      <w:pPr>
        <w:spacing w:line="240" w:lineRule="auto"/>
        <w:jc w:val="center"/>
        <w:rPr>
          <w:rFonts w:ascii="Times New Roman" w:hAnsi="Times New Roman" w:cs="Times New Roman"/>
          <w:b/>
          <w:bCs/>
          <w:i/>
          <w:iCs/>
          <w:color w:val="000000" w:themeColor="text1"/>
          <w:sz w:val="24"/>
          <w:szCs w:val="24"/>
        </w:rPr>
      </w:pPr>
      <w:r w:rsidRPr="00004810">
        <w:rPr>
          <w:rFonts w:ascii="Times New Roman" w:hAnsi="Times New Roman" w:cs="Times New Roman"/>
          <w:b/>
          <w:bCs/>
          <w:i/>
          <w:iCs/>
          <w:color w:val="000000" w:themeColor="text1"/>
          <w:sz w:val="24"/>
          <w:szCs w:val="24"/>
        </w:rPr>
        <w:t xml:space="preserve">Source: Author's analysis, adapted from Bryson (2004). </w:t>
      </w:r>
    </w:p>
    <w:p w14:paraId="282587E9" w14:textId="77777777" w:rsidR="005E0D53" w:rsidRDefault="005E0D53" w:rsidP="005E0D53">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42DBB4CF" w14:textId="77777777" w:rsidR="005E0D53" w:rsidRPr="00B1790B" w:rsidRDefault="005E0D53" w:rsidP="005E0D53">
      <w:pPr>
        <w:pStyle w:val="Heading2"/>
        <w:spacing w:after="240"/>
        <w:rPr>
          <w:rFonts w:ascii="Times New Roman" w:hAnsi="Times New Roman" w:cs="Times New Roman"/>
          <w:b/>
          <w:bCs/>
          <w:color w:val="000000" w:themeColor="text1"/>
          <w:sz w:val="28"/>
          <w:szCs w:val="28"/>
        </w:rPr>
      </w:pPr>
      <w:bookmarkStart w:id="4" w:name="_Toc238209073"/>
      <w:r w:rsidRPr="00B1790B">
        <w:rPr>
          <w:rFonts w:ascii="Times New Roman" w:hAnsi="Times New Roman" w:cs="Times New Roman"/>
          <w:b/>
          <w:bCs/>
          <w:color w:val="000000" w:themeColor="text1"/>
          <w:sz w:val="28"/>
          <w:szCs w:val="28"/>
        </w:rPr>
        <w:lastRenderedPageBreak/>
        <w:t>2.2 Communication plan</w:t>
      </w:r>
      <w:bookmarkEnd w:id="4"/>
    </w:p>
    <w:p w14:paraId="01B447C3" w14:textId="4764CDCB" w:rsidR="005E0D53" w:rsidRPr="00B1790B" w:rsidRDefault="005E0D53" w:rsidP="005E0D53">
      <w:pPr>
        <w:spacing w:after="240"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Communications will be segmented according to stakeholder information needs, rather than distributing a uniform pack to all parties. A brief table </w:t>
      </w:r>
      <w:r w:rsidR="00422B72" w:rsidRPr="00B1790B">
        <w:rPr>
          <w:rFonts w:ascii="Times New Roman" w:hAnsi="Times New Roman" w:cs="Times New Roman"/>
          <w:sz w:val="24"/>
          <w:szCs w:val="24"/>
        </w:rPr>
        <w:t>summarizing</w:t>
      </w:r>
      <w:r w:rsidRPr="00B1790B">
        <w:rPr>
          <w:rFonts w:ascii="Times New Roman" w:hAnsi="Times New Roman" w:cs="Times New Roman"/>
          <w:sz w:val="24"/>
          <w:szCs w:val="24"/>
        </w:rPr>
        <w:t xml:space="preserve"> the communication plans to the stakeholders is given below;</w:t>
      </w:r>
    </w:p>
    <w:p w14:paraId="7C31C027" w14:textId="77777777" w:rsidR="005E0D53" w:rsidRPr="00B1790B" w:rsidRDefault="005E0D53" w:rsidP="005E0D53">
      <w:pPr>
        <w:spacing w:line="360" w:lineRule="auto"/>
        <w:jc w:val="both"/>
        <w:rPr>
          <w:rFonts w:ascii="Times New Roman" w:hAnsi="Times New Roman" w:cs="Times New Roman"/>
          <w:i/>
          <w:iCs/>
          <w:sz w:val="24"/>
          <w:szCs w:val="24"/>
        </w:rPr>
      </w:pPr>
      <w:r w:rsidRPr="00B1790B">
        <w:rPr>
          <w:rFonts w:ascii="Times New Roman" w:hAnsi="Times New Roman" w:cs="Times New Roman"/>
          <w:i/>
          <w:iCs/>
          <w:sz w:val="24"/>
          <w:szCs w:val="24"/>
        </w:rPr>
        <w:t>Table 4. Basic communication plan</w:t>
      </w:r>
    </w:p>
    <w:tbl>
      <w:tblPr>
        <w:tblStyle w:val="TableGrid"/>
        <w:tblW w:w="9360" w:type="dxa"/>
        <w:tblLayout w:type="fixed"/>
        <w:tblLook w:val="04A0" w:firstRow="1" w:lastRow="0" w:firstColumn="1" w:lastColumn="0" w:noHBand="0" w:noVBand="1"/>
      </w:tblPr>
      <w:tblGrid>
        <w:gridCol w:w="1700"/>
        <w:gridCol w:w="2350"/>
        <w:gridCol w:w="1450"/>
        <w:gridCol w:w="2100"/>
        <w:gridCol w:w="1760"/>
      </w:tblGrid>
      <w:tr w:rsidR="005E0D53" w:rsidRPr="00082665" w14:paraId="2FC86F09" w14:textId="77777777" w:rsidTr="00E5182E">
        <w:trPr>
          <w:trHeight w:val="548"/>
        </w:trPr>
        <w:tc>
          <w:tcPr>
            <w:tcW w:w="1700" w:type="dxa"/>
            <w:vAlign w:val="center"/>
          </w:tcPr>
          <w:p w14:paraId="1BA5A0D8"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Audience</w:t>
            </w:r>
          </w:p>
        </w:tc>
        <w:tc>
          <w:tcPr>
            <w:tcW w:w="2350" w:type="dxa"/>
            <w:vAlign w:val="center"/>
          </w:tcPr>
          <w:p w14:paraId="3C182EA6"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Information to share</w:t>
            </w:r>
          </w:p>
        </w:tc>
        <w:tc>
          <w:tcPr>
            <w:tcW w:w="1450" w:type="dxa"/>
            <w:vAlign w:val="center"/>
          </w:tcPr>
          <w:p w14:paraId="06C26848"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When</w:t>
            </w:r>
          </w:p>
        </w:tc>
        <w:tc>
          <w:tcPr>
            <w:tcW w:w="2100" w:type="dxa"/>
            <w:vAlign w:val="center"/>
          </w:tcPr>
          <w:p w14:paraId="6B273AB1"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Medium</w:t>
            </w:r>
          </w:p>
        </w:tc>
        <w:tc>
          <w:tcPr>
            <w:tcW w:w="1760" w:type="dxa"/>
            <w:vAlign w:val="center"/>
          </w:tcPr>
          <w:p w14:paraId="5B037C67"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Purpose</w:t>
            </w:r>
          </w:p>
        </w:tc>
      </w:tr>
      <w:tr w:rsidR="005E0D53" w:rsidRPr="00082665" w14:paraId="62D530D3" w14:textId="77777777" w:rsidTr="00E5182E">
        <w:tc>
          <w:tcPr>
            <w:tcW w:w="1700" w:type="dxa"/>
          </w:tcPr>
          <w:p w14:paraId="37586A29"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 xml:space="preserve">Newham </w:t>
            </w:r>
            <w:r>
              <w:rPr>
                <w:rFonts w:ascii="Times New Roman" w:hAnsi="Times New Roman" w:cs="Times New Roman"/>
                <w:b/>
                <w:color w:val="20313C"/>
                <w:sz w:val="24"/>
                <w:szCs w:val="24"/>
              </w:rPr>
              <w:t>sponsor/project</w:t>
            </w:r>
            <w:r w:rsidRPr="00082665">
              <w:rPr>
                <w:rFonts w:ascii="Times New Roman" w:hAnsi="Times New Roman" w:cs="Times New Roman"/>
                <w:b/>
                <w:color w:val="20313C"/>
                <w:sz w:val="24"/>
                <w:szCs w:val="24"/>
              </w:rPr>
              <w:t xml:space="preserve"> board</w:t>
            </w:r>
          </w:p>
        </w:tc>
        <w:tc>
          <w:tcPr>
            <w:tcW w:w="2350" w:type="dxa"/>
          </w:tcPr>
          <w:p w14:paraId="55ED8215"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 xml:space="preserve">Cost, scope, risk, equality, </w:t>
            </w:r>
            <w:proofErr w:type="spellStart"/>
            <w:r w:rsidRPr="00082665">
              <w:rPr>
                <w:rFonts w:ascii="Times New Roman" w:hAnsi="Times New Roman" w:cs="Times New Roman"/>
                <w:color w:val="20313C"/>
                <w:sz w:val="24"/>
                <w:szCs w:val="24"/>
              </w:rPr>
              <w:t>programme</w:t>
            </w:r>
            <w:proofErr w:type="spellEnd"/>
            <w:r w:rsidRPr="00082665">
              <w:rPr>
                <w:rFonts w:ascii="Times New Roman" w:hAnsi="Times New Roman" w:cs="Times New Roman"/>
                <w:color w:val="20313C"/>
                <w:sz w:val="24"/>
                <w:szCs w:val="24"/>
              </w:rPr>
              <w:t>, decisions</w:t>
            </w:r>
          </w:p>
        </w:tc>
        <w:tc>
          <w:tcPr>
            <w:tcW w:w="1450" w:type="dxa"/>
          </w:tcPr>
          <w:p w14:paraId="13A43BA5"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Weekly dashboard; monthly board; every gateway</w:t>
            </w:r>
          </w:p>
        </w:tc>
        <w:tc>
          <w:tcPr>
            <w:tcW w:w="2100" w:type="dxa"/>
          </w:tcPr>
          <w:p w14:paraId="1E90DE84"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Email dashboard, Teams/meeting, formal decision paper</w:t>
            </w:r>
          </w:p>
        </w:tc>
        <w:tc>
          <w:tcPr>
            <w:tcW w:w="1760" w:type="dxa"/>
          </w:tcPr>
          <w:p w14:paraId="36B542EC"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Approve, unblock and maintain accountability</w:t>
            </w:r>
          </w:p>
        </w:tc>
      </w:tr>
      <w:tr w:rsidR="005E0D53" w:rsidRPr="00082665" w14:paraId="217EADEE" w14:textId="77777777" w:rsidTr="00E5182E">
        <w:tc>
          <w:tcPr>
            <w:tcW w:w="1700" w:type="dxa"/>
          </w:tcPr>
          <w:p w14:paraId="27BEE75F"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Residents and community groups</w:t>
            </w:r>
          </w:p>
        </w:tc>
        <w:tc>
          <w:tcPr>
            <w:tcW w:w="2350" w:type="dxa"/>
          </w:tcPr>
          <w:p w14:paraId="61BEDD62"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What is fixed/open; options; access; disruption; feedback response</w:t>
            </w:r>
          </w:p>
        </w:tc>
        <w:tc>
          <w:tcPr>
            <w:tcW w:w="1450" w:type="dxa"/>
          </w:tcPr>
          <w:p w14:paraId="723FE971"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Launch; each design stage; fortnightly in construction</w:t>
            </w:r>
          </w:p>
        </w:tc>
        <w:tc>
          <w:tcPr>
            <w:tcW w:w="2100" w:type="dxa"/>
          </w:tcPr>
          <w:p w14:paraId="18EB8306"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Letters, email/SMS, telephone line, website, posters, local newspaper, pop-ups</w:t>
            </w:r>
          </w:p>
        </w:tc>
        <w:tc>
          <w:tcPr>
            <w:tcW w:w="1760" w:type="dxa"/>
          </w:tcPr>
          <w:p w14:paraId="1E0E311B"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Inform, consult, co-design and close the loop</w:t>
            </w:r>
          </w:p>
        </w:tc>
      </w:tr>
      <w:tr w:rsidR="005E0D53" w:rsidRPr="00082665" w14:paraId="307C10BA" w14:textId="77777777" w:rsidTr="00E5182E">
        <w:tc>
          <w:tcPr>
            <w:tcW w:w="1700" w:type="dxa"/>
          </w:tcPr>
          <w:p w14:paraId="13E34421"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Youth and schools</w:t>
            </w:r>
          </w:p>
        </w:tc>
        <w:tc>
          <w:tcPr>
            <w:tcW w:w="2350" w:type="dxa"/>
          </w:tcPr>
          <w:p w14:paraId="10B9501A"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 xml:space="preserve">Play/activity options, safety, </w:t>
            </w:r>
            <w:proofErr w:type="spellStart"/>
            <w:r w:rsidRPr="00082665">
              <w:rPr>
                <w:rFonts w:ascii="Times New Roman" w:hAnsi="Times New Roman" w:cs="Times New Roman"/>
                <w:color w:val="20313C"/>
                <w:sz w:val="24"/>
                <w:szCs w:val="24"/>
              </w:rPr>
              <w:t>programme</w:t>
            </w:r>
            <w:proofErr w:type="spellEnd"/>
            <w:r w:rsidRPr="00082665">
              <w:rPr>
                <w:rFonts w:ascii="Times New Roman" w:hAnsi="Times New Roman" w:cs="Times New Roman"/>
                <w:color w:val="20313C"/>
                <w:sz w:val="24"/>
                <w:szCs w:val="24"/>
              </w:rPr>
              <w:t xml:space="preserve"> and outcomes</w:t>
            </w:r>
          </w:p>
        </w:tc>
        <w:tc>
          <w:tcPr>
            <w:tcW w:w="1450" w:type="dxa"/>
          </w:tcPr>
          <w:p w14:paraId="3042AC12"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During term; option testing; pre-opening</w:t>
            </w:r>
          </w:p>
        </w:tc>
        <w:tc>
          <w:tcPr>
            <w:tcW w:w="2100" w:type="dxa"/>
          </w:tcPr>
          <w:p w14:paraId="08CFF1FA"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School email, visual workshops, youth council, paper voting</w:t>
            </w:r>
          </w:p>
        </w:tc>
        <w:tc>
          <w:tcPr>
            <w:tcW w:w="1760" w:type="dxa"/>
          </w:tcPr>
          <w:p w14:paraId="2C82C994"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Capture age-specific needs in a safe format</w:t>
            </w:r>
          </w:p>
        </w:tc>
      </w:tr>
      <w:tr w:rsidR="005E0D53" w:rsidRPr="00082665" w14:paraId="342A7BF4" w14:textId="77777777" w:rsidTr="00E5182E">
        <w:tc>
          <w:tcPr>
            <w:tcW w:w="1700" w:type="dxa"/>
          </w:tcPr>
          <w:p w14:paraId="229A80DF"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Disabled/older residents and access groups</w:t>
            </w:r>
          </w:p>
        </w:tc>
        <w:tc>
          <w:tcPr>
            <w:tcW w:w="2350" w:type="dxa"/>
          </w:tcPr>
          <w:p w14:paraId="1C4EA190"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Routes, gradients, seating, toilets, sensory load, evacuation</w:t>
            </w:r>
          </w:p>
        </w:tc>
        <w:tc>
          <w:tcPr>
            <w:tcW w:w="1450" w:type="dxa"/>
          </w:tcPr>
          <w:p w14:paraId="0F98CDC8"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Before concept freeze; detailed design; pre-opening audit</w:t>
            </w:r>
          </w:p>
        </w:tc>
        <w:tc>
          <w:tcPr>
            <w:tcW w:w="2100" w:type="dxa"/>
          </w:tcPr>
          <w:p w14:paraId="741B3B88"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Telephone, letters, Easy Read/large print/audio, access walks</w:t>
            </w:r>
          </w:p>
        </w:tc>
        <w:tc>
          <w:tcPr>
            <w:tcW w:w="1760" w:type="dxa"/>
          </w:tcPr>
          <w:p w14:paraId="53C7D45B"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Build accessibility in before changes become costly</w:t>
            </w:r>
          </w:p>
        </w:tc>
      </w:tr>
      <w:tr w:rsidR="005E0D53" w:rsidRPr="00082665" w14:paraId="50D8F483" w14:textId="77777777" w:rsidTr="00E5182E">
        <w:tc>
          <w:tcPr>
            <w:tcW w:w="1700" w:type="dxa"/>
          </w:tcPr>
          <w:p w14:paraId="5CE211C3"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lastRenderedPageBreak/>
              <w:t>GLA/funders/planning and regulators</w:t>
            </w:r>
          </w:p>
        </w:tc>
        <w:tc>
          <w:tcPr>
            <w:tcW w:w="2350" w:type="dxa"/>
          </w:tcPr>
          <w:p w14:paraId="67D042A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Business case, compliance, biodiversity, benefits, assurance</w:t>
            </w:r>
          </w:p>
        </w:tc>
        <w:tc>
          <w:tcPr>
            <w:tcW w:w="1450" w:type="dxa"/>
          </w:tcPr>
          <w:p w14:paraId="3B9AC2B6"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Monthly and at gateways/statutory stages</w:t>
            </w:r>
          </w:p>
        </w:tc>
        <w:tc>
          <w:tcPr>
            <w:tcW w:w="2100" w:type="dxa"/>
          </w:tcPr>
          <w:p w14:paraId="3B2C8E1E"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Formal email/letters, technical reports, meetings</w:t>
            </w:r>
          </w:p>
        </w:tc>
        <w:tc>
          <w:tcPr>
            <w:tcW w:w="1760" w:type="dxa"/>
          </w:tcPr>
          <w:p w14:paraId="3754F21C"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Secure approvals and auditable assurance</w:t>
            </w:r>
          </w:p>
        </w:tc>
      </w:tr>
      <w:tr w:rsidR="005E0D53" w:rsidRPr="00082665" w14:paraId="6ED57B99" w14:textId="77777777" w:rsidTr="00E5182E">
        <w:tc>
          <w:tcPr>
            <w:tcW w:w="1700" w:type="dxa"/>
          </w:tcPr>
          <w:p w14:paraId="2E29255A"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TfL, utilities, emergency services</w:t>
            </w:r>
          </w:p>
        </w:tc>
        <w:tc>
          <w:tcPr>
            <w:tcW w:w="2350" w:type="dxa"/>
          </w:tcPr>
          <w:p w14:paraId="7B8AA66A"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Entrances, works, traffic, utilities, lighting, emergency access</w:t>
            </w:r>
          </w:p>
        </w:tc>
        <w:tc>
          <w:tcPr>
            <w:tcW w:w="1450" w:type="dxa"/>
          </w:tcPr>
          <w:p w14:paraId="111F1D9B"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Concept; detailed design; six weeks before works; urgent notices</w:t>
            </w:r>
          </w:p>
        </w:tc>
        <w:tc>
          <w:tcPr>
            <w:tcW w:w="2100" w:type="dxa"/>
          </w:tcPr>
          <w:p w14:paraId="71BF88C4"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Technical workshops, email drawings, telephone escalation, formal notices</w:t>
            </w:r>
          </w:p>
        </w:tc>
        <w:tc>
          <w:tcPr>
            <w:tcW w:w="1760" w:type="dxa"/>
          </w:tcPr>
          <w:p w14:paraId="5BEEAFA7"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Prevent interface delay and protect safety</w:t>
            </w:r>
          </w:p>
        </w:tc>
      </w:tr>
      <w:tr w:rsidR="005E0D53" w:rsidRPr="00082665" w14:paraId="01148F3C" w14:textId="77777777" w:rsidTr="00E5182E">
        <w:tc>
          <w:tcPr>
            <w:tcW w:w="1700" w:type="dxa"/>
          </w:tcPr>
          <w:p w14:paraId="0EF385EF"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NHS/public health</w:t>
            </w:r>
          </w:p>
        </w:tc>
        <w:tc>
          <w:tcPr>
            <w:tcW w:w="2350" w:type="dxa"/>
          </w:tcPr>
          <w:p w14:paraId="2F65E449"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Health need, programming, evaluation and social prescribing</w:t>
            </w:r>
          </w:p>
        </w:tc>
        <w:tc>
          <w:tcPr>
            <w:tcW w:w="1450" w:type="dxa"/>
          </w:tcPr>
          <w:p w14:paraId="72F3A2C7"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Discovery; quarterly; 3/6/12 months after opening</w:t>
            </w:r>
          </w:p>
        </w:tc>
        <w:tc>
          <w:tcPr>
            <w:tcW w:w="2100" w:type="dxa"/>
          </w:tcPr>
          <w:p w14:paraId="07B89978"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Data pack, email, working group, interviews</w:t>
            </w:r>
          </w:p>
        </w:tc>
        <w:tc>
          <w:tcPr>
            <w:tcW w:w="1760" w:type="dxa"/>
          </w:tcPr>
          <w:p w14:paraId="4FE436BB"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Align design and revenue activity with prevention</w:t>
            </w:r>
          </w:p>
        </w:tc>
      </w:tr>
      <w:tr w:rsidR="005E0D53" w:rsidRPr="00082665" w14:paraId="042A60B8" w14:textId="77777777" w:rsidTr="00E5182E">
        <w:tc>
          <w:tcPr>
            <w:tcW w:w="1700" w:type="dxa"/>
          </w:tcPr>
          <w:p w14:paraId="0CC7A879"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Businesses, developers and housing providers</w:t>
            </w:r>
          </w:p>
        </w:tc>
        <w:tc>
          <w:tcPr>
            <w:tcW w:w="2350" w:type="dxa"/>
          </w:tcPr>
          <w:p w14:paraId="6296DBDC"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Access, noise, procurement, events, finance/stewardship</w:t>
            </w:r>
          </w:p>
        </w:tc>
        <w:tc>
          <w:tcPr>
            <w:tcW w:w="1450" w:type="dxa"/>
          </w:tcPr>
          <w:p w14:paraId="507D6B36"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Baseline; before works; monthly during disruption</w:t>
            </w:r>
          </w:p>
        </w:tc>
        <w:tc>
          <w:tcPr>
            <w:tcW w:w="2100" w:type="dxa"/>
          </w:tcPr>
          <w:p w14:paraId="7686E881"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Letters, email, telephone, roundtable, site notice</w:t>
            </w:r>
          </w:p>
        </w:tc>
        <w:tc>
          <w:tcPr>
            <w:tcW w:w="1760" w:type="dxa"/>
          </w:tcPr>
          <w:p w14:paraId="3092A0AA"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Reduce disruption and develop local partnerships</w:t>
            </w:r>
          </w:p>
        </w:tc>
      </w:tr>
      <w:tr w:rsidR="005E0D53" w:rsidRPr="00082665" w14:paraId="63F47B43" w14:textId="77777777" w:rsidTr="00E5182E">
        <w:tc>
          <w:tcPr>
            <w:tcW w:w="1700" w:type="dxa"/>
          </w:tcPr>
          <w:p w14:paraId="68CD26D8"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Environmental/stewardship groups</w:t>
            </w:r>
          </w:p>
        </w:tc>
        <w:tc>
          <w:tcPr>
            <w:tcW w:w="2350" w:type="dxa"/>
          </w:tcPr>
          <w:p w14:paraId="2158088F"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Habitats, trees, drainage, lighting and maintenance</w:t>
            </w:r>
          </w:p>
        </w:tc>
        <w:tc>
          <w:tcPr>
            <w:tcW w:w="1450" w:type="dxa"/>
          </w:tcPr>
          <w:p w14:paraId="494D127E"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Baseline surveys; option review; seasonal monitoring</w:t>
            </w:r>
          </w:p>
        </w:tc>
        <w:tc>
          <w:tcPr>
            <w:tcW w:w="2100" w:type="dxa"/>
          </w:tcPr>
          <w:p w14:paraId="2CCB3C9F"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Site walks, workshops, email evidence pack</w:t>
            </w:r>
          </w:p>
        </w:tc>
        <w:tc>
          <w:tcPr>
            <w:tcW w:w="1760" w:type="dxa"/>
          </w:tcPr>
          <w:p w14:paraId="0BE1793B"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Protect biodiversity and build stewardship</w:t>
            </w:r>
          </w:p>
        </w:tc>
      </w:tr>
    </w:tbl>
    <w:p w14:paraId="3529A756" w14:textId="77777777" w:rsidR="005E0D53" w:rsidRPr="00B1790B" w:rsidRDefault="005E0D53" w:rsidP="005E0D53">
      <w:pPr>
        <w:spacing w:line="360" w:lineRule="auto"/>
        <w:jc w:val="center"/>
        <w:rPr>
          <w:rFonts w:ascii="Times New Roman" w:hAnsi="Times New Roman" w:cs="Times New Roman"/>
          <w:b/>
          <w:bCs/>
          <w:i/>
          <w:iCs/>
          <w:color w:val="000000" w:themeColor="text1"/>
          <w:sz w:val="24"/>
          <w:szCs w:val="24"/>
        </w:rPr>
      </w:pPr>
      <w:r w:rsidRPr="00B1790B">
        <w:rPr>
          <w:rFonts w:ascii="Times New Roman" w:hAnsi="Times New Roman" w:cs="Times New Roman"/>
          <w:b/>
          <w:bCs/>
          <w:i/>
          <w:iCs/>
          <w:color w:val="000000" w:themeColor="text1"/>
          <w:sz w:val="24"/>
          <w:szCs w:val="24"/>
        </w:rPr>
        <w:t xml:space="preserve">Source: Author's plan, informed by Rowe and </w:t>
      </w:r>
      <w:proofErr w:type="spellStart"/>
      <w:r w:rsidRPr="00B1790B">
        <w:rPr>
          <w:rFonts w:ascii="Times New Roman" w:hAnsi="Times New Roman" w:cs="Times New Roman"/>
          <w:b/>
          <w:bCs/>
          <w:i/>
          <w:iCs/>
          <w:color w:val="000000" w:themeColor="text1"/>
          <w:sz w:val="24"/>
          <w:szCs w:val="24"/>
        </w:rPr>
        <w:t>Frewer</w:t>
      </w:r>
      <w:proofErr w:type="spellEnd"/>
      <w:r w:rsidRPr="00B1790B">
        <w:rPr>
          <w:rFonts w:ascii="Times New Roman" w:hAnsi="Times New Roman" w:cs="Times New Roman"/>
          <w:b/>
          <w:bCs/>
          <w:i/>
          <w:iCs/>
          <w:color w:val="000000" w:themeColor="text1"/>
          <w:sz w:val="24"/>
          <w:szCs w:val="24"/>
        </w:rPr>
        <w:t xml:space="preserve"> (2000; 2005), Cabinet Office (2018) and TfL (2025).</w:t>
      </w:r>
    </w:p>
    <w:p w14:paraId="1A055A99" w14:textId="77777777" w:rsidR="005E0D53" w:rsidRPr="00B1790B" w:rsidRDefault="005E0D53" w:rsidP="005E0D53">
      <w:pPr>
        <w:pStyle w:val="Heading2"/>
        <w:spacing w:after="240"/>
        <w:rPr>
          <w:rFonts w:ascii="Times New Roman" w:hAnsi="Times New Roman" w:cs="Times New Roman"/>
          <w:b/>
          <w:bCs/>
          <w:color w:val="000000" w:themeColor="text1"/>
          <w:sz w:val="28"/>
          <w:szCs w:val="28"/>
        </w:rPr>
      </w:pPr>
      <w:bookmarkStart w:id="5" w:name="_Toc238209074"/>
      <w:r w:rsidRPr="00B1790B">
        <w:rPr>
          <w:rFonts w:ascii="Times New Roman" w:hAnsi="Times New Roman" w:cs="Times New Roman"/>
          <w:b/>
          <w:bCs/>
          <w:color w:val="000000" w:themeColor="text1"/>
          <w:sz w:val="28"/>
          <w:szCs w:val="28"/>
        </w:rPr>
        <w:lastRenderedPageBreak/>
        <w:t>2.3 Consultation strategy and justification</w:t>
      </w:r>
      <w:bookmarkEnd w:id="5"/>
    </w:p>
    <w:p w14:paraId="5A715694" w14:textId="5BDB59F3" w:rsidR="005E0D53" w:rsidRPr="00B1790B" w:rsidRDefault="00E25E7F"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The consultation</w:t>
      </w:r>
      <w:r w:rsidR="005E0D53" w:rsidRPr="00B1790B">
        <w:rPr>
          <w:rFonts w:ascii="Times New Roman" w:hAnsi="Times New Roman" w:cs="Times New Roman"/>
          <w:sz w:val="24"/>
          <w:szCs w:val="24"/>
        </w:rPr>
        <w:t xml:space="preserve"> will take place in four interrelated stages. </w:t>
      </w:r>
      <w:r w:rsidR="005E0D53" w:rsidRPr="00B1790B">
        <w:rPr>
          <w:rFonts w:ascii="Times New Roman" w:hAnsi="Times New Roman" w:cs="Times New Roman"/>
          <w:i/>
          <w:iCs/>
          <w:sz w:val="24"/>
          <w:szCs w:val="24"/>
        </w:rPr>
        <w:t>First</w:t>
      </w:r>
      <w:r w:rsidR="005E0D53" w:rsidRPr="00B1790B">
        <w:rPr>
          <w:rFonts w:ascii="Times New Roman" w:hAnsi="Times New Roman" w:cs="Times New Roman"/>
          <w:sz w:val="24"/>
          <w:szCs w:val="24"/>
        </w:rPr>
        <w:t xml:space="preserve">, an eight-week discovery phase involves sending out letters of invitation inviting people to participate in the project door-to-door in an agreed catchment area, intercept interviews at Canning Town Library and transport nodes, online and paper survey and, stakeholder interviews and a map on which users mark out a route, unsafe spots and desired activities. Sampling targets will be determined for tenure, age, disability, ethnicity and proximity and will be reviewed weekly to allow for the redirection of outreach before closure. </w:t>
      </w:r>
    </w:p>
    <w:p w14:paraId="4913520B"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i/>
          <w:iCs/>
          <w:sz w:val="24"/>
          <w:szCs w:val="24"/>
        </w:rPr>
        <w:t>Second</w:t>
      </w:r>
      <w:r w:rsidRPr="00B1790B">
        <w:rPr>
          <w:rFonts w:ascii="Times New Roman" w:hAnsi="Times New Roman" w:cs="Times New Roman"/>
          <w:sz w:val="24"/>
          <w:szCs w:val="24"/>
        </w:rPr>
        <w:t>, co-design was delivered through three inclusive workshops—an access audit with disabled and older participants, a school design task, and an ecology walk involving youth, women, and girls. Newham's Green and Water Infrastructure Strategy offers a viable local model, which gathered input from over 1,500 residents as part of the field research, interviews, workshops, option testing and final consultation (Newham Council, 2025b).</w:t>
      </w:r>
    </w:p>
    <w:p w14:paraId="053F4784"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i/>
          <w:iCs/>
          <w:sz w:val="24"/>
          <w:szCs w:val="24"/>
        </w:rPr>
        <w:t>Third</w:t>
      </w:r>
      <w:r w:rsidRPr="00B1790B">
        <w:rPr>
          <w:rFonts w:ascii="Times New Roman" w:hAnsi="Times New Roman" w:cs="Times New Roman"/>
          <w:sz w:val="24"/>
          <w:szCs w:val="24"/>
        </w:rPr>
        <w:t xml:space="preserve">, two workable solutions are piloted over six weeks with staffed exhibits, translated summaries, a deliberative residents' panel and a brief preference survey. The panel will be provided with the cost and technical evidence that officers have been provided, and will query experts and record the areas of agreement and disagreement. The project team provides cost, maintenance, safety, biodiversity, accessibility and deliverability criteria before seeking input. This is important as Arnstein (1969) pointed out, consultation without influence can validate decisions already taken. The final recommendation will thus reflect the extent of community-led, joint, technically limited and/or statutory decisions. Rowe and </w:t>
      </w:r>
      <w:proofErr w:type="spellStart"/>
      <w:r w:rsidRPr="00B1790B">
        <w:rPr>
          <w:rFonts w:ascii="Times New Roman" w:hAnsi="Times New Roman" w:cs="Times New Roman"/>
          <w:sz w:val="24"/>
          <w:szCs w:val="24"/>
        </w:rPr>
        <w:t>Frewer</w:t>
      </w:r>
      <w:proofErr w:type="spellEnd"/>
      <w:r w:rsidRPr="00B1790B">
        <w:rPr>
          <w:rFonts w:ascii="Times New Roman" w:hAnsi="Times New Roman" w:cs="Times New Roman"/>
          <w:sz w:val="24"/>
          <w:szCs w:val="24"/>
        </w:rPr>
        <w:t xml:space="preserve"> (2000; 2005) define a spectrum of communication based on the direction in which the information flows (one way, to and from, or co-production).</w:t>
      </w:r>
    </w:p>
    <w:p w14:paraId="67A74C6C"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i/>
          <w:iCs/>
          <w:sz w:val="24"/>
          <w:szCs w:val="24"/>
        </w:rPr>
        <w:t>Fourth</w:t>
      </w:r>
      <w:r w:rsidRPr="00B1790B">
        <w:rPr>
          <w:rFonts w:ascii="Times New Roman" w:hAnsi="Times New Roman" w:cs="Times New Roman"/>
          <w:sz w:val="24"/>
          <w:szCs w:val="24"/>
        </w:rPr>
        <w:t xml:space="preserve">, construction and operation engagement are about the predicted disruption and learning. A named community liaison officer produces fortnightly email/SMS bulletins, provides community updates by letter or newspaper at key stages and provides a telephone line for access, noise and safeguarding concerns, where possible, with 48-hour warning bulletins. Enquiries/commitments will be recorded so as to ensure that there is not a contradictory response between channels. Residents' panel and local businesses are part of quarterly site walks. Feedback is gathered on a short user survey at 3, 6 and 12-months post-opening; structured observation; accessibility walks; </w:t>
      </w:r>
      <w:r w:rsidRPr="00B1790B">
        <w:rPr>
          <w:rFonts w:ascii="Times New Roman" w:hAnsi="Times New Roman" w:cs="Times New Roman"/>
          <w:sz w:val="24"/>
          <w:szCs w:val="24"/>
        </w:rPr>
        <w:lastRenderedPageBreak/>
        <w:t xml:space="preserve">complaints and maintenance data; school and NHS partner interviews; and a public review meeting. The involvement of stakeholders is most likely to help create trust, learning, and feasible agreements and not just comments (Jager et al., 2020; </w:t>
      </w:r>
      <w:proofErr w:type="spellStart"/>
      <w:r w:rsidRPr="00B1790B">
        <w:rPr>
          <w:rFonts w:ascii="Times New Roman" w:hAnsi="Times New Roman" w:cs="Times New Roman"/>
          <w:sz w:val="24"/>
          <w:szCs w:val="24"/>
        </w:rPr>
        <w:t>Newig</w:t>
      </w:r>
      <w:proofErr w:type="spellEnd"/>
      <w:r w:rsidRPr="00B1790B">
        <w:rPr>
          <w:rFonts w:ascii="Times New Roman" w:hAnsi="Times New Roman" w:cs="Times New Roman"/>
          <w:sz w:val="24"/>
          <w:szCs w:val="24"/>
        </w:rPr>
        <w:t xml:space="preserve"> et al., 2023).</w:t>
      </w:r>
    </w:p>
    <w:p w14:paraId="182BB14A"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Reach and influence will be used to monitor success. </w:t>
      </w:r>
      <w:r>
        <w:rPr>
          <w:rFonts w:ascii="Times New Roman" w:hAnsi="Times New Roman" w:cs="Times New Roman"/>
          <w:sz w:val="24"/>
          <w:szCs w:val="24"/>
        </w:rPr>
        <w:t>In this regard, p</w:t>
      </w:r>
      <w:r w:rsidRPr="00B1790B">
        <w:rPr>
          <w:rFonts w:ascii="Times New Roman" w:hAnsi="Times New Roman" w:cs="Times New Roman"/>
          <w:sz w:val="24"/>
          <w:szCs w:val="24"/>
        </w:rPr>
        <w:t xml:space="preserve">rocess indicators </w:t>
      </w:r>
      <w:r>
        <w:rPr>
          <w:rFonts w:ascii="Times New Roman" w:hAnsi="Times New Roman" w:cs="Times New Roman"/>
          <w:sz w:val="24"/>
          <w:szCs w:val="24"/>
        </w:rPr>
        <w:t xml:space="preserve">that will be used </w:t>
      </w:r>
      <w:r w:rsidRPr="00B1790B">
        <w:rPr>
          <w:rFonts w:ascii="Times New Roman" w:hAnsi="Times New Roman" w:cs="Times New Roman"/>
          <w:sz w:val="24"/>
          <w:szCs w:val="24"/>
        </w:rPr>
        <w:t>are: participation of all target wards, at least 600 valid responses, demographic comparison with local profile, at least 80 youth responses &amp; at least 40 disabled or over the age of 65 responses, response to enquiries within 5 working days &amp; publication of a consultation report within 20 working days of closure.</w:t>
      </w:r>
    </w:p>
    <w:p w14:paraId="5F3D267E" w14:textId="77777777" w:rsidR="005E0D53" w:rsidRPr="00B1790B" w:rsidRDefault="005E0D53" w:rsidP="005E0D53">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0ACE33A" wp14:editId="7084256A">
            <wp:extent cx="5627370" cy="2828290"/>
            <wp:effectExtent l="0" t="0" r="0" b="0"/>
            <wp:docPr id="2" name="Picture 2" descr="A graph of a number of children and ad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number of children and adults&#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5627370" cy="2828290"/>
                    </a:xfrm>
                    <a:prstGeom prst="rect">
                      <a:avLst/>
                    </a:prstGeom>
                    <a:noFill/>
                    <a:ln>
                      <a:noFill/>
                    </a:ln>
                    <a:extLst>
                      <a:ext uri="{53640926-AAD7-44D8-BBD7-CCE9431645EC}">
                        <a14:shadowObscured xmlns:a14="http://schemas.microsoft.com/office/drawing/2010/main"/>
                      </a:ext>
                    </a:extLst>
                  </pic:spPr>
                </pic:pic>
              </a:graphicData>
            </a:graphic>
          </wp:inline>
        </w:drawing>
      </w:r>
    </w:p>
    <w:p w14:paraId="47FA9BF8" w14:textId="77777777" w:rsidR="005E0D53" w:rsidRPr="00004810" w:rsidRDefault="005E0D53" w:rsidP="005E0D53">
      <w:pPr>
        <w:spacing w:line="240" w:lineRule="auto"/>
        <w:jc w:val="center"/>
        <w:rPr>
          <w:rFonts w:ascii="Times New Roman" w:hAnsi="Times New Roman" w:cs="Times New Roman"/>
          <w:b/>
          <w:bCs/>
          <w:i/>
          <w:iCs/>
          <w:sz w:val="24"/>
          <w:szCs w:val="24"/>
        </w:rPr>
      </w:pPr>
      <w:r w:rsidRPr="00004810">
        <w:rPr>
          <w:rFonts w:ascii="Times New Roman" w:hAnsi="Times New Roman" w:cs="Times New Roman"/>
          <w:b/>
          <w:bCs/>
          <w:i/>
          <w:iCs/>
          <w:sz w:val="24"/>
          <w:szCs w:val="24"/>
        </w:rPr>
        <w:t>Figure 4. Selected physical-inactivity indicators for Newham, London and England</w:t>
      </w:r>
    </w:p>
    <w:p w14:paraId="743E5E05" w14:textId="77777777" w:rsidR="005E0D53" w:rsidRPr="00004810" w:rsidRDefault="005E0D53" w:rsidP="005E0D53">
      <w:pPr>
        <w:spacing w:line="240" w:lineRule="auto"/>
        <w:jc w:val="center"/>
        <w:rPr>
          <w:rFonts w:ascii="Times New Roman" w:hAnsi="Times New Roman" w:cs="Times New Roman"/>
          <w:b/>
          <w:bCs/>
          <w:i/>
          <w:iCs/>
          <w:sz w:val="24"/>
          <w:szCs w:val="24"/>
        </w:rPr>
      </w:pPr>
      <w:r w:rsidRPr="00004810">
        <w:rPr>
          <w:rFonts w:ascii="Times New Roman" w:hAnsi="Times New Roman" w:cs="Times New Roman"/>
          <w:b/>
          <w:bCs/>
          <w:i/>
          <w:iCs/>
          <w:sz w:val="24"/>
          <w:szCs w:val="24"/>
        </w:rPr>
        <w:t>Source: Newham Council (2026a), using Sport England Active Lives adult and children/young people surveys. Adult estimate is 2024/25; child estimate is academic year 2024/25.</w:t>
      </w:r>
    </w:p>
    <w:p w14:paraId="17A9D95C" w14:textId="77777777" w:rsidR="005E0D53" w:rsidRDefault="005E0D53" w:rsidP="005E0D53">
      <w:pPr>
        <w:spacing w:line="360" w:lineRule="auto"/>
        <w:jc w:val="both"/>
        <w:rPr>
          <w:rFonts w:ascii="Times New Roman" w:hAnsi="Times New Roman" w:cs="Times New Roman"/>
          <w:sz w:val="24"/>
          <w:szCs w:val="24"/>
        </w:rPr>
      </w:pPr>
    </w:p>
    <w:p w14:paraId="6A04557E" w14:textId="77777777" w:rsidR="005E0D53" w:rsidRDefault="005E0D53" w:rsidP="005E0D53">
      <w:pPr>
        <w:spacing w:line="360" w:lineRule="auto"/>
        <w:jc w:val="both"/>
        <w:rPr>
          <w:rFonts w:ascii="Times New Roman" w:hAnsi="Times New Roman" w:cs="Times New Roman"/>
          <w:sz w:val="24"/>
          <w:szCs w:val="24"/>
        </w:rPr>
      </w:pPr>
    </w:p>
    <w:p w14:paraId="4350B005" w14:textId="77777777" w:rsidR="005E0D53" w:rsidRDefault="005E0D53" w:rsidP="005E0D53">
      <w:pPr>
        <w:spacing w:line="360" w:lineRule="auto"/>
        <w:jc w:val="both"/>
        <w:rPr>
          <w:rFonts w:ascii="Times New Roman" w:hAnsi="Times New Roman" w:cs="Times New Roman"/>
          <w:sz w:val="24"/>
          <w:szCs w:val="24"/>
        </w:rPr>
      </w:pPr>
    </w:p>
    <w:p w14:paraId="097D8337" w14:textId="77777777" w:rsidR="005E0D53" w:rsidRDefault="005E0D53" w:rsidP="005E0D53">
      <w:pPr>
        <w:spacing w:line="360" w:lineRule="auto"/>
        <w:jc w:val="both"/>
        <w:rPr>
          <w:rFonts w:ascii="Times New Roman" w:hAnsi="Times New Roman" w:cs="Times New Roman"/>
          <w:sz w:val="24"/>
          <w:szCs w:val="24"/>
        </w:rPr>
      </w:pPr>
    </w:p>
    <w:p w14:paraId="2F1F8ED4" w14:textId="77777777" w:rsidR="005E0D53" w:rsidRDefault="005E0D53" w:rsidP="005E0D53">
      <w:pPr>
        <w:spacing w:line="360" w:lineRule="auto"/>
        <w:jc w:val="both"/>
        <w:rPr>
          <w:rFonts w:ascii="Times New Roman" w:hAnsi="Times New Roman" w:cs="Times New Roman"/>
          <w:sz w:val="24"/>
          <w:szCs w:val="24"/>
        </w:rPr>
      </w:pPr>
    </w:p>
    <w:p w14:paraId="68B7172E" w14:textId="77777777" w:rsidR="005E0D53" w:rsidRDefault="005E0D53" w:rsidP="005E0D53">
      <w:pPr>
        <w:spacing w:line="360" w:lineRule="auto"/>
        <w:jc w:val="both"/>
        <w:rPr>
          <w:rFonts w:ascii="Times New Roman" w:hAnsi="Times New Roman" w:cs="Times New Roman"/>
          <w:sz w:val="24"/>
          <w:szCs w:val="24"/>
        </w:rPr>
      </w:pPr>
    </w:p>
    <w:p w14:paraId="53013A71" w14:textId="77777777" w:rsidR="005E0D53" w:rsidRPr="00004810" w:rsidRDefault="005E0D53" w:rsidP="005E0D53">
      <w:pPr>
        <w:spacing w:line="360" w:lineRule="auto"/>
        <w:jc w:val="both"/>
        <w:rPr>
          <w:rFonts w:ascii="Times New Roman" w:hAnsi="Times New Roman" w:cs="Times New Roman"/>
          <w:i/>
          <w:iCs/>
          <w:sz w:val="24"/>
          <w:szCs w:val="24"/>
        </w:rPr>
      </w:pPr>
      <w:r w:rsidRPr="00004810">
        <w:rPr>
          <w:rFonts w:ascii="Times New Roman" w:hAnsi="Times New Roman" w:cs="Times New Roman"/>
          <w:i/>
          <w:iCs/>
          <w:sz w:val="24"/>
          <w:szCs w:val="24"/>
        </w:rPr>
        <w:lastRenderedPageBreak/>
        <w:t>Table 5. Four-stage consultation strategy</w:t>
      </w:r>
    </w:p>
    <w:tbl>
      <w:tblPr>
        <w:tblStyle w:val="TableGrid"/>
        <w:tblW w:w="9360" w:type="dxa"/>
        <w:tblLayout w:type="fixed"/>
        <w:tblLook w:val="04A0" w:firstRow="1" w:lastRow="0" w:firstColumn="1" w:lastColumn="0" w:noHBand="0" w:noVBand="1"/>
      </w:tblPr>
      <w:tblGrid>
        <w:gridCol w:w="1700"/>
        <w:gridCol w:w="3000"/>
        <w:gridCol w:w="2500"/>
        <w:gridCol w:w="2160"/>
      </w:tblGrid>
      <w:tr w:rsidR="005E0D53" w:rsidRPr="00082665" w14:paraId="5656E477" w14:textId="77777777" w:rsidTr="00E5182E">
        <w:tc>
          <w:tcPr>
            <w:tcW w:w="1700" w:type="dxa"/>
            <w:vAlign w:val="center"/>
          </w:tcPr>
          <w:p w14:paraId="712BEF1E"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Stage</w:t>
            </w:r>
          </w:p>
        </w:tc>
        <w:tc>
          <w:tcPr>
            <w:tcW w:w="3000" w:type="dxa"/>
            <w:vAlign w:val="center"/>
          </w:tcPr>
          <w:p w14:paraId="3D814B95"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Methods</w:t>
            </w:r>
          </w:p>
        </w:tc>
        <w:tc>
          <w:tcPr>
            <w:tcW w:w="2500" w:type="dxa"/>
            <w:vAlign w:val="center"/>
          </w:tcPr>
          <w:p w14:paraId="243D6C5F"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Priority participants</w:t>
            </w:r>
          </w:p>
        </w:tc>
        <w:tc>
          <w:tcPr>
            <w:tcW w:w="2160" w:type="dxa"/>
            <w:vAlign w:val="center"/>
          </w:tcPr>
          <w:p w14:paraId="637338CC"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Decision output</w:t>
            </w:r>
          </w:p>
        </w:tc>
      </w:tr>
      <w:tr w:rsidR="005E0D53" w:rsidRPr="00082665" w14:paraId="231D3E5E" w14:textId="77777777" w:rsidTr="00E5182E">
        <w:tc>
          <w:tcPr>
            <w:tcW w:w="1700" w:type="dxa"/>
          </w:tcPr>
          <w:p w14:paraId="5E879AD2"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1. Discover (8 weeks)</w:t>
            </w:r>
          </w:p>
        </w:tc>
        <w:tc>
          <w:tcPr>
            <w:tcW w:w="3000" w:type="dxa"/>
          </w:tcPr>
          <w:p w14:paraId="134B5238"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Letters, pop-ups, map survey, paper/online/phone survey, interviews</w:t>
            </w:r>
          </w:p>
        </w:tc>
        <w:tc>
          <w:tcPr>
            <w:tcW w:w="2500" w:type="dxa"/>
          </w:tcPr>
          <w:p w14:paraId="4B9DDF59"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Broad residents plus hard-to-reach groups; technical stakeholders</w:t>
            </w:r>
          </w:p>
        </w:tc>
        <w:tc>
          <w:tcPr>
            <w:tcW w:w="2160" w:type="dxa"/>
          </w:tcPr>
          <w:p w14:paraId="028E2B3C"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Baseline needs, routes, risks, assets and response profile</w:t>
            </w:r>
          </w:p>
        </w:tc>
      </w:tr>
      <w:tr w:rsidR="005E0D53" w:rsidRPr="00082665" w14:paraId="1912656C" w14:textId="77777777" w:rsidTr="00E5182E">
        <w:tc>
          <w:tcPr>
            <w:tcW w:w="1700" w:type="dxa"/>
          </w:tcPr>
          <w:p w14:paraId="33EE5E04"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2. Co-design (10 weeks)</w:t>
            </w:r>
          </w:p>
        </w:tc>
        <w:tc>
          <w:tcPr>
            <w:tcW w:w="3000" w:type="dxa"/>
          </w:tcPr>
          <w:p w14:paraId="5A997CF8"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Mixed charrettes, youth and women/girls sessions, access audit, ecology walk</w:t>
            </w:r>
            <w:r>
              <w:rPr>
                <w:rFonts w:ascii="Times New Roman" w:hAnsi="Times New Roman" w:cs="Times New Roman"/>
                <w:color w:val="20313C"/>
                <w:sz w:val="24"/>
                <w:szCs w:val="24"/>
              </w:rPr>
              <w:t>.</w:t>
            </w:r>
          </w:p>
        </w:tc>
        <w:tc>
          <w:tcPr>
            <w:tcW w:w="2500" w:type="dxa"/>
          </w:tcPr>
          <w:p w14:paraId="4D5C14C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Resident panel, schools, access groups, businesses, ecologists</w:t>
            </w:r>
          </w:p>
        </w:tc>
        <w:tc>
          <w:tcPr>
            <w:tcW w:w="2160" w:type="dxa"/>
          </w:tcPr>
          <w:p w14:paraId="6096ED17"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Design principles and first option set</w:t>
            </w:r>
          </w:p>
        </w:tc>
      </w:tr>
      <w:tr w:rsidR="005E0D53" w:rsidRPr="00082665" w14:paraId="68E32529" w14:textId="77777777" w:rsidTr="00E5182E">
        <w:tc>
          <w:tcPr>
            <w:tcW w:w="1700" w:type="dxa"/>
          </w:tcPr>
          <w:p w14:paraId="71C9A072"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3. Test and decide (6 weeks)</w:t>
            </w:r>
          </w:p>
        </w:tc>
        <w:tc>
          <w:tcPr>
            <w:tcW w:w="3000" w:type="dxa"/>
          </w:tcPr>
          <w:p w14:paraId="5F1D28C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Two-option exhibition, deliberative panel, translated survey, cost criteria</w:t>
            </w:r>
          </w:p>
        </w:tc>
        <w:tc>
          <w:tcPr>
            <w:tcW w:w="2500" w:type="dxa"/>
          </w:tcPr>
          <w:p w14:paraId="7CB3362E"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All groups; decision-makers and funders</w:t>
            </w:r>
          </w:p>
        </w:tc>
        <w:tc>
          <w:tcPr>
            <w:tcW w:w="2160" w:type="dxa"/>
          </w:tcPr>
          <w:p w14:paraId="023290A1"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Preferred option, dissent record and decision rationale</w:t>
            </w:r>
          </w:p>
        </w:tc>
      </w:tr>
      <w:tr w:rsidR="005E0D53" w:rsidRPr="00082665" w14:paraId="69DAE14B" w14:textId="77777777" w:rsidTr="00E5182E">
        <w:tc>
          <w:tcPr>
            <w:tcW w:w="1700" w:type="dxa"/>
          </w:tcPr>
          <w:p w14:paraId="6D158A55" w14:textId="77777777" w:rsidR="005E0D53" w:rsidRPr="00082665" w:rsidRDefault="005E0D53" w:rsidP="00E5182E">
            <w:pPr>
              <w:spacing w:before="240"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4. Construct and learn</w:t>
            </w:r>
          </w:p>
        </w:tc>
        <w:tc>
          <w:tcPr>
            <w:tcW w:w="3000" w:type="dxa"/>
          </w:tcPr>
          <w:p w14:paraId="6E68DA0F" w14:textId="77777777" w:rsidR="005E0D53" w:rsidRPr="00082665" w:rsidRDefault="005E0D53" w:rsidP="00E5182E">
            <w:pPr>
              <w:spacing w:before="240"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Bulletins, liaison line, site walks, complaints log, post-opening surveys</w:t>
            </w:r>
          </w:p>
        </w:tc>
        <w:tc>
          <w:tcPr>
            <w:tcW w:w="2500" w:type="dxa"/>
          </w:tcPr>
          <w:p w14:paraId="478262F7" w14:textId="77777777" w:rsidR="005E0D53" w:rsidRPr="00082665" w:rsidRDefault="005E0D53" w:rsidP="00E5182E">
            <w:pPr>
              <w:spacing w:before="240"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Residents, businesses, TfL/utilities, park users and partners</w:t>
            </w:r>
          </w:p>
        </w:tc>
        <w:tc>
          <w:tcPr>
            <w:tcW w:w="2160" w:type="dxa"/>
          </w:tcPr>
          <w:p w14:paraId="701B7EC3" w14:textId="77777777" w:rsidR="005E0D53" w:rsidRPr="00082665" w:rsidRDefault="005E0D53" w:rsidP="00E5182E">
            <w:pPr>
              <w:spacing w:before="240"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Reduced disruption, defects closed and benefits review</w:t>
            </w:r>
          </w:p>
        </w:tc>
      </w:tr>
    </w:tbl>
    <w:p w14:paraId="0D01EE2A" w14:textId="77777777" w:rsidR="005E0D53" w:rsidRPr="00004810" w:rsidRDefault="005E0D53" w:rsidP="005E0D53">
      <w:pPr>
        <w:spacing w:before="240" w:line="360" w:lineRule="auto"/>
        <w:jc w:val="center"/>
        <w:rPr>
          <w:rFonts w:ascii="Times New Roman" w:hAnsi="Times New Roman" w:cs="Times New Roman"/>
          <w:b/>
          <w:bCs/>
          <w:i/>
          <w:iCs/>
          <w:color w:val="000000" w:themeColor="text1"/>
          <w:sz w:val="24"/>
          <w:szCs w:val="24"/>
        </w:rPr>
      </w:pPr>
      <w:r w:rsidRPr="00004810">
        <w:rPr>
          <w:rFonts w:ascii="Times New Roman" w:hAnsi="Times New Roman" w:cs="Times New Roman"/>
          <w:b/>
          <w:bCs/>
          <w:i/>
          <w:iCs/>
          <w:color w:val="000000" w:themeColor="text1"/>
          <w:sz w:val="24"/>
          <w:szCs w:val="24"/>
        </w:rPr>
        <w:t xml:space="preserve">Source: Author's plan, informed by Arnstein (1969), Reed (2008), Newham Council (2025b) and </w:t>
      </w:r>
      <w:proofErr w:type="spellStart"/>
      <w:r w:rsidRPr="00004810">
        <w:rPr>
          <w:rFonts w:ascii="Times New Roman" w:hAnsi="Times New Roman" w:cs="Times New Roman"/>
          <w:b/>
          <w:bCs/>
          <w:i/>
          <w:iCs/>
          <w:color w:val="000000" w:themeColor="text1"/>
          <w:sz w:val="24"/>
          <w:szCs w:val="24"/>
        </w:rPr>
        <w:t>Newig</w:t>
      </w:r>
      <w:proofErr w:type="spellEnd"/>
      <w:r w:rsidRPr="00004810">
        <w:rPr>
          <w:rFonts w:ascii="Times New Roman" w:hAnsi="Times New Roman" w:cs="Times New Roman"/>
          <w:b/>
          <w:bCs/>
          <w:i/>
          <w:iCs/>
          <w:color w:val="000000" w:themeColor="text1"/>
          <w:sz w:val="24"/>
          <w:szCs w:val="24"/>
        </w:rPr>
        <w:t xml:space="preserve"> et al. (2023).</w:t>
      </w:r>
    </w:p>
    <w:p w14:paraId="1E1A74A9" w14:textId="77777777" w:rsidR="005E0D53" w:rsidRDefault="005E0D53" w:rsidP="005E0D53">
      <w:pPr>
        <w:rPr>
          <w:rFonts w:ascii="Times New Roman" w:eastAsiaTheme="majorEastAsia" w:hAnsi="Times New Roman" w:cs="Times New Roman"/>
          <w:b/>
          <w:bCs/>
          <w:color w:val="000000" w:themeColor="text1"/>
          <w:sz w:val="32"/>
          <w:szCs w:val="32"/>
        </w:rPr>
      </w:pPr>
      <w:r>
        <w:rPr>
          <w:rFonts w:ascii="Times New Roman" w:hAnsi="Times New Roman" w:cs="Times New Roman"/>
          <w:b/>
          <w:bCs/>
          <w:color w:val="000000" w:themeColor="text1"/>
        </w:rPr>
        <w:br w:type="page"/>
      </w:r>
    </w:p>
    <w:p w14:paraId="77FA4218" w14:textId="77777777" w:rsidR="005E0D53" w:rsidRPr="00004810" w:rsidRDefault="005E0D53" w:rsidP="005E0D53">
      <w:pPr>
        <w:pStyle w:val="Heading1"/>
        <w:spacing w:line="360" w:lineRule="auto"/>
        <w:jc w:val="both"/>
        <w:rPr>
          <w:rFonts w:ascii="Times New Roman" w:hAnsi="Times New Roman" w:cs="Times New Roman"/>
          <w:b/>
          <w:bCs/>
          <w:color w:val="000000" w:themeColor="text1"/>
        </w:rPr>
      </w:pPr>
      <w:bookmarkStart w:id="6" w:name="_Toc238209075"/>
      <w:r w:rsidRPr="00004810">
        <w:rPr>
          <w:rFonts w:ascii="Times New Roman" w:hAnsi="Times New Roman" w:cs="Times New Roman"/>
          <w:b/>
          <w:bCs/>
          <w:color w:val="000000" w:themeColor="text1"/>
        </w:rPr>
        <w:lastRenderedPageBreak/>
        <w:t>Element 3: Ethical Considerations in Consultation, Participation and Feedback</w:t>
      </w:r>
      <w:bookmarkEnd w:id="6"/>
    </w:p>
    <w:p w14:paraId="56C69697" w14:textId="248C8B53"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The consultation is a public planning process and will also involve collecting personal information. Every invitation will include a statement of purpose, a sponsor, topics to which the responses are thought to be germane, the intended use of responses, the fact that participation is voluntary and the means of contact for any questions or complaints.</w:t>
      </w:r>
      <w:r>
        <w:rPr>
          <w:rFonts w:ascii="Times New Roman" w:hAnsi="Times New Roman" w:cs="Times New Roman"/>
          <w:sz w:val="24"/>
          <w:szCs w:val="24"/>
        </w:rPr>
        <w:t xml:space="preserve"> </w:t>
      </w:r>
      <w:r w:rsidRPr="00B1790B">
        <w:rPr>
          <w:rFonts w:ascii="Times New Roman" w:hAnsi="Times New Roman" w:cs="Times New Roman"/>
          <w:sz w:val="24"/>
          <w:szCs w:val="24"/>
        </w:rPr>
        <w:t xml:space="preserve">The processing of the data will be carried out in accordance with the UK GDPR and Data Protection Act 2018. The council should record the lawful basis for the processing, which, in this case, would likely be a public task for its lawful statutory planning and service design, rather than consent to participate being the only basis. Responses will be </w:t>
      </w:r>
      <w:r w:rsidR="00F03BB0" w:rsidRPr="00B1790B">
        <w:rPr>
          <w:rFonts w:ascii="Times New Roman" w:hAnsi="Times New Roman" w:cs="Times New Roman"/>
          <w:sz w:val="24"/>
          <w:szCs w:val="24"/>
        </w:rPr>
        <w:t>anonymized</w:t>
      </w:r>
      <w:r w:rsidRPr="00B1790B">
        <w:rPr>
          <w:rFonts w:ascii="Times New Roman" w:hAnsi="Times New Roman" w:cs="Times New Roman"/>
          <w:sz w:val="24"/>
          <w:szCs w:val="24"/>
        </w:rPr>
        <w:t xml:space="preserve">, with names and contact details removed, and data will be used in an aggregated or </w:t>
      </w:r>
      <w:r w:rsidR="00F03BB0" w:rsidRPr="00B1790B">
        <w:rPr>
          <w:rFonts w:ascii="Times New Roman" w:hAnsi="Times New Roman" w:cs="Times New Roman"/>
          <w:sz w:val="24"/>
          <w:szCs w:val="24"/>
        </w:rPr>
        <w:t>pseudonymized</w:t>
      </w:r>
      <w:r w:rsidRPr="00B1790B">
        <w:rPr>
          <w:rFonts w:ascii="Times New Roman" w:hAnsi="Times New Roman" w:cs="Times New Roman"/>
          <w:sz w:val="24"/>
          <w:szCs w:val="24"/>
        </w:rPr>
        <w:t xml:space="preserve"> format; access will be role-based; the data will be transferred via encryption; and identifiable consultation files will normally be deleted 12 months after the final design decision is made unless a documented retention schedule dictates otherwise. There are some special category data</w:t>
      </w:r>
      <w:r>
        <w:rPr>
          <w:rFonts w:ascii="Times New Roman" w:hAnsi="Times New Roman" w:cs="Times New Roman"/>
          <w:sz w:val="24"/>
          <w:szCs w:val="24"/>
        </w:rPr>
        <w:t>:</w:t>
      </w:r>
      <w:r w:rsidRPr="00B1790B">
        <w:rPr>
          <w:rFonts w:ascii="Times New Roman" w:hAnsi="Times New Roman" w:cs="Times New Roman"/>
          <w:sz w:val="24"/>
          <w:szCs w:val="24"/>
        </w:rPr>
        <w:t xml:space="preserve"> ethnicity, religion, disability and health data – that also require an </w:t>
      </w:r>
      <w:r>
        <w:rPr>
          <w:rFonts w:ascii="Times New Roman" w:hAnsi="Times New Roman" w:cs="Times New Roman"/>
          <w:sz w:val="24"/>
          <w:szCs w:val="24"/>
        </w:rPr>
        <w:t>Article</w:t>
      </w:r>
      <w:r w:rsidRPr="00B1790B">
        <w:rPr>
          <w:rFonts w:ascii="Times New Roman" w:hAnsi="Times New Roman" w:cs="Times New Roman"/>
          <w:sz w:val="24"/>
          <w:szCs w:val="24"/>
        </w:rPr>
        <w:t xml:space="preserve"> 9 condition and safeguards (ICO, 2024). If there is a high risk due to scale, linkage or vulnerability, a data-protection impact assessment will be completed.</w:t>
      </w:r>
    </w:p>
    <w:p w14:paraId="1B8C1312"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Bias may be introduced by sampling frame, self-selection, digital exclusion, leading questions, dominant voices, facilitator expectations and selective reporting. Digital-only surveys would give an advantage to residents who are more digital, and daytime workshops could exclude people who work or care for others. Findings will be reported as missing groups, non-response and uncertainty and not as raw percentages as representative public opinion. A sample of qualitative comments will be coded by two analysts, and differences will be addressed using an audit trail.</w:t>
      </w:r>
      <w:r>
        <w:rPr>
          <w:rFonts w:ascii="Times New Roman" w:hAnsi="Times New Roman" w:cs="Times New Roman"/>
          <w:sz w:val="24"/>
          <w:szCs w:val="24"/>
        </w:rPr>
        <w:t xml:space="preserve"> </w:t>
      </w:r>
      <w:r w:rsidRPr="00B1790B">
        <w:rPr>
          <w:rFonts w:ascii="Times New Roman" w:hAnsi="Times New Roman" w:cs="Times New Roman"/>
          <w:sz w:val="24"/>
          <w:szCs w:val="24"/>
        </w:rPr>
        <w:t>An invitation to participate is not enough for diversity, equity and inclusion. Language, trust and accessibility are key design considerations, given the ethnic profile of Newham (31.7% only say they are a non-UK national identity) and the age-</w:t>
      </w:r>
      <w:proofErr w:type="spellStart"/>
      <w:r w:rsidRPr="00B1790B">
        <w:rPr>
          <w:rFonts w:ascii="Times New Roman" w:hAnsi="Times New Roman" w:cs="Times New Roman"/>
          <w:sz w:val="24"/>
          <w:szCs w:val="24"/>
        </w:rPr>
        <w:t>standardised</w:t>
      </w:r>
      <w:proofErr w:type="spellEnd"/>
      <w:r w:rsidRPr="00B1790B">
        <w:rPr>
          <w:rFonts w:ascii="Times New Roman" w:hAnsi="Times New Roman" w:cs="Times New Roman"/>
          <w:sz w:val="24"/>
          <w:szCs w:val="24"/>
        </w:rPr>
        <w:t xml:space="preserve"> disability profile (ONS, 2023). The Public Sector Equality Duty of the Equality Act 2010 is to be taken into account in the elimination of discrimination, the advancement of equality of opportunity and the fostering of good relations (UK Government, 2023). Engagement will therefore include step-free venues, BSL on request, Easy Read, audio, community-language interpretation, faith-sensitive scheduling, women-only </w:t>
      </w:r>
      <w:r w:rsidRPr="00B1790B">
        <w:rPr>
          <w:rFonts w:ascii="Times New Roman" w:hAnsi="Times New Roman" w:cs="Times New Roman"/>
          <w:sz w:val="24"/>
          <w:szCs w:val="24"/>
        </w:rPr>
        <w:lastRenderedPageBreak/>
        <w:t xml:space="preserve">discussion where helpful, and sensory-friendly sessions and outreach via trusted community and faith </w:t>
      </w:r>
      <w:proofErr w:type="spellStart"/>
      <w:r w:rsidRPr="00B1790B">
        <w:rPr>
          <w:rFonts w:ascii="Times New Roman" w:hAnsi="Times New Roman" w:cs="Times New Roman"/>
          <w:sz w:val="24"/>
          <w:szCs w:val="24"/>
        </w:rPr>
        <w:t>organisations</w:t>
      </w:r>
      <w:proofErr w:type="spellEnd"/>
      <w:r w:rsidRPr="00B1790B">
        <w:rPr>
          <w:rFonts w:ascii="Times New Roman" w:hAnsi="Times New Roman" w:cs="Times New Roman"/>
          <w:sz w:val="24"/>
          <w:szCs w:val="24"/>
        </w:rPr>
        <w:t>.</w:t>
      </w:r>
    </w:p>
    <w:p w14:paraId="67C468D0"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Feedback will be captured in a controlled register incorporating date, channel, stakeholder group, issue, location, evidence, project response, feedback owner and status. Data will be quality checked, and quantitative data will be </w:t>
      </w:r>
      <w:proofErr w:type="spellStart"/>
      <w:r w:rsidRPr="00B1790B">
        <w:rPr>
          <w:rFonts w:ascii="Times New Roman" w:hAnsi="Times New Roman" w:cs="Times New Roman"/>
          <w:sz w:val="24"/>
          <w:szCs w:val="24"/>
        </w:rPr>
        <w:t>summarised</w:t>
      </w:r>
      <w:proofErr w:type="spellEnd"/>
      <w:r w:rsidRPr="00B1790B">
        <w:rPr>
          <w:rFonts w:ascii="Times New Roman" w:hAnsi="Times New Roman" w:cs="Times New Roman"/>
          <w:sz w:val="24"/>
          <w:szCs w:val="24"/>
        </w:rPr>
        <w:t xml:space="preserve"> using denominators, while the free text data will be coded into themes: safety, play, nature, access, noise and maintenance. Minority positions and distributional impacts will still be maintained even if not the majority. The feedback loop will be closed by the final 'You said / We assessed / We will do / Why not' report, accessible summary and response dataset. The principles of government consultation also help to ensure that there is clear, purposeful, proportionate and accessible engagement with the groups impacted by proposals (Cabinet Office, 2018).</w:t>
      </w:r>
    </w:p>
    <w:p w14:paraId="74F5D424" w14:textId="77777777" w:rsidR="005E0D53" w:rsidRPr="00004810" w:rsidRDefault="005E0D53" w:rsidP="005E0D53">
      <w:pPr>
        <w:spacing w:line="360" w:lineRule="auto"/>
        <w:jc w:val="both"/>
        <w:rPr>
          <w:rFonts w:ascii="Times New Roman" w:hAnsi="Times New Roman" w:cs="Times New Roman"/>
          <w:i/>
          <w:iCs/>
          <w:sz w:val="24"/>
          <w:szCs w:val="24"/>
        </w:rPr>
      </w:pPr>
      <w:r w:rsidRPr="00004810">
        <w:rPr>
          <w:rFonts w:ascii="Times New Roman" w:hAnsi="Times New Roman" w:cs="Times New Roman"/>
          <w:i/>
          <w:iCs/>
          <w:sz w:val="24"/>
          <w:szCs w:val="24"/>
        </w:rPr>
        <w:t>Table 6. Ethical consultation controls</w:t>
      </w:r>
    </w:p>
    <w:tbl>
      <w:tblPr>
        <w:tblStyle w:val="TableGrid"/>
        <w:tblW w:w="9360" w:type="dxa"/>
        <w:tblLayout w:type="fixed"/>
        <w:tblLook w:val="04A0" w:firstRow="1" w:lastRow="0" w:firstColumn="1" w:lastColumn="0" w:noHBand="0" w:noVBand="1"/>
      </w:tblPr>
      <w:tblGrid>
        <w:gridCol w:w="2300"/>
        <w:gridCol w:w="4360"/>
        <w:gridCol w:w="2700"/>
      </w:tblGrid>
      <w:tr w:rsidR="005E0D53" w:rsidRPr="00082665" w14:paraId="5F9127FF" w14:textId="77777777" w:rsidTr="00E5182E">
        <w:tc>
          <w:tcPr>
            <w:tcW w:w="2300" w:type="dxa"/>
            <w:vAlign w:val="center"/>
          </w:tcPr>
          <w:p w14:paraId="15D86E74"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Risk</w:t>
            </w:r>
          </w:p>
        </w:tc>
        <w:tc>
          <w:tcPr>
            <w:tcW w:w="4360" w:type="dxa"/>
            <w:vAlign w:val="center"/>
          </w:tcPr>
          <w:p w14:paraId="2B1217E8"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sidRPr="00082665">
              <w:rPr>
                <w:rFonts w:ascii="Times New Roman" w:hAnsi="Times New Roman" w:cs="Times New Roman"/>
                <w:b/>
                <w:color w:val="20313C"/>
                <w:sz w:val="24"/>
                <w:szCs w:val="24"/>
              </w:rPr>
              <w:t>Control</w:t>
            </w:r>
          </w:p>
        </w:tc>
        <w:tc>
          <w:tcPr>
            <w:tcW w:w="2700" w:type="dxa"/>
            <w:vAlign w:val="center"/>
          </w:tcPr>
          <w:p w14:paraId="702BE8DC" w14:textId="77777777" w:rsidR="005E0D53" w:rsidRPr="00082665" w:rsidRDefault="005E0D53" w:rsidP="00E5182E">
            <w:pPr>
              <w:spacing w:after="40" w:line="360" w:lineRule="auto"/>
              <w:jc w:val="center"/>
              <w:rPr>
                <w:rFonts w:ascii="Times New Roman" w:hAnsi="Times New Roman" w:cs="Times New Roman"/>
                <w:color w:val="20313C"/>
                <w:sz w:val="24"/>
                <w:szCs w:val="24"/>
              </w:rPr>
            </w:pPr>
            <w:r>
              <w:rPr>
                <w:rFonts w:ascii="Times New Roman" w:hAnsi="Times New Roman" w:cs="Times New Roman"/>
                <w:b/>
                <w:color w:val="20313C"/>
                <w:sz w:val="24"/>
                <w:szCs w:val="24"/>
              </w:rPr>
              <w:t>Evidence/owner</w:t>
            </w:r>
          </w:p>
        </w:tc>
      </w:tr>
      <w:tr w:rsidR="005E0D53" w:rsidRPr="00082665" w14:paraId="57B3F435" w14:textId="77777777" w:rsidTr="00E5182E">
        <w:tc>
          <w:tcPr>
            <w:tcW w:w="2300" w:type="dxa"/>
          </w:tcPr>
          <w:p w14:paraId="5EB84703"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Unclear influence or consultation fatigue</w:t>
            </w:r>
          </w:p>
        </w:tc>
        <w:tc>
          <w:tcPr>
            <w:tcW w:w="4360" w:type="dxa"/>
          </w:tcPr>
          <w:p w14:paraId="5E893513"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Publish decision scope, timetable and response commitments; do not repeat questions without purpose.</w:t>
            </w:r>
          </w:p>
        </w:tc>
        <w:tc>
          <w:tcPr>
            <w:tcW w:w="2700" w:type="dxa"/>
          </w:tcPr>
          <w:p w14:paraId="50C604D3"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Engagement lead; invitation and decision-rights log</w:t>
            </w:r>
            <w:r>
              <w:rPr>
                <w:rFonts w:ascii="Times New Roman" w:hAnsi="Times New Roman" w:cs="Times New Roman"/>
                <w:color w:val="20313C"/>
                <w:sz w:val="24"/>
                <w:szCs w:val="24"/>
              </w:rPr>
              <w:t>.</w:t>
            </w:r>
          </w:p>
        </w:tc>
      </w:tr>
      <w:tr w:rsidR="005E0D53" w:rsidRPr="00082665" w14:paraId="67D5BA92" w14:textId="77777777" w:rsidTr="00E5182E">
        <w:tc>
          <w:tcPr>
            <w:tcW w:w="2300" w:type="dxa"/>
          </w:tcPr>
          <w:p w14:paraId="2DAC8220"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Privacy or special-category data breach</w:t>
            </w:r>
          </w:p>
        </w:tc>
        <w:tc>
          <w:tcPr>
            <w:tcW w:w="4360" w:type="dxa"/>
          </w:tcPr>
          <w:p w14:paraId="4E08DC8B"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Minimum data, lawful basis and Article 9 condition, separated identifiers, DPIA where required, deletion schedule.</w:t>
            </w:r>
          </w:p>
        </w:tc>
        <w:tc>
          <w:tcPr>
            <w:tcW w:w="2700" w:type="dxa"/>
          </w:tcPr>
          <w:p w14:paraId="45018EF2"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Data Protection Officer; privacy notice and DPIA</w:t>
            </w:r>
          </w:p>
        </w:tc>
      </w:tr>
      <w:tr w:rsidR="005E0D53" w:rsidRPr="00082665" w14:paraId="2CEB44D8" w14:textId="77777777" w:rsidTr="00E5182E">
        <w:tc>
          <w:tcPr>
            <w:tcW w:w="2300" w:type="dxa"/>
          </w:tcPr>
          <w:p w14:paraId="0D635905"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Under-representation / digital exclusion</w:t>
            </w:r>
          </w:p>
        </w:tc>
        <w:tc>
          <w:tcPr>
            <w:tcW w:w="4360" w:type="dxa"/>
          </w:tcPr>
          <w:p w14:paraId="375AD076"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Mixed channels, targeted quotas, community outreach, accessible formats and response-profile comparison.</w:t>
            </w:r>
          </w:p>
        </w:tc>
        <w:tc>
          <w:tcPr>
            <w:tcW w:w="2700" w:type="dxa"/>
          </w:tcPr>
          <w:p w14:paraId="31FC08D3"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DEI lead; weekly reach dashboard</w:t>
            </w:r>
          </w:p>
        </w:tc>
      </w:tr>
      <w:tr w:rsidR="005E0D53" w:rsidRPr="00082665" w14:paraId="113A5869" w14:textId="77777777" w:rsidTr="00E5182E">
        <w:tc>
          <w:tcPr>
            <w:tcW w:w="2300" w:type="dxa"/>
          </w:tcPr>
          <w:p w14:paraId="58BCE32A"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Facilitator or analysis bias</w:t>
            </w:r>
          </w:p>
        </w:tc>
        <w:tc>
          <w:tcPr>
            <w:tcW w:w="4360" w:type="dxa"/>
          </w:tcPr>
          <w:p w14:paraId="6163B426"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Neutral scripts, pilot questions, independent facilitation, dual coding and an audit trail.</w:t>
            </w:r>
          </w:p>
        </w:tc>
        <w:tc>
          <w:tcPr>
            <w:tcW w:w="2700" w:type="dxa"/>
          </w:tcPr>
          <w:p w14:paraId="4902F33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Research lead; codebook and quality review</w:t>
            </w:r>
          </w:p>
        </w:tc>
      </w:tr>
      <w:tr w:rsidR="005E0D53" w:rsidRPr="00082665" w14:paraId="77638857" w14:textId="77777777" w:rsidTr="00E5182E">
        <w:tc>
          <w:tcPr>
            <w:tcW w:w="2300" w:type="dxa"/>
          </w:tcPr>
          <w:p w14:paraId="065E612E"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t>Safeguarding failure</w:t>
            </w:r>
          </w:p>
        </w:tc>
        <w:tc>
          <w:tcPr>
            <w:tcW w:w="4360" w:type="dxa"/>
          </w:tcPr>
          <w:p w14:paraId="6DC2DB8E"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School protocols, assent/permission, staff presence, no unnecessary photos, escalation route.</w:t>
            </w:r>
          </w:p>
        </w:tc>
        <w:tc>
          <w:tcPr>
            <w:tcW w:w="2700" w:type="dxa"/>
          </w:tcPr>
          <w:p w14:paraId="676DB91D" w14:textId="77777777" w:rsidR="005E0D53" w:rsidRPr="00082665" w:rsidRDefault="005E0D53" w:rsidP="00E5182E">
            <w:pPr>
              <w:spacing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Safeguarding lead; session checklist</w:t>
            </w:r>
          </w:p>
        </w:tc>
      </w:tr>
      <w:tr w:rsidR="005E0D53" w:rsidRPr="00082665" w14:paraId="7412525C" w14:textId="77777777" w:rsidTr="00E5182E">
        <w:tc>
          <w:tcPr>
            <w:tcW w:w="2300" w:type="dxa"/>
          </w:tcPr>
          <w:p w14:paraId="407266A5" w14:textId="77777777" w:rsidR="005E0D53" w:rsidRPr="00082665" w:rsidRDefault="005E0D53" w:rsidP="00E5182E">
            <w:pPr>
              <w:spacing w:before="240" w:after="40" w:line="360" w:lineRule="auto"/>
              <w:jc w:val="both"/>
              <w:rPr>
                <w:rFonts w:ascii="Times New Roman" w:hAnsi="Times New Roman" w:cs="Times New Roman"/>
                <w:color w:val="20313C"/>
                <w:sz w:val="24"/>
                <w:szCs w:val="24"/>
              </w:rPr>
            </w:pPr>
            <w:r w:rsidRPr="00082665">
              <w:rPr>
                <w:rFonts w:ascii="Times New Roman" w:hAnsi="Times New Roman" w:cs="Times New Roman"/>
                <w:b/>
                <w:color w:val="20313C"/>
                <w:sz w:val="24"/>
                <w:szCs w:val="24"/>
              </w:rPr>
              <w:lastRenderedPageBreak/>
              <w:t>Feedback disappears</w:t>
            </w:r>
          </w:p>
        </w:tc>
        <w:tc>
          <w:tcPr>
            <w:tcW w:w="4360" w:type="dxa"/>
          </w:tcPr>
          <w:p w14:paraId="7FD89749" w14:textId="77777777" w:rsidR="005E0D53" w:rsidRPr="00082665" w:rsidRDefault="005E0D53" w:rsidP="00E5182E">
            <w:pPr>
              <w:spacing w:before="240"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Controlled register, decision criteria, panel review and public 'You said / We assessed / We will do / Why not' report.</w:t>
            </w:r>
          </w:p>
        </w:tc>
        <w:tc>
          <w:tcPr>
            <w:tcW w:w="2700" w:type="dxa"/>
          </w:tcPr>
          <w:p w14:paraId="3330D96F" w14:textId="77777777" w:rsidR="005E0D53" w:rsidRPr="00082665" w:rsidRDefault="005E0D53" w:rsidP="00E5182E">
            <w:pPr>
              <w:spacing w:before="240" w:after="40" w:line="360" w:lineRule="auto"/>
              <w:jc w:val="both"/>
              <w:rPr>
                <w:rFonts w:ascii="Times New Roman" w:hAnsi="Times New Roman" w:cs="Times New Roman"/>
                <w:color w:val="20313C"/>
                <w:sz w:val="24"/>
                <w:szCs w:val="24"/>
              </w:rPr>
            </w:pPr>
            <w:r w:rsidRPr="00082665">
              <w:rPr>
                <w:rFonts w:ascii="Times New Roman" w:hAnsi="Times New Roman" w:cs="Times New Roman"/>
                <w:color w:val="20313C"/>
                <w:sz w:val="24"/>
                <w:szCs w:val="24"/>
              </w:rPr>
              <w:t>Project manager; published consultation report</w:t>
            </w:r>
          </w:p>
        </w:tc>
      </w:tr>
    </w:tbl>
    <w:p w14:paraId="7DEE87DB" w14:textId="77777777" w:rsidR="005E0D53" w:rsidRPr="00004810" w:rsidRDefault="005E0D53" w:rsidP="005E0D53">
      <w:pPr>
        <w:spacing w:before="240" w:line="360" w:lineRule="auto"/>
        <w:jc w:val="center"/>
        <w:rPr>
          <w:rFonts w:ascii="Times New Roman" w:hAnsi="Times New Roman" w:cs="Times New Roman"/>
          <w:b/>
          <w:bCs/>
          <w:i/>
          <w:iCs/>
          <w:color w:val="000000" w:themeColor="text1"/>
          <w:sz w:val="24"/>
          <w:szCs w:val="24"/>
        </w:rPr>
      </w:pPr>
      <w:r w:rsidRPr="00004810">
        <w:rPr>
          <w:rFonts w:ascii="Times New Roman" w:hAnsi="Times New Roman" w:cs="Times New Roman"/>
          <w:b/>
          <w:bCs/>
          <w:i/>
          <w:iCs/>
          <w:color w:val="000000" w:themeColor="text1"/>
          <w:sz w:val="24"/>
          <w:szCs w:val="24"/>
        </w:rPr>
        <w:t>Source: Author's plan based on Cabinet Office (2018), Equality Act 2010, Data Protection Act 2018 and ICO (2024).</w:t>
      </w:r>
    </w:p>
    <w:p w14:paraId="42DEE740" w14:textId="77777777" w:rsidR="005E0D53" w:rsidRDefault="005E0D53" w:rsidP="005E0D53">
      <w:pPr>
        <w:rPr>
          <w:rFonts w:ascii="Times New Roman" w:hAnsi="Times New Roman" w:cs="Times New Roman"/>
          <w:sz w:val="24"/>
          <w:szCs w:val="24"/>
        </w:rPr>
      </w:pPr>
      <w:r>
        <w:rPr>
          <w:rFonts w:ascii="Times New Roman" w:hAnsi="Times New Roman" w:cs="Times New Roman"/>
          <w:sz w:val="24"/>
          <w:szCs w:val="24"/>
        </w:rPr>
        <w:br w:type="page"/>
      </w:r>
    </w:p>
    <w:p w14:paraId="7C5A647A" w14:textId="77777777" w:rsidR="005E0D53" w:rsidRPr="00004810" w:rsidRDefault="005E0D53" w:rsidP="005E0D53">
      <w:pPr>
        <w:pStyle w:val="Heading1"/>
        <w:spacing w:after="240"/>
        <w:rPr>
          <w:rFonts w:ascii="Times New Roman" w:hAnsi="Times New Roman" w:cs="Times New Roman"/>
          <w:b/>
          <w:bCs/>
          <w:color w:val="000000" w:themeColor="text1"/>
        </w:rPr>
      </w:pPr>
      <w:bookmarkStart w:id="7" w:name="_Toc238209076"/>
      <w:r w:rsidRPr="00004810">
        <w:rPr>
          <w:rFonts w:ascii="Times New Roman" w:hAnsi="Times New Roman" w:cs="Times New Roman"/>
          <w:b/>
          <w:bCs/>
          <w:color w:val="000000" w:themeColor="text1"/>
        </w:rPr>
        <w:lastRenderedPageBreak/>
        <w:t>Element 4: Conclusion and Reflective Account</w:t>
      </w:r>
      <w:bookmarkEnd w:id="7"/>
    </w:p>
    <w:p w14:paraId="32CDA18B" w14:textId="77777777" w:rsidR="005E0D53" w:rsidRPr="00004810" w:rsidRDefault="005E0D53" w:rsidP="005E0D53">
      <w:pPr>
        <w:pStyle w:val="Heading2"/>
        <w:spacing w:after="240"/>
        <w:rPr>
          <w:rFonts w:ascii="Times New Roman" w:hAnsi="Times New Roman" w:cs="Times New Roman"/>
          <w:b/>
          <w:bCs/>
          <w:color w:val="000000" w:themeColor="text1"/>
          <w:sz w:val="28"/>
          <w:szCs w:val="28"/>
        </w:rPr>
      </w:pPr>
      <w:bookmarkStart w:id="8" w:name="_Toc238209077"/>
      <w:r w:rsidRPr="00004810">
        <w:rPr>
          <w:rFonts w:ascii="Times New Roman" w:hAnsi="Times New Roman" w:cs="Times New Roman"/>
          <w:b/>
          <w:bCs/>
          <w:color w:val="000000" w:themeColor="text1"/>
          <w:sz w:val="28"/>
          <w:szCs w:val="28"/>
        </w:rPr>
        <w:t>4.1 Conclusion</w:t>
      </w:r>
      <w:bookmarkEnd w:id="8"/>
    </w:p>
    <w:p w14:paraId="15BB29D7" w14:textId="77777777" w:rsidR="005E0D53" w:rsidRPr="00B1790B" w:rsidRDefault="005E0D53" w:rsidP="005E0D53">
      <w:pPr>
        <w:spacing w:line="360" w:lineRule="auto"/>
        <w:jc w:val="both"/>
        <w:rPr>
          <w:rFonts w:ascii="Times New Roman" w:hAnsi="Times New Roman" w:cs="Times New Roman"/>
          <w:sz w:val="24"/>
          <w:szCs w:val="24"/>
        </w:rPr>
      </w:pPr>
      <w:proofErr w:type="spellStart"/>
      <w:r w:rsidRPr="00B1790B">
        <w:rPr>
          <w:rFonts w:ascii="Times New Roman" w:hAnsi="Times New Roman" w:cs="Times New Roman"/>
          <w:sz w:val="24"/>
          <w:szCs w:val="24"/>
        </w:rPr>
        <w:t>GreenLink</w:t>
      </w:r>
      <w:proofErr w:type="spellEnd"/>
      <w:r w:rsidRPr="00B1790B">
        <w:rPr>
          <w:rFonts w:ascii="Times New Roman" w:hAnsi="Times New Roman" w:cs="Times New Roman"/>
          <w:sz w:val="24"/>
          <w:szCs w:val="24"/>
        </w:rPr>
        <w:t xml:space="preserve"> Community Park is not presented as “a pretty park,” but as a stakeholder-led health, climate and place intervention. Newham's high population growth rate, rich diversity, and relatively high inactivity and poverty levels make the importance of free, inclusive public space important (ONS, 2023; Trust for London, 2026). However, the benefits of green space for health are dependent on the accessibility, quality, safety and use of green space. The recommended plan thus connects the stakeholder analysis with co-design, technical assessment, construction coordination and post-opening assessment. It pays careful attention to the formal controllers and deliberately empowers residents practically through a co-design panel and published decision rights.</w:t>
      </w:r>
      <w:r>
        <w:rPr>
          <w:rFonts w:ascii="Times New Roman" w:hAnsi="Times New Roman" w:cs="Times New Roman"/>
          <w:sz w:val="24"/>
          <w:szCs w:val="24"/>
        </w:rPr>
        <w:t xml:space="preserve"> </w:t>
      </w:r>
      <w:r w:rsidRPr="00B1790B">
        <w:rPr>
          <w:rFonts w:ascii="Times New Roman" w:hAnsi="Times New Roman" w:cs="Times New Roman"/>
          <w:sz w:val="24"/>
          <w:szCs w:val="24"/>
        </w:rPr>
        <w:t>The plan also has a realistic approach towards sustainability. Resources for London parks are being depleted: Parks funding has dropped by approximately 8% since 2008, and London's population grew by over 15% – the funds needed for capital enhancements if revenue is not maintained will be inadequate, the London Assembly warns (London Assembly, 2025). The monitoring report for Newham Council indicates that some £1.80 million of Community Infrastructure Levy funding was paid for parks operation and maintenance in 2022/23 and that people have voted for Parks through People Powered Places (Newham Council, 2024).</w:t>
      </w:r>
    </w:p>
    <w:p w14:paraId="4840D680" w14:textId="77777777" w:rsidR="005E0D53" w:rsidRPr="00004810" w:rsidRDefault="005E0D53" w:rsidP="005E0D53">
      <w:pPr>
        <w:pStyle w:val="Heading2"/>
        <w:spacing w:after="240"/>
        <w:rPr>
          <w:rFonts w:ascii="Times New Roman" w:hAnsi="Times New Roman" w:cs="Times New Roman"/>
          <w:b/>
          <w:bCs/>
          <w:color w:val="000000" w:themeColor="text1"/>
          <w:sz w:val="28"/>
          <w:szCs w:val="28"/>
        </w:rPr>
      </w:pPr>
      <w:bookmarkStart w:id="9" w:name="_Toc238209078"/>
      <w:r w:rsidRPr="00004810">
        <w:rPr>
          <w:rFonts w:ascii="Times New Roman" w:hAnsi="Times New Roman" w:cs="Times New Roman"/>
          <w:b/>
          <w:bCs/>
          <w:color w:val="000000" w:themeColor="text1"/>
          <w:sz w:val="28"/>
          <w:szCs w:val="28"/>
        </w:rPr>
        <w:t>4.2 Reflective account</w:t>
      </w:r>
      <w:bookmarkEnd w:id="9"/>
    </w:p>
    <w:p w14:paraId="7A71CB95" w14:textId="77777777" w:rsidR="005E0D53" w:rsidRPr="00B1790B" w:rsidRDefault="005E0D53" w:rsidP="005E0D53">
      <w:pPr>
        <w:spacing w:after="240"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As a Junior Stakeholder Manager, I was initially tempted to </w:t>
      </w:r>
      <w:proofErr w:type="spellStart"/>
      <w:r w:rsidRPr="00B1790B">
        <w:rPr>
          <w:rFonts w:ascii="Times New Roman" w:hAnsi="Times New Roman" w:cs="Times New Roman"/>
          <w:sz w:val="24"/>
          <w:szCs w:val="24"/>
        </w:rPr>
        <w:t>prioritise</w:t>
      </w:r>
      <w:proofErr w:type="spellEnd"/>
      <w:r w:rsidRPr="00B1790B">
        <w:rPr>
          <w:rFonts w:ascii="Times New Roman" w:hAnsi="Times New Roman" w:cs="Times New Roman"/>
          <w:sz w:val="24"/>
          <w:szCs w:val="24"/>
        </w:rPr>
        <w:t xml:space="preserve"> the stakeholders based on their power/authority. The mapping exercise revealed the reasons for this incompleteness. Knowledge extends beyond professional status: a planning officer or funder can stop the project, a parent who knows of unsafe routes, a wheelchair user who tests the gradients, or a young person who predicts whether a play space will actually be used. While Mitchell, Agle and Wood (1997) can help explain salience, ethical management must also involve a consideration of those things that the </w:t>
      </w:r>
      <w:proofErr w:type="spellStart"/>
      <w:r w:rsidRPr="00B1790B">
        <w:rPr>
          <w:rFonts w:ascii="Times New Roman" w:hAnsi="Times New Roman" w:cs="Times New Roman"/>
          <w:sz w:val="24"/>
          <w:szCs w:val="24"/>
        </w:rPr>
        <w:t>organisation</w:t>
      </w:r>
      <w:proofErr w:type="spellEnd"/>
      <w:r w:rsidRPr="00B1790B">
        <w:rPr>
          <w:rFonts w:ascii="Times New Roman" w:hAnsi="Times New Roman" w:cs="Times New Roman"/>
          <w:sz w:val="24"/>
          <w:szCs w:val="24"/>
        </w:rPr>
        <w:t xml:space="preserve"> might not care about or see as urgent. I would therefore consider the ratings as hypotheses to test, rather than labels in perpetuity.</w:t>
      </w:r>
    </w:p>
    <w:p w14:paraId="7A9C0039"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The second lesson relates to what engagement means. At first, having a high number of responses seemed to be the best indicator of success. Arnstein (1969) and Reed (2008) clarify that participation is not necessarily democratic if agendas and options are predetermined. Now I think </w:t>
      </w:r>
      <w:r w:rsidRPr="00B1790B">
        <w:rPr>
          <w:rFonts w:ascii="Times New Roman" w:hAnsi="Times New Roman" w:cs="Times New Roman"/>
          <w:sz w:val="24"/>
          <w:szCs w:val="24"/>
        </w:rPr>
        <w:lastRenderedPageBreak/>
        <w:t>traceability of influence is more important: stakeholders should be able to see which decisions they influenced, which evidence overrode a preference and who was responsible for the decision. The 'You said / We assessed / We will do / Why not' record is thus not a publicity document but a part of procedural fairness. It can also help to prevent frustration as disagreement is not hidden.</w:t>
      </w:r>
    </w:p>
    <w:p w14:paraId="4DC17687" w14:textId="77777777" w:rsidR="005E0D53" w:rsidRPr="00B1790B"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The third lesson is that inclusion does not just impact communication: It is an impact on project management. Budget, lead time and procurement for translation, childcare, accessible venues and targeted sessions. Designers should not be stuck with a layout of choice when an access audit and youth workshops have not taken place. There is also an impact on data protection – demographic monitoring should be done to identify exclusion, but could deter participation or reveal small groups. The pragmatic response is minimum necessary collection, clear purpose, separation of identifiers, secure handling and transparent reporting of gaps. This benchmark is more difficult than collecting all of it, or collecting none of the equality data.</w:t>
      </w:r>
    </w:p>
    <w:p w14:paraId="11ED0192" w14:textId="77777777" w:rsidR="005E0D53" w:rsidRDefault="005E0D53" w:rsidP="005E0D53">
      <w:pPr>
        <w:spacing w:line="360" w:lineRule="auto"/>
        <w:jc w:val="both"/>
        <w:rPr>
          <w:rFonts w:ascii="Times New Roman" w:hAnsi="Times New Roman" w:cs="Times New Roman"/>
          <w:sz w:val="24"/>
          <w:szCs w:val="24"/>
        </w:rPr>
      </w:pPr>
      <w:r w:rsidRPr="00B1790B">
        <w:rPr>
          <w:rFonts w:ascii="Times New Roman" w:hAnsi="Times New Roman" w:cs="Times New Roman"/>
          <w:sz w:val="24"/>
          <w:szCs w:val="24"/>
        </w:rPr>
        <w:t xml:space="preserve">My three commitments to improve my practice would be. First, a live stakeholder register would be kept with power, interest, sentiment and emerging risk reviewed monthly. Second, I would bring in independent facilitators for contested sessions and would ask the representatives of the residents to review the summaries for publication. Third, I would relate engagement to an assessment system that includes reach, quality, influence, equity and outcomes. As indicated by Rowe and </w:t>
      </w:r>
      <w:proofErr w:type="spellStart"/>
      <w:r w:rsidRPr="00B1790B">
        <w:rPr>
          <w:rFonts w:ascii="Times New Roman" w:hAnsi="Times New Roman" w:cs="Times New Roman"/>
          <w:sz w:val="24"/>
          <w:szCs w:val="24"/>
        </w:rPr>
        <w:t>Frewer</w:t>
      </w:r>
      <w:proofErr w:type="spellEnd"/>
      <w:r w:rsidRPr="00B1790B">
        <w:rPr>
          <w:rFonts w:ascii="Times New Roman" w:hAnsi="Times New Roman" w:cs="Times New Roman"/>
          <w:sz w:val="24"/>
          <w:szCs w:val="24"/>
        </w:rPr>
        <w:t xml:space="preserve"> (2000), no one method meets all the criteria and, as shown by </w:t>
      </w:r>
      <w:proofErr w:type="spellStart"/>
      <w:r w:rsidRPr="00B1790B">
        <w:rPr>
          <w:rFonts w:ascii="Times New Roman" w:hAnsi="Times New Roman" w:cs="Times New Roman"/>
          <w:sz w:val="24"/>
          <w:szCs w:val="24"/>
        </w:rPr>
        <w:t>Newig</w:t>
      </w:r>
      <w:proofErr w:type="spellEnd"/>
      <w:r w:rsidRPr="00B1790B">
        <w:rPr>
          <w:rFonts w:ascii="Times New Roman" w:hAnsi="Times New Roman" w:cs="Times New Roman"/>
          <w:sz w:val="24"/>
          <w:szCs w:val="24"/>
        </w:rPr>
        <w:t xml:space="preserve"> et al. (2023), participation functions through conditions like collaboration and learning. A mixed and staged process in that regard, therefore, is more defensible than being based on one survey or public meeting. In general, good engagement with stakeholders is critical to the success of a project</w:t>
      </w:r>
      <w:r>
        <w:rPr>
          <w:rFonts w:ascii="Times New Roman" w:hAnsi="Times New Roman" w:cs="Times New Roman"/>
          <w:sz w:val="24"/>
          <w:szCs w:val="24"/>
        </w:rPr>
        <w:t>,</w:t>
      </w:r>
      <w:r w:rsidRPr="00B1790B">
        <w:rPr>
          <w:rFonts w:ascii="Times New Roman" w:hAnsi="Times New Roman" w:cs="Times New Roman"/>
          <w:sz w:val="24"/>
          <w:szCs w:val="24"/>
        </w:rPr>
        <w:t xml:space="preserve"> as it enhances local knowledge, enhances legitimacy, helps identify risks, and facilitates usability of the design and implementation.</w:t>
      </w:r>
    </w:p>
    <w:p w14:paraId="4C62006D" w14:textId="77777777" w:rsidR="005E0D53" w:rsidRDefault="005E0D53" w:rsidP="005E0D53">
      <w:pPr>
        <w:rPr>
          <w:rFonts w:ascii="Times New Roman" w:hAnsi="Times New Roman" w:cs="Times New Roman"/>
          <w:sz w:val="24"/>
          <w:szCs w:val="24"/>
        </w:rPr>
      </w:pPr>
      <w:r>
        <w:rPr>
          <w:rFonts w:ascii="Times New Roman" w:hAnsi="Times New Roman" w:cs="Times New Roman"/>
          <w:sz w:val="24"/>
          <w:szCs w:val="24"/>
        </w:rPr>
        <w:br w:type="page"/>
      </w:r>
    </w:p>
    <w:p w14:paraId="66B72CE3" w14:textId="77777777" w:rsidR="005E0D53" w:rsidRPr="00004810" w:rsidRDefault="005E0D53" w:rsidP="005E0D53">
      <w:pPr>
        <w:pStyle w:val="Heading1"/>
        <w:spacing w:after="240"/>
        <w:rPr>
          <w:rFonts w:ascii="Times New Roman" w:hAnsi="Times New Roman" w:cs="Times New Roman"/>
          <w:b/>
          <w:bCs/>
          <w:color w:val="000000" w:themeColor="text1"/>
        </w:rPr>
      </w:pPr>
      <w:bookmarkStart w:id="10" w:name="_Toc238209079"/>
      <w:r w:rsidRPr="00004810">
        <w:rPr>
          <w:rFonts w:ascii="Times New Roman" w:hAnsi="Times New Roman" w:cs="Times New Roman"/>
          <w:b/>
          <w:bCs/>
          <w:color w:val="000000" w:themeColor="text1"/>
        </w:rPr>
        <w:lastRenderedPageBreak/>
        <w:t>References</w:t>
      </w:r>
      <w:bookmarkEnd w:id="10"/>
    </w:p>
    <w:p w14:paraId="1C41F1C2"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 xml:space="preserve">Arnstein, S.R. (1969) 'A ladder of citizen participation', Journal of the American Institute of Planners, 35(4), pp. 216-224.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10.1080/01944366908977225.</w:t>
      </w:r>
    </w:p>
    <w:p w14:paraId="28E46B88"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 xml:space="preserve">Bryson, J.M. (2004) 'What to do when stakeholders matter', Public Management Review, 6(1), pp. 21-53.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10.1080/14719030410001675722.</w:t>
      </w:r>
    </w:p>
    <w:p w14:paraId="5DFE01E4"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Cabinet Office (2018) Consultation Principles 2018. Available at: https://www.gov.uk/government/publications/consultation-principles-guidance (Accessed: 20 August 2026).</w:t>
      </w:r>
    </w:p>
    <w:p w14:paraId="749B7E96"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Data Protection Act 2018, c.12. Available at: https://www.legislation.gov.uk/ukpga/2018/12/contents (Accessed: 20 August 2026).</w:t>
      </w:r>
    </w:p>
    <w:p w14:paraId="0C543CE0"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Equality Act 2010, c.15. Available at: https://www.legislation.gov.uk/ukpga/2010/15/contents (Accessed: 20 August 2026).</w:t>
      </w:r>
    </w:p>
    <w:p w14:paraId="16B024EF"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Freeman, R.E. (1984) Strategic Management: A Stakeholder Approach. Boston: Pitman.</w:t>
      </w:r>
    </w:p>
    <w:p w14:paraId="7E85AA34"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Greater London Authority (2018) London Environment Strategy. London: GLA. Available at: https://www.london.gov.uk/programmes-and-strategies/environment-and-climate-change/london-environment-strategy (Accessed: 20 August 2026).</w:t>
      </w:r>
    </w:p>
    <w:p w14:paraId="68DF94BC"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Information Commissioner's Office (ICO) (2024) Special category data. Available at: https://ico.org.uk/for-organisations/uk-gdpr-guidance-and-resources/lawful-basis/special-category-data/ (Accessed: 20 August 2026).</w:t>
      </w:r>
    </w:p>
    <w:p w14:paraId="6459D646"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 xml:space="preserve">Jager, N.W., </w:t>
      </w:r>
      <w:proofErr w:type="spellStart"/>
      <w:r w:rsidRPr="00004810">
        <w:rPr>
          <w:rFonts w:ascii="Times New Roman" w:hAnsi="Times New Roman" w:cs="Times New Roman"/>
          <w:sz w:val="24"/>
          <w:szCs w:val="24"/>
        </w:rPr>
        <w:t>Newig</w:t>
      </w:r>
      <w:proofErr w:type="spellEnd"/>
      <w:r w:rsidRPr="00004810">
        <w:rPr>
          <w:rFonts w:ascii="Times New Roman" w:hAnsi="Times New Roman" w:cs="Times New Roman"/>
          <w:sz w:val="24"/>
          <w:szCs w:val="24"/>
        </w:rPr>
        <w:t xml:space="preserve">, J., </w:t>
      </w:r>
      <w:proofErr w:type="spellStart"/>
      <w:r w:rsidRPr="00004810">
        <w:rPr>
          <w:rFonts w:ascii="Times New Roman" w:hAnsi="Times New Roman" w:cs="Times New Roman"/>
          <w:sz w:val="24"/>
          <w:szCs w:val="24"/>
        </w:rPr>
        <w:t>Challies</w:t>
      </w:r>
      <w:proofErr w:type="spellEnd"/>
      <w:r w:rsidRPr="00004810">
        <w:rPr>
          <w:rFonts w:ascii="Times New Roman" w:hAnsi="Times New Roman" w:cs="Times New Roman"/>
          <w:sz w:val="24"/>
          <w:szCs w:val="24"/>
        </w:rPr>
        <w:t xml:space="preserve">, E. and </w:t>
      </w:r>
      <w:proofErr w:type="spellStart"/>
      <w:r w:rsidRPr="00004810">
        <w:rPr>
          <w:rFonts w:ascii="Times New Roman" w:hAnsi="Times New Roman" w:cs="Times New Roman"/>
          <w:sz w:val="24"/>
          <w:szCs w:val="24"/>
        </w:rPr>
        <w:t>Kochskaemper</w:t>
      </w:r>
      <w:proofErr w:type="spellEnd"/>
      <w:r w:rsidRPr="00004810">
        <w:rPr>
          <w:rFonts w:ascii="Times New Roman" w:hAnsi="Times New Roman" w:cs="Times New Roman"/>
          <w:sz w:val="24"/>
          <w:szCs w:val="24"/>
        </w:rPr>
        <w:t xml:space="preserve">, E. (2020) 'Pathways to implementation: evidence on how participation in environmental governance impacts on environmental outcomes', Journal of Public Administration Research and Theory, 30(3), pp. 383-399.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10.1093/</w:t>
      </w:r>
      <w:proofErr w:type="spellStart"/>
      <w:r w:rsidRPr="00004810">
        <w:rPr>
          <w:rFonts w:ascii="Times New Roman" w:hAnsi="Times New Roman" w:cs="Times New Roman"/>
          <w:sz w:val="24"/>
          <w:szCs w:val="24"/>
        </w:rPr>
        <w:t>jopart</w:t>
      </w:r>
      <w:proofErr w:type="spellEnd"/>
      <w:r w:rsidRPr="00004810">
        <w:rPr>
          <w:rFonts w:ascii="Times New Roman" w:hAnsi="Times New Roman" w:cs="Times New Roman"/>
          <w:sz w:val="24"/>
          <w:szCs w:val="24"/>
        </w:rPr>
        <w:t>/muz034.</w:t>
      </w:r>
    </w:p>
    <w:p w14:paraId="657E1D6F"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 xml:space="preserve">Kondo, M.C., Fluehr, J.M., McKeon, T. and Branas, C.C. (2018) 'Urban green space and its impact on human health', International Journal of Environmental Research and Public Health, 15(3), 445.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10.3390/ijerph15030445.</w:t>
      </w:r>
    </w:p>
    <w:p w14:paraId="323C1BA5"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lastRenderedPageBreak/>
        <w:t>L&amp;Q (2025) Sustainability Report 2024/25. Available at: https://www.lqgroup.org.uk/investors/investor-information (Accessed: 20 August 2026).</w:t>
      </w:r>
    </w:p>
    <w:p w14:paraId="46FD4722"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 xml:space="preserve">Lee, A.C.K. and Maheswaran, R. (2011) 'The health benefits of urban green spaces: a review of the evidence', Journal of Public Health, 33(2), pp. 212-222.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10.1093/</w:t>
      </w:r>
      <w:proofErr w:type="spellStart"/>
      <w:r w:rsidRPr="00004810">
        <w:rPr>
          <w:rFonts w:ascii="Times New Roman" w:hAnsi="Times New Roman" w:cs="Times New Roman"/>
          <w:sz w:val="24"/>
          <w:szCs w:val="24"/>
        </w:rPr>
        <w:t>pubmed</w:t>
      </w:r>
      <w:proofErr w:type="spellEnd"/>
      <w:r w:rsidRPr="00004810">
        <w:rPr>
          <w:rFonts w:ascii="Times New Roman" w:hAnsi="Times New Roman" w:cs="Times New Roman"/>
          <w:sz w:val="24"/>
          <w:szCs w:val="24"/>
        </w:rPr>
        <w:t>/fdq068.</w:t>
      </w:r>
    </w:p>
    <w:p w14:paraId="7D9EB40C"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London Assembly Environment Committee (2025) Parks: Under Pressure. London: Greater London Authority. Available at: https://www.london.gov.uk/ (Accessed: 20 August 2026).</w:t>
      </w:r>
    </w:p>
    <w:p w14:paraId="4C6E2240"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 xml:space="preserve">Mitchell, R.K., Agle, B.R. and Wood, D.J. (1997) 'Toward a theory of stakeholder identification and salience', Academy of Management Review, 22(4), pp. 853-886.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10.5465/amr.1997.9711022105.</w:t>
      </w:r>
    </w:p>
    <w:p w14:paraId="3824CEB0"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Newham Council (2024) Authority Monitoring Report 2022-2023. London: London Borough of Newham. Available at: https://www.newham.gov.uk/downloads/file/8282/amr-2022-23-final (Accessed: 20 August 2026).</w:t>
      </w:r>
    </w:p>
    <w:p w14:paraId="7719FCD1"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Newham Council (2025a) 50 Steps to a Healthier Newham: 2024/25 Annual Report. London: London Borough of Newham. Available at: https://www.newham.gov.uk/downloads/file/9883/50-steps-2024-2025-annual-report (Accessed: 20 August 2026).</w:t>
      </w:r>
    </w:p>
    <w:p w14:paraId="3B04D7AF"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Newham Council (2025b) Newham Green and Water Infrastructure Strategy: Delivery Toolkit. London: London Borough of Newham. Available at: https://www.newham.gov.uk/downloads/file/9501/eb067-newham-green-and-water-infrastructure-strategy-section-8-delivery-toolkit-2025-pdf- (Accessed: 20 August 2026).</w:t>
      </w:r>
    </w:p>
    <w:p w14:paraId="43D334DB"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Newham Council (2026a) Physical Activity Health Needs Assessment. London: London Borough of Newham. Available at: https://www.newham.gov.uk/downloads/file/10656/physical-activity-health-needs-assessment (Accessed: 20 August 2026).</w:t>
      </w:r>
    </w:p>
    <w:p w14:paraId="189F9F0F"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Newham Council (2026b) Our Just Transition Plan. Available at: https://www.newham.gov.uk/climate-action-newham/our-climate-action-strategy (Accessed: 20 August 2026).</w:t>
      </w:r>
    </w:p>
    <w:p w14:paraId="3EA5D2B3" w14:textId="77777777" w:rsidR="005E0D53" w:rsidRPr="00004810" w:rsidRDefault="005E0D53" w:rsidP="005E0D53">
      <w:pPr>
        <w:spacing w:line="360" w:lineRule="auto"/>
        <w:jc w:val="both"/>
        <w:rPr>
          <w:rFonts w:ascii="Times New Roman" w:hAnsi="Times New Roman" w:cs="Times New Roman"/>
          <w:sz w:val="24"/>
          <w:szCs w:val="24"/>
        </w:rPr>
      </w:pPr>
      <w:proofErr w:type="spellStart"/>
      <w:r w:rsidRPr="00004810">
        <w:rPr>
          <w:rFonts w:ascii="Times New Roman" w:hAnsi="Times New Roman" w:cs="Times New Roman"/>
          <w:sz w:val="24"/>
          <w:szCs w:val="24"/>
        </w:rPr>
        <w:lastRenderedPageBreak/>
        <w:t>Newig</w:t>
      </w:r>
      <w:proofErr w:type="spellEnd"/>
      <w:r w:rsidRPr="00004810">
        <w:rPr>
          <w:rFonts w:ascii="Times New Roman" w:hAnsi="Times New Roman" w:cs="Times New Roman"/>
          <w:sz w:val="24"/>
          <w:szCs w:val="24"/>
        </w:rPr>
        <w:t xml:space="preserve">, J., Jager, N.W., </w:t>
      </w:r>
      <w:proofErr w:type="spellStart"/>
      <w:r w:rsidRPr="00004810">
        <w:rPr>
          <w:rFonts w:ascii="Times New Roman" w:hAnsi="Times New Roman" w:cs="Times New Roman"/>
          <w:sz w:val="24"/>
          <w:szCs w:val="24"/>
        </w:rPr>
        <w:t>Challies</w:t>
      </w:r>
      <w:proofErr w:type="spellEnd"/>
      <w:r w:rsidRPr="00004810">
        <w:rPr>
          <w:rFonts w:ascii="Times New Roman" w:hAnsi="Times New Roman" w:cs="Times New Roman"/>
          <w:sz w:val="24"/>
          <w:szCs w:val="24"/>
        </w:rPr>
        <w:t xml:space="preserve">, E. and </w:t>
      </w:r>
      <w:proofErr w:type="spellStart"/>
      <w:r w:rsidRPr="00004810">
        <w:rPr>
          <w:rFonts w:ascii="Times New Roman" w:hAnsi="Times New Roman" w:cs="Times New Roman"/>
          <w:sz w:val="24"/>
          <w:szCs w:val="24"/>
        </w:rPr>
        <w:t>Kochskaemper</w:t>
      </w:r>
      <w:proofErr w:type="spellEnd"/>
      <w:r w:rsidRPr="00004810">
        <w:rPr>
          <w:rFonts w:ascii="Times New Roman" w:hAnsi="Times New Roman" w:cs="Times New Roman"/>
          <w:sz w:val="24"/>
          <w:szCs w:val="24"/>
        </w:rPr>
        <w:t xml:space="preserve">, E. (2023) 'Does stakeholder participation improve environmental governance? Evidence from a meta-analysis of 305 case studies', Global Environmental Change, 82, 102705.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10.1016/j.gloenvcha.2023.102705.</w:t>
      </w:r>
    </w:p>
    <w:p w14:paraId="7A90E51B"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Nguyen, P.-Y., Astell-Burt, T., Rahimi-</w:t>
      </w:r>
      <w:proofErr w:type="spellStart"/>
      <w:r w:rsidRPr="00004810">
        <w:rPr>
          <w:rFonts w:ascii="Times New Roman" w:hAnsi="Times New Roman" w:cs="Times New Roman"/>
          <w:sz w:val="24"/>
          <w:szCs w:val="24"/>
        </w:rPr>
        <w:t>Ardabili</w:t>
      </w:r>
      <w:proofErr w:type="spellEnd"/>
      <w:r w:rsidRPr="00004810">
        <w:rPr>
          <w:rFonts w:ascii="Times New Roman" w:hAnsi="Times New Roman" w:cs="Times New Roman"/>
          <w:sz w:val="24"/>
          <w:szCs w:val="24"/>
        </w:rPr>
        <w:t xml:space="preserve">, H. and Feng, X. (2021) 'Green space quality and health: a systematic review', International Journal of Environmental Research and Public Health, 18(21), 11028.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10.3390/ijerph182111028.</w:t>
      </w:r>
    </w:p>
    <w:p w14:paraId="23B232F9"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Office for National Statistics (ONS) (2023) How life has changed in Newham: Census 2021. Available at: https://www.ons.gov.uk/visualisations/censusareachanges/E09000025 (Accessed: 20 August 2026).</w:t>
      </w:r>
    </w:p>
    <w:p w14:paraId="065A3F2C"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 xml:space="preserve">Reed, M.S. (2008) 'Stakeholder participation for environmental management: a literature review', Biological Conservation, 141(10), pp. 2417-2431.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10.1016/j.biocon.2008.07.014.</w:t>
      </w:r>
    </w:p>
    <w:p w14:paraId="4F361DC0"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 xml:space="preserve">Rowe, G. and </w:t>
      </w:r>
      <w:proofErr w:type="spellStart"/>
      <w:r w:rsidRPr="00004810">
        <w:rPr>
          <w:rFonts w:ascii="Times New Roman" w:hAnsi="Times New Roman" w:cs="Times New Roman"/>
          <w:sz w:val="24"/>
          <w:szCs w:val="24"/>
        </w:rPr>
        <w:t>Frewer</w:t>
      </w:r>
      <w:proofErr w:type="spellEnd"/>
      <w:r w:rsidRPr="00004810">
        <w:rPr>
          <w:rFonts w:ascii="Times New Roman" w:hAnsi="Times New Roman" w:cs="Times New Roman"/>
          <w:sz w:val="24"/>
          <w:szCs w:val="24"/>
        </w:rPr>
        <w:t xml:space="preserve">, L.J. (2000) 'Public participation methods: a framework for evaluation', Science, Technology, &amp; Human Values, 25(1), pp. 3-29.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10.1177/016224390002500101.</w:t>
      </w:r>
    </w:p>
    <w:p w14:paraId="6A203360"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 xml:space="preserve">Rowe, G. and </w:t>
      </w:r>
      <w:proofErr w:type="spellStart"/>
      <w:r w:rsidRPr="00004810">
        <w:rPr>
          <w:rFonts w:ascii="Times New Roman" w:hAnsi="Times New Roman" w:cs="Times New Roman"/>
          <w:sz w:val="24"/>
          <w:szCs w:val="24"/>
        </w:rPr>
        <w:t>Frewer</w:t>
      </w:r>
      <w:proofErr w:type="spellEnd"/>
      <w:r w:rsidRPr="00004810">
        <w:rPr>
          <w:rFonts w:ascii="Times New Roman" w:hAnsi="Times New Roman" w:cs="Times New Roman"/>
          <w:sz w:val="24"/>
          <w:szCs w:val="24"/>
        </w:rPr>
        <w:t xml:space="preserve">, L.J. (2005) 'A typology of public engagement mechanisms', Science, Technology, &amp; Human Values, 30(2), pp. 251-290. </w:t>
      </w:r>
      <w:proofErr w:type="spellStart"/>
      <w:r w:rsidRPr="00004810">
        <w:rPr>
          <w:rFonts w:ascii="Times New Roman" w:hAnsi="Times New Roman" w:cs="Times New Roman"/>
          <w:sz w:val="24"/>
          <w:szCs w:val="24"/>
        </w:rPr>
        <w:t>doi</w:t>
      </w:r>
      <w:proofErr w:type="spellEnd"/>
      <w:r w:rsidRPr="00004810">
        <w:rPr>
          <w:rFonts w:ascii="Times New Roman" w:hAnsi="Times New Roman" w:cs="Times New Roman"/>
          <w:sz w:val="24"/>
          <w:szCs w:val="24"/>
        </w:rPr>
        <w:t>: 10.1177/0162243904271724.</w:t>
      </w:r>
    </w:p>
    <w:p w14:paraId="705FE7E7"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The Guardian (2024) 'Urban green spaces have vital role in cutting heat-related deaths, study finds', 22 October. Available at: https://www.theguardian.com/environment/2024/oct/22/urban-green-spaces-vital-role-cutting-heat-related-deaths-study (Accessed: 20 August 2026).</w:t>
      </w:r>
    </w:p>
    <w:p w14:paraId="2A5076B1"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Transport for London (TfL) (2025) Annual Report 2024/25. Available at: https://tfl.gov.uk/corporate/publications-and-reports/annual-report (Accessed: 20 August 2026).</w:t>
      </w:r>
    </w:p>
    <w:p w14:paraId="6BE61BD2" w14:textId="77777777" w:rsidR="005E0D53" w:rsidRPr="00004810"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Trust for London (2026) Poverty and inequality data for Newham. Available at: https://trustforlondon.org.uk/data/boroughs/newham-poverty-and-inequality-indicators/ (Accessed: 20 August 2026).</w:t>
      </w:r>
    </w:p>
    <w:p w14:paraId="75C637FA" w14:textId="77777777" w:rsidR="005E0D53" w:rsidRPr="00B1790B" w:rsidRDefault="005E0D53" w:rsidP="005E0D53">
      <w:pPr>
        <w:spacing w:line="360" w:lineRule="auto"/>
        <w:jc w:val="both"/>
        <w:rPr>
          <w:rFonts w:ascii="Times New Roman" w:hAnsi="Times New Roman" w:cs="Times New Roman"/>
          <w:sz w:val="24"/>
          <w:szCs w:val="24"/>
        </w:rPr>
      </w:pPr>
      <w:r w:rsidRPr="00004810">
        <w:rPr>
          <w:rFonts w:ascii="Times New Roman" w:hAnsi="Times New Roman" w:cs="Times New Roman"/>
          <w:sz w:val="24"/>
          <w:szCs w:val="24"/>
        </w:rPr>
        <w:t>UK Government (2023) Public Sector Equality Duty: guidance for public authorities. Available at: https://www.gov.uk/government/publications/public-sector-equality-duty-guidance-for-public-authorities (Accessed: 20 August 2026)</w:t>
      </w:r>
    </w:p>
    <w:p w14:paraId="6B2B83C4" w14:textId="77777777" w:rsidR="006F3984" w:rsidRDefault="006F3984"/>
    <w:sectPr w:rsidR="006F3984" w:rsidSect="005E0D53">
      <w:pgSz w:w="12240" w:h="15840"/>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166704"/>
      <w:docPartObj>
        <w:docPartGallery w:val="Page Numbers (Bottom of Page)"/>
        <w:docPartUnique/>
      </w:docPartObj>
    </w:sdtPr>
    <w:sdtEndPr>
      <w:rPr>
        <w:noProof/>
      </w:rPr>
    </w:sdtEndPr>
    <w:sdtContent>
      <w:p w14:paraId="36FD5C91"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D4FAAC"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8D4"/>
    <w:rsid w:val="002677B6"/>
    <w:rsid w:val="003A0D58"/>
    <w:rsid w:val="00422B72"/>
    <w:rsid w:val="005E0D53"/>
    <w:rsid w:val="00665617"/>
    <w:rsid w:val="006F3984"/>
    <w:rsid w:val="0097166F"/>
    <w:rsid w:val="009C4099"/>
    <w:rsid w:val="00A007AC"/>
    <w:rsid w:val="00B82C70"/>
    <w:rsid w:val="00BB61B5"/>
    <w:rsid w:val="00C74EA9"/>
    <w:rsid w:val="00D12DB8"/>
    <w:rsid w:val="00D91E1F"/>
    <w:rsid w:val="00E25E7F"/>
    <w:rsid w:val="00F03BB0"/>
    <w:rsid w:val="00FE18D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3136E"/>
  <w15:chartTrackingRefBased/>
  <w15:docId w15:val="{7D402FDB-8352-4402-8A57-BBF46A38C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D53"/>
    <w:rPr>
      <w:kern w:val="0"/>
      <w:szCs w:val="22"/>
      <w:lang w:val="en-US" w:bidi="ar-SA"/>
      <w14:ligatures w14:val="none"/>
    </w:rPr>
  </w:style>
  <w:style w:type="paragraph" w:styleId="Heading1">
    <w:name w:val="heading 1"/>
    <w:basedOn w:val="Normal"/>
    <w:next w:val="Normal"/>
    <w:link w:val="Heading1Char"/>
    <w:uiPriority w:val="9"/>
    <w:qFormat/>
    <w:rsid w:val="00FE18D4"/>
    <w:pPr>
      <w:keepNext/>
      <w:keepLines/>
      <w:spacing w:before="360" w:after="80"/>
      <w:outlineLvl w:val="0"/>
    </w:pPr>
    <w:rPr>
      <w:rFonts w:asciiTheme="majorHAnsi" w:eastAsiaTheme="majorEastAsia" w:hAnsiTheme="majorHAnsi" w:cstheme="majorBidi"/>
      <w:color w:val="0F4761" w:themeColor="accent1" w:themeShade="BF"/>
      <w:kern w:val="2"/>
      <w:sz w:val="40"/>
      <w:szCs w:val="50"/>
      <w:lang w:val="en-GB" w:bidi="bn-BD"/>
      <w14:ligatures w14:val="standardContextual"/>
    </w:rPr>
  </w:style>
  <w:style w:type="paragraph" w:styleId="Heading2">
    <w:name w:val="heading 2"/>
    <w:basedOn w:val="Normal"/>
    <w:next w:val="Normal"/>
    <w:link w:val="Heading2Char"/>
    <w:uiPriority w:val="9"/>
    <w:unhideWhenUsed/>
    <w:qFormat/>
    <w:rsid w:val="00FE18D4"/>
    <w:pPr>
      <w:keepNext/>
      <w:keepLines/>
      <w:spacing w:before="160" w:after="80"/>
      <w:outlineLvl w:val="1"/>
    </w:pPr>
    <w:rPr>
      <w:rFonts w:asciiTheme="majorHAnsi" w:eastAsiaTheme="majorEastAsia" w:hAnsiTheme="majorHAnsi" w:cstheme="majorBidi"/>
      <w:color w:val="0F4761" w:themeColor="accent1" w:themeShade="BF"/>
      <w:kern w:val="2"/>
      <w:sz w:val="32"/>
      <w:szCs w:val="40"/>
      <w:lang w:val="en-GB" w:bidi="bn-BD"/>
      <w14:ligatures w14:val="standardContextual"/>
    </w:rPr>
  </w:style>
  <w:style w:type="paragraph" w:styleId="Heading3">
    <w:name w:val="heading 3"/>
    <w:basedOn w:val="Normal"/>
    <w:next w:val="Normal"/>
    <w:link w:val="Heading3Char"/>
    <w:uiPriority w:val="9"/>
    <w:semiHidden/>
    <w:unhideWhenUsed/>
    <w:qFormat/>
    <w:rsid w:val="00FE18D4"/>
    <w:pPr>
      <w:keepNext/>
      <w:keepLines/>
      <w:spacing w:before="160" w:after="80"/>
      <w:outlineLvl w:val="2"/>
    </w:pPr>
    <w:rPr>
      <w:rFonts w:eastAsiaTheme="majorEastAsia" w:cstheme="majorBidi"/>
      <w:color w:val="0F4761" w:themeColor="accent1" w:themeShade="BF"/>
      <w:kern w:val="2"/>
      <w:sz w:val="28"/>
      <w:szCs w:val="35"/>
      <w:lang w:val="en-GB" w:bidi="bn-BD"/>
      <w14:ligatures w14:val="standardContextual"/>
    </w:rPr>
  </w:style>
  <w:style w:type="paragraph" w:styleId="Heading4">
    <w:name w:val="heading 4"/>
    <w:basedOn w:val="Normal"/>
    <w:next w:val="Normal"/>
    <w:link w:val="Heading4Char"/>
    <w:uiPriority w:val="9"/>
    <w:semiHidden/>
    <w:unhideWhenUsed/>
    <w:qFormat/>
    <w:rsid w:val="00FE18D4"/>
    <w:pPr>
      <w:keepNext/>
      <w:keepLines/>
      <w:spacing w:before="80" w:after="40"/>
      <w:outlineLvl w:val="3"/>
    </w:pPr>
    <w:rPr>
      <w:rFonts w:eastAsiaTheme="majorEastAsia" w:cstheme="majorBidi"/>
      <w:i/>
      <w:iCs/>
      <w:color w:val="0F4761" w:themeColor="accent1" w:themeShade="BF"/>
      <w:kern w:val="2"/>
      <w:szCs w:val="28"/>
      <w:lang w:val="en-GB" w:bidi="bn-BD"/>
      <w14:ligatures w14:val="standardContextual"/>
    </w:rPr>
  </w:style>
  <w:style w:type="paragraph" w:styleId="Heading5">
    <w:name w:val="heading 5"/>
    <w:basedOn w:val="Normal"/>
    <w:next w:val="Normal"/>
    <w:link w:val="Heading5Char"/>
    <w:uiPriority w:val="9"/>
    <w:semiHidden/>
    <w:unhideWhenUsed/>
    <w:qFormat/>
    <w:rsid w:val="00FE18D4"/>
    <w:pPr>
      <w:keepNext/>
      <w:keepLines/>
      <w:spacing w:before="80" w:after="40"/>
      <w:outlineLvl w:val="4"/>
    </w:pPr>
    <w:rPr>
      <w:rFonts w:eastAsiaTheme="majorEastAsia" w:cstheme="majorBidi"/>
      <w:color w:val="0F4761" w:themeColor="accent1" w:themeShade="BF"/>
      <w:kern w:val="2"/>
      <w:szCs w:val="28"/>
      <w:lang w:val="en-GB" w:bidi="bn-BD"/>
      <w14:ligatures w14:val="standardContextual"/>
    </w:rPr>
  </w:style>
  <w:style w:type="paragraph" w:styleId="Heading6">
    <w:name w:val="heading 6"/>
    <w:basedOn w:val="Normal"/>
    <w:next w:val="Normal"/>
    <w:link w:val="Heading6Char"/>
    <w:uiPriority w:val="9"/>
    <w:semiHidden/>
    <w:unhideWhenUsed/>
    <w:qFormat/>
    <w:rsid w:val="00FE18D4"/>
    <w:pPr>
      <w:keepNext/>
      <w:keepLines/>
      <w:spacing w:before="40" w:after="0"/>
      <w:outlineLvl w:val="5"/>
    </w:pPr>
    <w:rPr>
      <w:rFonts w:eastAsiaTheme="majorEastAsia" w:cstheme="majorBidi"/>
      <w:i/>
      <w:iCs/>
      <w:color w:val="595959" w:themeColor="text1" w:themeTint="A6"/>
      <w:kern w:val="2"/>
      <w:szCs w:val="28"/>
      <w:lang w:val="en-GB" w:bidi="bn-BD"/>
      <w14:ligatures w14:val="standardContextual"/>
    </w:rPr>
  </w:style>
  <w:style w:type="paragraph" w:styleId="Heading7">
    <w:name w:val="heading 7"/>
    <w:basedOn w:val="Normal"/>
    <w:next w:val="Normal"/>
    <w:link w:val="Heading7Char"/>
    <w:uiPriority w:val="9"/>
    <w:semiHidden/>
    <w:unhideWhenUsed/>
    <w:qFormat/>
    <w:rsid w:val="00FE18D4"/>
    <w:pPr>
      <w:keepNext/>
      <w:keepLines/>
      <w:spacing w:before="40" w:after="0"/>
      <w:outlineLvl w:val="6"/>
    </w:pPr>
    <w:rPr>
      <w:rFonts w:eastAsiaTheme="majorEastAsia" w:cstheme="majorBidi"/>
      <w:color w:val="595959" w:themeColor="text1" w:themeTint="A6"/>
      <w:kern w:val="2"/>
      <w:szCs w:val="28"/>
      <w:lang w:val="en-GB" w:bidi="bn-BD"/>
      <w14:ligatures w14:val="standardContextual"/>
    </w:rPr>
  </w:style>
  <w:style w:type="paragraph" w:styleId="Heading8">
    <w:name w:val="heading 8"/>
    <w:basedOn w:val="Normal"/>
    <w:next w:val="Normal"/>
    <w:link w:val="Heading8Char"/>
    <w:uiPriority w:val="9"/>
    <w:semiHidden/>
    <w:unhideWhenUsed/>
    <w:qFormat/>
    <w:rsid w:val="00FE18D4"/>
    <w:pPr>
      <w:keepNext/>
      <w:keepLines/>
      <w:spacing w:after="0"/>
      <w:outlineLvl w:val="7"/>
    </w:pPr>
    <w:rPr>
      <w:rFonts w:eastAsiaTheme="majorEastAsia" w:cstheme="majorBidi"/>
      <w:i/>
      <w:iCs/>
      <w:color w:val="272727" w:themeColor="text1" w:themeTint="D8"/>
      <w:kern w:val="2"/>
      <w:szCs w:val="28"/>
      <w:lang w:val="en-GB" w:bidi="bn-BD"/>
      <w14:ligatures w14:val="standardContextual"/>
    </w:rPr>
  </w:style>
  <w:style w:type="paragraph" w:styleId="Heading9">
    <w:name w:val="heading 9"/>
    <w:basedOn w:val="Normal"/>
    <w:next w:val="Normal"/>
    <w:link w:val="Heading9Char"/>
    <w:uiPriority w:val="9"/>
    <w:semiHidden/>
    <w:unhideWhenUsed/>
    <w:qFormat/>
    <w:rsid w:val="00FE18D4"/>
    <w:pPr>
      <w:keepNext/>
      <w:keepLines/>
      <w:spacing w:after="0"/>
      <w:outlineLvl w:val="8"/>
    </w:pPr>
    <w:rPr>
      <w:rFonts w:eastAsiaTheme="majorEastAsia" w:cstheme="majorBidi"/>
      <w:color w:val="272727" w:themeColor="text1" w:themeTint="D8"/>
      <w:kern w:val="2"/>
      <w:szCs w:val="28"/>
      <w:lang w:val="en-GB" w:bidi="bn-BD"/>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8D4"/>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FE18D4"/>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FE18D4"/>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FE18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8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8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8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8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8D4"/>
    <w:rPr>
      <w:rFonts w:eastAsiaTheme="majorEastAsia" w:cstheme="majorBidi"/>
      <w:color w:val="272727" w:themeColor="text1" w:themeTint="D8"/>
    </w:rPr>
  </w:style>
  <w:style w:type="paragraph" w:styleId="Title">
    <w:name w:val="Title"/>
    <w:basedOn w:val="Normal"/>
    <w:next w:val="Normal"/>
    <w:link w:val="TitleChar"/>
    <w:uiPriority w:val="10"/>
    <w:qFormat/>
    <w:rsid w:val="00FE18D4"/>
    <w:pPr>
      <w:spacing w:after="80" w:line="240" w:lineRule="auto"/>
      <w:contextualSpacing/>
    </w:pPr>
    <w:rPr>
      <w:rFonts w:asciiTheme="majorHAnsi" w:eastAsiaTheme="majorEastAsia" w:hAnsiTheme="majorHAnsi" w:cstheme="majorBidi"/>
      <w:spacing w:val="-10"/>
      <w:kern w:val="28"/>
      <w:sz w:val="56"/>
      <w:szCs w:val="71"/>
      <w:lang w:val="en-GB" w:bidi="bn-BD"/>
      <w14:ligatures w14:val="standardContextual"/>
    </w:rPr>
  </w:style>
  <w:style w:type="character" w:customStyle="1" w:styleId="TitleChar">
    <w:name w:val="Title Char"/>
    <w:basedOn w:val="DefaultParagraphFont"/>
    <w:link w:val="Title"/>
    <w:uiPriority w:val="10"/>
    <w:rsid w:val="00FE18D4"/>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E18D4"/>
    <w:pPr>
      <w:numPr>
        <w:ilvl w:val="1"/>
      </w:numPr>
    </w:pPr>
    <w:rPr>
      <w:rFonts w:eastAsiaTheme="majorEastAsia" w:cstheme="majorBidi"/>
      <w:color w:val="595959" w:themeColor="text1" w:themeTint="A6"/>
      <w:spacing w:val="15"/>
      <w:kern w:val="2"/>
      <w:sz w:val="28"/>
      <w:szCs w:val="35"/>
      <w:lang w:val="en-GB" w:bidi="bn-BD"/>
      <w14:ligatures w14:val="standardContextual"/>
    </w:rPr>
  </w:style>
  <w:style w:type="character" w:customStyle="1" w:styleId="SubtitleChar">
    <w:name w:val="Subtitle Char"/>
    <w:basedOn w:val="DefaultParagraphFont"/>
    <w:link w:val="Subtitle"/>
    <w:uiPriority w:val="11"/>
    <w:rsid w:val="00FE18D4"/>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E18D4"/>
    <w:pPr>
      <w:spacing w:before="160"/>
      <w:jc w:val="center"/>
    </w:pPr>
    <w:rPr>
      <w:i/>
      <w:iCs/>
      <w:color w:val="404040" w:themeColor="text1" w:themeTint="BF"/>
      <w:kern w:val="2"/>
      <w:szCs w:val="28"/>
      <w:lang w:val="en-GB" w:bidi="bn-BD"/>
      <w14:ligatures w14:val="standardContextual"/>
    </w:rPr>
  </w:style>
  <w:style w:type="character" w:customStyle="1" w:styleId="QuoteChar">
    <w:name w:val="Quote Char"/>
    <w:basedOn w:val="DefaultParagraphFont"/>
    <w:link w:val="Quote"/>
    <w:uiPriority w:val="29"/>
    <w:rsid w:val="00FE18D4"/>
    <w:rPr>
      <w:i/>
      <w:iCs/>
      <w:color w:val="404040" w:themeColor="text1" w:themeTint="BF"/>
    </w:rPr>
  </w:style>
  <w:style w:type="paragraph" w:styleId="ListParagraph">
    <w:name w:val="List Paragraph"/>
    <w:basedOn w:val="Normal"/>
    <w:uiPriority w:val="34"/>
    <w:qFormat/>
    <w:rsid w:val="00FE18D4"/>
    <w:pPr>
      <w:ind w:left="720"/>
      <w:contextualSpacing/>
    </w:pPr>
    <w:rPr>
      <w:kern w:val="2"/>
      <w:szCs w:val="28"/>
      <w:lang w:val="en-GB" w:bidi="bn-BD"/>
      <w14:ligatures w14:val="standardContextual"/>
    </w:rPr>
  </w:style>
  <w:style w:type="character" w:styleId="IntenseEmphasis">
    <w:name w:val="Intense Emphasis"/>
    <w:basedOn w:val="DefaultParagraphFont"/>
    <w:uiPriority w:val="21"/>
    <w:qFormat/>
    <w:rsid w:val="00FE18D4"/>
    <w:rPr>
      <w:i/>
      <w:iCs/>
      <w:color w:val="0F4761" w:themeColor="accent1" w:themeShade="BF"/>
    </w:rPr>
  </w:style>
  <w:style w:type="paragraph" w:styleId="IntenseQuote">
    <w:name w:val="Intense Quote"/>
    <w:basedOn w:val="Normal"/>
    <w:next w:val="Normal"/>
    <w:link w:val="IntenseQuoteChar"/>
    <w:uiPriority w:val="30"/>
    <w:qFormat/>
    <w:rsid w:val="00FE18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szCs w:val="28"/>
      <w:lang w:val="en-GB" w:bidi="bn-BD"/>
      <w14:ligatures w14:val="standardContextual"/>
    </w:rPr>
  </w:style>
  <w:style w:type="character" w:customStyle="1" w:styleId="IntenseQuoteChar">
    <w:name w:val="Intense Quote Char"/>
    <w:basedOn w:val="DefaultParagraphFont"/>
    <w:link w:val="IntenseQuote"/>
    <w:uiPriority w:val="30"/>
    <w:rsid w:val="00FE18D4"/>
    <w:rPr>
      <w:i/>
      <w:iCs/>
      <w:color w:val="0F4761" w:themeColor="accent1" w:themeShade="BF"/>
    </w:rPr>
  </w:style>
  <w:style w:type="character" w:styleId="IntenseReference">
    <w:name w:val="Intense Reference"/>
    <w:basedOn w:val="DefaultParagraphFont"/>
    <w:uiPriority w:val="32"/>
    <w:qFormat/>
    <w:rsid w:val="00FE18D4"/>
    <w:rPr>
      <w:b/>
      <w:bCs/>
      <w:smallCaps/>
      <w:color w:val="0F4761" w:themeColor="accent1" w:themeShade="BF"/>
      <w:spacing w:val="5"/>
    </w:rPr>
  </w:style>
  <w:style w:type="table" w:styleId="TableGrid">
    <w:name w:val="Table Grid"/>
    <w:basedOn w:val="TableNormal"/>
    <w:uiPriority w:val="59"/>
    <w:rsid w:val="005E0D53"/>
    <w:pPr>
      <w:spacing w:after="0" w:line="240" w:lineRule="auto"/>
    </w:pPr>
    <w:rPr>
      <w:rFonts w:eastAsia="MS Mincho"/>
      <w:kern w:val="0"/>
      <w:szCs w:val="22"/>
      <w:lang w:val="en-US"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E0D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0D53"/>
    <w:rPr>
      <w:kern w:val="0"/>
      <w:szCs w:val="22"/>
      <w:lang w:val="en-US" w:bidi="ar-SA"/>
      <w14:ligatures w14:val="none"/>
    </w:rPr>
  </w:style>
  <w:style w:type="paragraph" w:styleId="TOCHeading">
    <w:name w:val="TOC Heading"/>
    <w:basedOn w:val="Heading1"/>
    <w:next w:val="Normal"/>
    <w:uiPriority w:val="39"/>
    <w:unhideWhenUsed/>
    <w:qFormat/>
    <w:rsid w:val="005E0D53"/>
    <w:pPr>
      <w:spacing w:before="240" w:after="0"/>
      <w:outlineLvl w:val="9"/>
    </w:pPr>
    <w:rPr>
      <w:kern w:val="0"/>
      <w:sz w:val="32"/>
      <w:szCs w:val="32"/>
      <w:lang w:val="en-US" w:bidi="ar-SA"/>
      <w14:ligatures w14:val="none"/>
    </w:rPr>
  </w:style>
  <w:style w:type="paragraph" w:styleId="TOC1">
    <w:name w:val="toc 1"/>
    <w:basedOn w:val="Normal"/>
    <w:next w:val="Normal"/>
    <w:autoRedefine/>
    <w:uiPriority w:val="39"/>
    <w:unhideWhenUsed/>
    <w:rsid w:val="005E0D53"/>
    <w:pPr>
      <w:spacing w:after="100"/>
    </w:pPr>
  </w:style>
  <w:style w:type="paragraph" w:styleId="TOC2">
    <w:name w:val="toc 2"/>
    <w:basedOn w:val="Normal"/>
    <w:next w:val="Normal"/>
    <w:autoRedefine/>
    <w:uiPriority w:val="39"/>
    <w:unhideWhenUsed/>
    <w:rsid w:val="005E0D53"/>
    <w:pPr>
      <w:spacing w:after="100"/>
      <w:ind w:left="220"/>
    </w:pPr>
  </w:style>
  <w:style w:type="character" w:styleId="Hyperlink">
    <w:name w:val="Hyperlink"/>
    <w:basedOn w:val="DefaultParagraphFont"/>
    <w:uiPriority w:val="99"/>
    <w:unhideWhenUsed/>
    <w:rsid w:val="005E0D5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21</Pages>
  <Words>4538</Words>
  <Characters>25871</Characters>
  <Application>Microsoft Office Word</Application>
  <DocSecurity>0</DocSecurity>
  <Lines>215</Lines>
  <Paragraphs>60</Paragraphs>
  <ScaleCrop>false</ScaleCrop>
  <Company/>
  <LinksUpToDate>false</LinksUpToDate>
  <CharactersWithSpaces>30349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 Babu Chanda</dc:creator>
  <cp:keywords/>
  <dc:description/>
  <cp:lastModifiedBy>Apu Babu Chanda</cp:lastModifiedBy>
  <cp:revision>14</cp:revision>
  <dcterms:created xsi:type="dcterms:W3CDTF">2026-08-21T08:43:00Z</dcterms:created>
  <dcterms:modified xsi:type="dcterms:W3CDTF">2026-08-21T09:00:00Z</dcterms:modified>
</cp:coreProperties>
</file>