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80391" w14:textId="77777777" w:rsidR="000E3D2E" w:rsidRPr="004258E0" w:rsidRDefault="000E3D2E" w:rsidP="000E3D2E">
      <w:pPr>
        <w:spacing w:line="360" w:lineRule="auto"/>
        <w:jc w:val="both"/>
        <w:rPr>
          <w:rFonts w:ascii="Arial" w:hAnsi="Arial" w:cs="Arial"/>
          <w:b/>
          <w:bCs/>
        </w:rPr>
      </w:pPr>
      <w:r w:rsidRPr="004258E0">
        <w:rPr>
          <w:rFonts w:ascii="Arial" w:hAnsi="Arial" w:cs="Arial"/>
          <w:b/>
          <w:bCs/>
        </w:rPr>
        <w:t>Task 4</w:t>
      </w:r>
    </w:p>
    <w:p w14:paraId="61DDCAFC" w14:textId="77777777" w:rsidR="000E3D2E" w:rsidRPr="004258E0" w:rsidRDefault="000E3D2E" w:rsidP="000E3D2E">
      <w:pPr>
        <w:spacing w:line="360" w:lineRule="auto"/>
        <w:jc w:val="both"/>
        <w:rPr>
          <w:rFonts w:ascii="Arial" w:hAnsi="Arial" w:cs="Arial"/>
          <w:b/>
          <w:bCs/>
        </w:rPr>
      </w:pPr>
      <w:r w:rsidRPr="004258E0">
        <w:rPr>
          <w:rFonts w:ascii="Arial" w:hAnsi="Arial" w:cs="Arial"/>
          <w:b/>
          <w:bCs/>
        </w:rPr>
        <w:t>Question A</w:t>
      </w:r>
    </w:p>
    <w:p w14:paraId="14C10263" w14:textId="7808B5C6" w:rsidR="000E3D2E" w:rsidRDefault="000E3D2E" w:rsidP="000E3D2E">
      <w:pPr>
        <w:spacing w:line="360" w:lineRule="auto"/>
        <w:jc w:val="both"/>
        <w:rPr>
          <w:rFonts w:ascii="Arial" w:hAnsi="Arial" w:cs="Arial"/>
        </w:rPr>
      </w:pPr>
      <w:r w:rsidRPr="007800ED">
        <w:rPr>
          <w:rFonts w:ascii="Arial" w:hAnsi="Arial" w:cs="Arial"/>
        </w:rPr>
        <w:t>S</w:t>
      </w:r>
      <w:r w:rsidR="00B36B14">
        <w:rPr>
          <w:rFonts w:ascii="Arial" w:hAnsi="Arial" w:cs="Arial"/>
        </w:rPr>
        <w:t xml:space="preserve">ocial </w:t>
      </w:r>
      <w:r w:rsidRPr="007800ED">
        <w:rPr>
          <w:rFonts w:ascii="Arial" w:hAnsi="Arial" w:cs="Arial"/>
        </w:rPr>
        <w:t>S</w:t>
      </w:r>
      <w:r w:rsidR="00B36B14">
        <w:rPr>
          <w:rFonts w:ascii="Arial" w:hAnsi="Arial" w:cs="Arial"/>
        </w:rPr>
        <w:t xml:space="preserve">ervices and </w:t>
      </w:r>
      <w:r w:rsidRPr="007800ED">
        <w:rPr>
          <w:rFonts w:ascii="Arial" w:hAnsi="Arial" w:cs="Arial"/>
        </w:rPr>
        <w:t>W</w:t>
      </w:r>
      <w:r w:rsidR="00B36B14">
        <w:rPr>
          <w:rFonts w:ascii="Arial" w:hAnsi="Arial" w:cs="Arial"/>
        </w:rPr>
        <w:t>ell-</w:t>
      </w:r>
      <w:r w:rsidRPr="007800ED">
        <w:rPr>
          <w:rFonts w:ascii="Arial" w:hAnsi="Arial" w:cs="Arial"/>
        </w:rPr>
        <w:t>B</w:t>
      </w:r>
      <w:r w:rsidR="00B36B14">
        <w:rPr>
          <w:rFonts w:ascii="Arial" w:hAnsi="Arial" w:cs="Arial"/>
        </w:rPr>
        <w:t xml:space="preserve">eing (Wales) </w:t>
      </w:r>
      <w:r w:rsidRPr="007800ED">
        <w:rPr>
          <w:rFonts w:ascii="Arial" w:hAnsi="Arial" w:cs="Arial"/>
        </w:rPr>
        <w:t>A</w:t>
      </w:r>
      <w:r w:rsidR="00B36B14">
        <w:rPr>
          <w:rFonts w:ascii="Arial" w:hAnsi="Arial" w:cs="Arial"/>
        </w:rPr>
        <w:t xml:space="preserve">ct 2014 </w:t>
      </w:r>
      <w:r w:rsidR="00B36B14" w:rsidRPr="00DF6505">
        <w:rPr>
          <w:rFonts w:ascii="Arial" w:hAnsi="Arial" w:cs="Arial"/>
        </w:rPr>
        <w:t>(SCW, 2025)</w:t>
      </w:r>
      <w:r w:rsidR="00B36B14">
        <w:rPr>
          <w:rFonts w:ascii="Arial" w:hAnsi="Arial" w:cs="Arial"/>
        </w:rPr>
        <w:t xml:space="preserve"> </w:t>
      </w:r>
      <w:r w:rsidRPr="007800ED">
        <w:rPr>
          <w:rFonts w:ascii="Arial" w:hAnsi="Arial" w:cs="Arial"/>
        </w:rPr>
        <w:t>provides the legal framework for social services provision and safeguarding</w:t>
      </w:r>
      <w:r>
        <w:rPr>
          <w:rFonts w:ascii="Arial" w:hAnsi="Arial" w:cs="Arial"/>
        </w:rPr>
        <w:t xml:space="preserve"> in Wales and define</w:t>
      </w:r>
      <w:r w:rsidRPr="004258E0">
        <w:rPr>
          <w:rFonts w:ascii="Arial" w:hAnsi="Arial" w:cs="Arial"/>
          <w:color w:val="000000" w:themeColor="text1"/>
        </w:rPr>
        <w:t>s a </w:t>
      </w:r>
      <w:hyperlink r:id="rId4" w:anchor="tooltip" w:history="1">
        <w:r w:rsidRPr="004258E0">
          <w:rPr>
            <w:rStyle w:val="Hyperlink"/>
            <w:rFonts w:ascii="Arial" w:hAnsi="Arial" w:cs="Arial"/>
            <w:color w:val="000000" w:themeColor="text1"/>
            <w:u w:val="none"/>
          </w:rPr>
          <w:t>child at risk</w:t>
        </w:r>
      </w:hyperlink>
      <w:r w:rsidRPr="004258E0">
        <w:rPr>
          <w:rFonts w:ascii="Arial" w:hAnsi="Arial" w:cs="Arial"/>
          <w:color w:val="000000" w:themeColor="text1"/>
        </w:rPr>
        <w:t xml:space="preserve"> as </w:t>
      </w:r>
      <w:r>
        <w:rPr>
          <w:rFonts w:ascii="Arial" w:hAnsi="Arial" w:cs="Arial"/>
          <w:color w:val="000000" w:themeColor="text1"/>
        </w:rPr>
        <w:t xml:space="preserve">one with care and support needs who </w:t>
      </w:r>
      <w:r w:rsidRPr="004258E0">
        <w:rPr>
          <w:rFonts w:ascii="Arial" w:hAnsi="Arial" w:cs="Arial"/>
          <w:color w:val="000000" w:themeColor="text1"/>
        </w:rPr>
        <w:t>is experiencing</w:t>
      </w:r>
      <w:r>
        <w:rPr>
          <w:rFonts w:ascii="Arial" w:hAnsi="Arial" w:cs="Arial"/>
          <w:color w:val="000000" w:themeColor="text1"/>
        </w:rPr>
        <w:t>,</w:t>
      </w:r>
      <w:r w:rsidRPr="004258E0">
        <w:rPr>
          <w:rFonts w:ascii="Arial" w:hAnsi="Arial" w:cs="Arial"/>
          <w:color w:val="000000" w:themeColor="text1"/>
        </w:rPr>
        <w:t xml:space="preserve"> or is at risk of</w:t>
      </w:r>
      <w:r>
        <w:rPr>
          <w:rFonts w:ascii="Arial" w:hAnsi="Arial" w:cs="Arial"/>
          <w:color w:val="000000" w:themeColor="text1"/>
        </w:rPr>
        <w:t>,</w:t>
      </w:r>
      <w:r w:rsidRPr="004258E0">
        <w:rPr>
          <w:rFonts w:ascii="Arial" w:hAnsi="Arial" w:cs="Arial"/>
          <w:color w:val="000000" w:themeColor="text1"/>
        </w:rPr>
        <w:t xml:space="preserve"> abuse or neglect</w:t>
      </w:r>
      <w:r>
        <w:rPr>
          <w:rFonts w:ascii="Arial" w:hAnsi="Arial" w:cs="Arial"/>
          <w:color w:val="000000" w:themeColor="text1"/>
        </w:rPr>
        <w:t>,</w:t>
      </w:r>
      <w:r w:rsidRPr="004258E0">
        <w:rPr>
          <w:rFonts w:ascii="Arial" w:hAnsi="Arial" w:cs="Arial"/>
        </w:rPr>
        <w:t xml:space="preserve"> regardless of whether the authority is meeting those needs</w:t>
      </w:r>
      <w:r>
        <w:rPr>
          <w:rFonts w:ascii="Arial" w:hAnsi="Arial" w:cs="Arial"/>
        </w:rPr>
        <w:t xml:space="preserve"> (SCW, 2026)</w:t>
      </w:r>
      <w:r w:rsidRPr="004258E0">
        <w:rPr>
          <w:rFonts w:ascii="Arial" w:hAnsi="Arial" w:cs="Arial"/>
        </w:rPr>
        <w:t xml:space="preserve">. </w:t>
      </w:r>
      <w:r>
        <w:rPr>
          <w:rFonts w:ascii="Arial" w:hAnsi="Arial" w:cs="Arial"/>
        </w:rPr>
        <w:t xml:space="preserve">This legislation places a legal duty on all relevant parties to report their concerns regarding a child at risk (Welsh Govt., 2017). It is the responsibility of everyone in contact with children to play an active role in safeguarding. </w:t>
      </w:r>
    </w:p>
    <w:p w14:paraId="5B820A0C" w14:textId="3CF0CA05" w:rsidR="000C1F88" w:rsidRDefault="000E3D2E" w:rsidP="000E3D2E">
      <w:pPr>
        <w:spacing w:line="360" w:lineRule="auto"/>
        <w:jc w:val="both"/>
        <w:rPr>
          <w:rFonts w:ascii="Arial" w:hAnsi="Arial" w:cs="Arial"/>
        </w:rPr>
      </w:pPr>
      <w:r>
        <w:rPr>
          <w:rFonts w:ascii="Arial" w:hAnsi="Arial" w:cs="Arial"/>
        </w:rPr>
        <w:t>The Working Together to Safeguard People guidance helps agencies and practitioners to implement this law with a child-centred approach (SCW, 2026). All partners must follow informed vigilance, know the signs of abuse or neglect</w:t>
      </w:r>
      <w:r w:rsidR="008F5F5F">
        <w:rPr>
          <w:rFonts w:ascii="Arial" w:hAnsi="Arial" w:cs="Arial"/>
        </w:rPr>
        <w:t xml:space="preserve">. Welsh legislation establishes five categories of abuse: </w:t>
      </w:r>
      <w:r w:rsidR="006629C6">
        <w:rPr>
          <w:rFonts w:ascii="Arial" w:hAnsi="Arial" w:cs="Arial"/>
        </w:rPr>
        <w:t>p</w:t>
      </w:r>
      <w:r w:rsidR="008F5F5F">
        <w:rPr>
          <w:rFonts w:ascii="Arial" w:hAnsi="Arial" w:cs="Arial"/>
        </w:rPr>
        <w:t xml:space="preserve">hysical,  </w:t>
      </w:r>
      <w:r w:rsidR="006629C6">
        <w:rPr>
          <w:rFonts w:ascii="Arial" w:hAnsi="Arial" w:cs="Arial"/>
        </w:rPr>
        <w:t>t</w:t>
      </w:r>
      <w:r w:rsidR="000C1F88" w:rsidRPr="000C1F88">
        <w:rPr>
          <w:rFonts w:ascii="Arial" w:hAnsi="Arial" w:cs="Arial"/>
        </w:rPr>
        <w:t>he intentional infliction of physical pain, injury, or suffering</w:t>
      </w:r>
      <w:r w:rsidR="006629C6">
        <w:rPr>
          <w:rFonts w:ascii="Arial" w:hAnsi="Arial" w:cs="Arial"/>
        </w:rPr>
        <w:t xml:space="preserve"> </w:t>
      </w:r>
      <w:r w:rsidR="000C1F88" w:rsidRPr="000C1F88">
        <w:rPr>
          <w:rFonts w:ascii="Arial" w:hAnsi="Arial" w:cs="Arial"/>
        </w:rPr>
        <w:t>includ</w:t>
      </w:r>
      <w:r w:rsidR="000E25BD">
        <w:rPr>
          <w:rFonts w:ascii="Arial" w:hAnsi="Arial" w:cs="Arial"/>
        </w:rPr>
        <w:t>ing</w:t>
      </w:r>
      <w:r w:rsidR="000C1F88" w:rsidRPr="000C1F88">
        <w:rPr>
          <w:rFonts w:ascii="Arial" w:hAnsi="Arial" w:cs="Arial"/>
        </w:rPr>
        <w:t xml:space="preserve"> </w:t>
      </w:r>
      <w:r w:rsidR="000E25BD">
        <w:rPr>
          <w:rFonts w:ascii="Arial" w:hAnsi="Arial" w:cs="Arial"/>
        </w:rPr>
        <w:t>sla</w:t>
      </w:r>
      <w:r w:rsidR="000C1F88" w:rsidRPr="000C1F88">
        <w:rPr>
          <w:rFonts w:ascii="Arial" w:hAnsi="Arial" w:cs="Arial"/>
        </w:rPr>
        <w:t>pping, pushing, burning, the misuse of medication and undue physical restraint</w:t>
      </w:r>
      <w:r w:rsidR="006629C6">
        <w:rPr>
          <w:rFonts w:ascii="Arial" w:hAnsi="Arial" w:cs="Arial"/>
        </w:rPr>
        <w:t>; e</w:t>
      </w:r>
      <w:r w:rsidR="000C1F88" w:rsidRPr="000C1F88">
        <w:rPr>
          <w:rFonts w:ascii="Arial" w:hAnsi="Arial" w:cs="Arial"/>
        </w:rPr>
        <w:t xml:space="preserve">motional or </w:t>
      </w:r>
      <w:r w:rsidR="006629C6">
        <w:rPr>
          <w:rFonts w:ascii="Arial" w:hAnsi="Arial" w:cs="Arial"/>
        </w:rPr>
        <w:t>p</w:t>
      </w:r>
      <w:r w:rsidR="000C1F88" w:rsidRPr="000C1F88">
        <w:rPr>
          <w:rFonts w:ascii="Arial" w:hAnsi="Arial" w:cs="Arial"/>
        </w:rPr>
        <w:t>sychological</w:t>
      </w:r>
      <w:r w:rsidR="006629C6">
        <w:rPr>
          <w:rFonts w:ascii="Arial" w:hAnsi="Arial" w:cs="Arial"/>
        </w:rPr>
        <w:t>, t</w:t>
      </w:r>
      <w:r w:rsidR="000C1F88" w:rsidRPr="000C1F88">
        <w:rPr>
          <w:rFonts w:ascii="Arial" w:hAnsi="Arial" w:cs="Arial"/>
        </w:rPr>
        <w:t>he wilful infliction of mental suffering or a persistent pattern of behavio</w:t>
      </w:r>
      <w:r w:rsidR="006629C6">
        <w:rPr>
          <w:rFonts w:ascii="Arial" w:hAnsi="Arial" w:cs="Arial"/>
        </w:rPr>
        <w:t>u</w:t>
      </w:r>
      <w:r w:rsidR="000C1F88" w:rsidRPr="000C1F88">
        <w:rPr>
          <w:rFonts w:ascii="Arial" w:hAnsi="Arial" w:cs="Arial"/>
        </w:rPr>
        <w:t>r used to frighten, humiliate, or control someone</w:t>
      </w:r>
      <w:r w:rsidR="006629C6">
        <w:rPr>
          <w:rFonts w:ascii="Arial" w:hAnsi="Arial" w:cs="Arial"/>
        </w:rPr>
        <w:t xml:space="preserve">, </w:t>
      </w:r>
      <w:r w:rsidR="000C1F88" w:rsidRPr="000C1F88">
        <w:rPr>
          <w:rFonts w:ascii="Arial" w:hAnsi="Arial" w:cs="Arial"/>
        </w:rPr>
        <w:t>includ</w:t>
      </w:r>
      <w:r w:rsidR="006629C6">
        <w:rPr>
          <w:rFonts w:ascii="Arial" w:hAnsi="Arial" w:cs="Arial"/>
        </w:rPr>
        <w:t>ing</w:t>
      </w:r>
      <w:r w:rsidR="000C1F88" w:rsidRPr="000C1F88">
        <w:rPr>
          <w:rFonts w:ascii="Arial" w:hAnsi="Arial" w:cs="Arial"/>
        </w:rPr>
        <w:t xml:space="preserve"> coercive control, verbal insults, threats of harm or abandonment, and deliberate </w:t>
      </w:r>
      <w:r w:rsidR="000E25BD">
        <w:rPr>
          <w:rFonts w:ascii="Arial" w:hAnsi="Arial" w:cs="Arial"/>
        </w:rPr>
        <w:t xml:space="preserve">social </w:t>
      </w:r>
      <w:r w:rsidR="000C1F88" w:rsidRPr="000C1F88">
        <w:rPr>
          <w:rFonts w:ascii="Arial" w:hAnsi="Arial" w:cs="Arial"/>
        </w:rPr>
        <w:t>isolation</w:t>
      </w:r>
      <w:r w:rsidR="006629C6">
        <w:rPr>
          <w:rFonts w:ascii="Arial" w:hAnsi="Arial" w:cs="Arial"/>
        </w:rPr>
        <w:t>; s</w:t>
      </w:r>
      <w:r w:rsidR="000C1F88" w:rsidRPr="000C1F88">
        <w:rPr>
          <w:rFonts w:ascii="Arial" w:hAnsi="Arial" w:cs="Arial"/>
        </w:rPr>
        <w:t xml:space="preserve">exual </w:t>
      </w:r>
      <w:r w:rsidR="006629C6">
        <w:rPr>
          <w:rFonts w:ascii="Arial" w:hAnsi="Arial" w:cs="Arial"/>
        </w:rPr>
        <w:t>a</w:t>
      </w:r>
      <w:r w:rsidR="000C1F88" w:rsidRPr="000C1F88">
        <w:rPr>
          <w:rFonts w:ascii="Arial" w:hAnsi="Arial" w:cs="Arial"/>
        </w:rPr>
        <w:t>buse</w:t>
      </w:r>
      <w:r w:rsidR="006629C6">
        <w:rPr>
          <w:rFonts w:ascii="Arial" w:hAnsi="Arial" w:cs="Arial"/>
        </w:rPr>
        <w:t>, f</w:t>
      </w:r>
      <w:r w:rsidR="000C1F88" w:rsidRPr="000C1F88">
        <w:rPr>
          <w:rFonts w:ascii="Arial" w:hAnsi="Arial" w:cs="Arial"/>
        </w:rPr>
        <w:t>orcing, coercing, or enticing an</w:t>
      </w:r>
      <w:r w:rsidR="000E25BD">
        <w:rPr>
          <w:rFonts w:ascii="Arial" w:hAnsi="Arial" w:cs="Arial"/>
        </w:rPr>
        <w:t xml:space="preserve">other </w:t>
      </w:r>
      <w:r w:rsidR="000C1F88" w:rsidRPr="000C1F88">
        <w:rPr>
          <w:rFonts w:ascii="Arial" w:hAnsi="Arial" w:cs="Arial"/>
        </w:rPr>
        <w:t xml:space="preserve">to </w:t>
      </w:r>
      <w:r w:rsidR="000E25BD">
        <w:rPr>
          <w:rFonts w:ascii="Arial" w:hAnsi="Arial" w:cs="Arial"/>
        </w:rPr>
        <w:t xml:space="preserve">engage </w:t>
      </w:r>
      <w:r w:rsidR="000C1F88" w:rsidRPr="000C1F88">
        <w:rPr>
          <w:rFonts w:ascii="Arial" w:hAnsi="Arial" w:cs="Arial"/>
        </w:rPr>
        <w:t>in sexual activities without consent</w:t>
      </w:r>
      <w:r w:rsidR="006629C6">
        <w:rPr>
          <w:rFonts w:ascii="Arial" w:hAnsi="Arial" w:cs="Arial"/>
        </w:rPr>
        <w:t xml:space="preserve">, including </w:t>
      </w:r>
      <w:r w:rsidR="000C1F88" w:rsidRPr="000C1F88">
        <w:rPr>
          <w:rFonts w:ascii="Arial" w:hAnsi="Arial" w:cs="Arial"/>
        </w:rPr>
        <w:t>sexual exploitation</w:t>
      </w:r>
      <w:r w:rsidR="000E25BD">
        <w:rPr>
          <w:rFonts w:ascii="Arial" w:hAnsi="Arial" w:cs="Arial"/>
        </w:rPr>
        <w:t xml:space="preserve">, </w:t>
      </w:r>
      <w:r w:rsidR="000C1F88" w:rsidRPr="000C1F88">
        <w:rPr>
          <w:rFonts w:ascii="Arial" w:hAnsi="Arial" w:cs="Arial"/>
        </w:rPr>
        <w:t>voyeurism, sexual assault and rape</w:t>
      </w:r>
      <w:r w:rsidR="006629C6">
        <w:rPr>
          <w:rFonts w:ascii="Arial" w:hAnsi="Arial" w:cs="Arial"/>
        </w:rPr>
        <w:t>; f</w:t>
      </w:r>
      <w:r w:rsidR="000C1F88" w:rsidRPr="000C1F88">
        <w:rPr>
          <w:rFonts w:ascii="Arial" w:hAnsi="Arial" w:cs="Arial"/>
        </w:rPr>
        <w:t xml:space="preserve">inancial </w:t>
      </w:r>
      <w:r w:rsidR="006629C6">
        <w:rPr>
          <w:rFonts w:ascii="Arial" w:hAnsi="Arial" w:cs="Arial"/>
        </w:rPr>
        <w:t>ab</w:t>
      </w:r>
      <w:r w:rsidR="000C1F88" w:rsidRPr="000C1F88">
        <w:rPr>
          <w:rFonts w:ascii="Arial" w:hAnsi="Arial" w:cs="Arial"/>
        </w:rPr>
        <w:t>use</w:t>
      </w:r>
      <w:r w:rsidR="006629C6">
        <w:rPr>
          <w:rFonts w:ascii="Arial" w:hAnsi="Arial" w:cs="Arial"/>
        </w:rPr>
        <w:t>,</w:t>
      </w:r>
      <w:r w:rsidR="000C1F88" w:rsidRPr="000C1F88">
        <w:rPr>
          <w:rFonts w:ascii="Arial" w:hAnsi="Arial" w:cs="Arial"/>
        </w:rPr>
        <w:t xml:space="preserve"> </w:t>
      </w:r>
      <w:r w:rsidR="006629C6">
        <w:rPr>
          <w:rFonts w:ascii="Arial" w:hAnsi="Arial" w:cs="Arial"/>
        </w:rPr>
        <w:t>t</w:t>
      </w:r>
      <w:r w:rsidR="000C1F88" w:rsidRPr="000C1F88">
        <w:rPr>
          <w:rFonts w:ascii="Arial" w:hAnsi="Arial" w:cs="Arial"/>
        </w:rPr>
        <w:t>he unauthorized, illegal, or improper use of a person’s money, property, benefits, or resources</w:t>
      </w:r>
      <w:r w:rsidR="006629C6">
        <w:rPr>
          <w:rFonts w:ascii="Arial" w:hAnsi="Arial" w:cs="Arial"/>
        </w:rPr>
        <w:t xml:space="preserve">, including </w:t>
      </w:r>
      <w:r w:rsidR="000C1F88" w:rsidRPr="000C1F88">
        <w:rPr>
          <w:rFonts w:ascii="Arial" w:hAnsi="Arial" w:cs="Arial"/>
        </w:rPr>
        <w:t>stealing cash or possessions, fraud, putting undue pressure on someone to alter their will, or misusing a power of attorney</w:t>
      </w:r>
      <w:r w:rsidR="006629C6">
        <w:rPr>
          <w:rFonts w:ascii="Arial" w:hAnsi="Arial" w:cs="Arial"/>
        </w:rPr>
        <w:t xml:space="preserve">; and </w:t>
      </w:r>
      <w:r w:rsidR="00A66C7E">
        <w:rPr>
          <w:rFonts w:ascii="Arial" w:hAnsi="Arial" w:cs="Arial"/>
        </w:rPr>
        <w:t xml:space="preserve">finally, </w:t>
      </w:r>
      <w:r w:rsidR="006629C6">
        <w:rPr>
          <w:rFonts w:ascii="Arial" w:hAnsi="Arial" w:cs="Arial"/>
        </w:rPr>
        <w:t>neglect, t</w:t>
      </w:r>
      <w:r w:rsidR="000C1F88" w:rsidRPr="000C1F88">
        <w:rPr>
          <w:rFonts w:ascii="Arial" w:hAnsi="Arial" w:cs="Arial"/>
        </w:rPr>
        <w:t>he persistent failure by a responsible person to meet basic physical, emotional, or medical needs</w:t>
      </w:r>
      <w:r w:rsidR="006629C6">
        <w:rPr>
          <w:rFonts w:ascii="Arial" w:hAnsi="Arial" w:cs="Arial"/>
        </w:rPr>
        <w:t xml:space="preserve">, including </w:t>
      </w:r>
      <w:r w:rsidR="000C1F88" w:rsidRPr="000C1F88">
        <w:rPr>
          <w:rFonts w:ascii="Arial" w:hAnsi="Arial" w:cs="Arial"/>
        </w:rPr>
        <w:t>withholding food, shelter, clothing, medication, or failing to assist with personal hygiene and medical access</w:t>
      </w:r>
      <w:r w:rsidR="00A77FCD">
        <w:rPr>
          <w:rFonts w:ascii="Arial" w:hAnsi="Arial" w:cs="Arial"/>
        </w:rPr>
        <w:t xml:space="preserve"> (SCW, 2026).</w:t>
      </w:r>
    </w:p>
    <w:p w14:paraId="4B854577" w14:textId="3CDC6D71" w:rsidR="000E3D2E" w:rsidRDefault="000E3D2E" w:rsidP="000E3D2E">
      <w:pPr>
        <w:spacing w:line="360" w:lineRule="auto"/>
        <w:jc w:val="both"/>
        <w:rPr>
          <w:rFonts w:ascii="Arial" w:hAnsi="Arial" w:cs="Arial"/>
        </w:rPr>
      </w:pPr>
      <w:r>
        <w:rPr>
          <w:rFonts w:ascii="Arial" w:hAnsi="Arial" w:cs="Arial"/>
        </w:rPr>
        <w:t xml:space="preserve"> As practitioners we must be able to analyse a combination of individual, family and environmental factors which may indicate risk. These include family and parental factors such as substance use, mental health issues or domestic violence, or environmental issues such as social isolation, poverty, or deprivation (NSPCC, 2026)</w:t>
      </w:r>
      <w:r w:rsidR="00A00430">
        <w:rPr>
          <w:rFonts w:ascii="Arial" w:hAnsi="Arial" w:cs="Arial"/>
        </w:rPr>
        <w:t xml:space="preserve">. </w:t>
      </w:r>
      <w:r w:rsidRPr="004258E0">
        <w:rPr>
          <w:rFonts w:ascii="Arial" w:hAnsi="Arial" w:cs="Arial"/>
        </w:rPr>
        <w:t xml:space="preserve"> </w:t>
      </w:r>
    </w:p>
    <w:p w14:paraId="53D56A05" w14:textId="3B3522BD" w:rsidR="009B0E76" w:rsidRPr="009B0E76" w:rsidRDefault="000E3D2E" w:rsidP="009B0E76">
      <w:pPr>
        <w:spacing w:line="360" w:lineRule="auto"/>
        <w:jc w:val="both"/>
        <w:rPr>
          <w:rFonts w:ascii="Arial" w:hAnsi="Arial" w:cs="Arial"/>
        </w:rPr>
      </w:pPr>
      <w:r>
        <w:rPr>
          <w:rFonts w:ascii="Arial" w:hAnsi="Arial" w:cs="Arial"/>
        </w:rPr>
        <w:t xml:space="preserve">The Wales National Safeguarding </w:t>
      </w:r>
      <w:r w:rsidR="00884408">
        <w:rPr>
          <w:rFonts w:ascii="Arial" w:hAnsi="Arial" w:cs="Arial"/>
        </w:rPr>
        <w:t>p</w:t>
      </w:r>
      <w:r>
        <w:rPr>
          <w:rFonts w:ascii="Arial" w:hAnsi="Arial" w:cs="Arial"/>
        </w:rPr>
        <w:t xml:space="preserve">rocedures were </w:t>
      </w:r>
      <w:r w:rsidR="00570540">
        <w:rPr>
          <w:rFonts w:ascii="Arial" w:hAnsi="Arial" w:cs="Arial"/>
        </w:rPr>
        <w:t>established</w:t>
      </w:r>
      <w:r>
        <w:rPr>
          <w:rFonts w:ascii="Arial" w:hAnsi="Arial" w:cs="Arial"/>
        </w:rPr>
        <w:t xml:space="preserve"> to ensure to establish a single, standardised set of rules across all organisations and agencies in Wales</w:t>
      </w:r>
      <w:r w:rsidR="00A00430">
        <w:rPr>
          <w:rFonts w:ascii="Arial" w:hAnsi="Arial" w:cs="Arial"/>
        </w:rPr>
        <w:t xml:space="preserve">. </w:t>
      </w:r>
      <w:r>
        <w:rPr>
          <w:rFonts w:ascii="Arial" w:hAnsi="Arial" w:cs="Arial"/>
        </w:rPr>
        <w:lastRenderedPageBreak/>
        <w:t xml:space="preserve">These procedures reflect the underpinning principles of </w:t>
      </w:r>
      <w:r w:rsidR="00A66C7E">
        <w:rPr>
          <w:rFonts w:ascii="Arial" w:hAnsi="Arial" w:cs="Arial"/>
        </w:rPr>
        <w:t xml:space="preserve">the </w:t>
      </w:r>
      <w:r>
        <w:rPr>
          <w:rFonts w:ascii="Arial" w:hAnsi="Arial" w:cs="Arial"/>
        </w:rPr>
        <w:t>S</w:t>
      </w:r>
      <w:r w:rsidR="00A66C7E">
        <w:rPr>
          <w:rFonts w:ascii="Arial" w:hAnsi="Arial" w:cs="Arial"/>
        </w:rPr>
        <w:t xml:space="preserve">ocial </w:t>
      </w:r>
      <w:r>
        <w:rPr>
          <w:rFonts w:ascii="Arial" w:hAnsi="Arial" w:cs="Arial"/>
        </w:rPr>
        <w:t>S</w:t>
      </w:r>
      <w:r w:rsidR="00A66C7E">
        <w:rPr>
          <w:rFonts w:ascii="Arial" w:hAnsi="Arial" w:cs="Arial"/>
        </w:rPr>
        <w:t xml:space="preserve">ervices and </w:t>
      </w:r>
      <w:r>
        <w:rPr>
          <w:rFonts w:ascii="Arial" w:hAnsi="Arial" w:cs="Arial"/>
        </w:rPr>
        <w:t>W</w:t>
      </w:r>
      <w:r w:rsidR="00A66C7E">
        <w:rPr>
          <w:rFonts w:ascii="Arial" w:hAnsi="Arial" w:cs="Arial"/>
        </w:rPr>
        <w:t>ell-</w:t>
      </w:r>
      <w:r>
        <w:rPr>
          <w:rFonts w:ascii="Arial" w:hAnsi="Arial" w:cs="Arial"/>
        </w:rPr>
        <w:t>B</w:t>
      </w:r>
      <w:r w:rsidR="00A66C7E">
        <w:rPr>
          <w:rFonts w:ascii="Arial" w:hAnsi="Arial" w:cs="Arial"/>
        </w:rPr>
        <w:t xml:space="preserve">eing (Wales) </w:t>
      </w:r>
      <w:r>
        <w:rPr>
          <w:rFonts w:ascii="Arial" w:hAnsi="Arial" w:cs="Arial"/>
        </w:rPr>
        <w:t>A</w:t>
      </w:r>
      <w:r w:rsidR="00A66C7E">
        <w:rPr>
          <w:rFonts w:ascii="Arial" w:hAnsi="Arial" w:cs="Arial"/>
        </w:rPr>
        <w:t>ct 2014</w:t>
      </w:r>
      <w:r>
        <w:rPr>
          <w:rFonts w:ascii="Arial" w:hAnsi="Arial" w:cs="Arial"/>
        </w:rPr>
        <w:t xml:space="preserve">, ensuring all parties are aware of their roles and responsibilities, </w:t>
      </w:r>
      <w:r w:rsidR="009B0E76">
        <w:rPr>
          <w:rFonts w:ascii="Arial" w:hAnsi="Arial" w:cs="Arial"/>
        </w:rPr>
        <w:t xml:space="preserve">promote </w:t>
      </w:r>
      <w:r>
        <w:rPr>
          <w:rFonts w:ascii="Arial" w:hAnsi="Arial" w:cs="Arial"/>
        </w:rPr>
        <w:t>positive outcomes with partnership working, practic</w:t>
      </w:r>
      <w:r w:rsidR="009B0E76">
        <w:rPr>
          <w:rFonts w:ascii="Arial" w:hAnsi="Arial" w:cs="Arial"/>
        </w:rPr>
        <w:t>e in a ch</w:t>
      </w:r>
      <w:r>
        <w:rPr>
          <w:rFonts w:ascii="Arial" w:hAnsi="Arial" w:cs="Arial"/>
        </w:rPr>
        <w:t>ild centred approach (SCW, 2026</w:t>
      </w:r>
      <w:r w:rsidR="009B0E76">
        <w:rPr>
          <w:rFonts w:ascii="Arial" w:hAnsi="Arial" w:cs="Arial"/>
        </w:rPr>
        <w:t xml:space="preserve">. </w:t>
      </w:r>
      <w:r w:rsidR="009B0E76" w:rsidRPr="009B0E76">
        <w:rPr>
          <w:rFonts w:ascii="Arial" w:hAnsi="Arial" w:cs="Arial"/>
        </w:rPr>
        <w:t xml:space="preserve">The local authority has a legal duty to investigate any reports of abuse or neglect that </w:t>
      </w:r>
      <w:r w:rsidR="00570540">
        <w:rPr>
          <w:rFonts w:ascii="Arial" w:hAnsi="Arial" w:cs="Arial"/>
        </w:rPr>
        <w:t>h</w:t>
      </w:r>
      <w:r w:rsidR="009B0E76" w:rsidRPr="009B0E76">
        <w:rPr>
          <w:rFonts w:ascii="Arial" w:hAnsi="Arial" w:cs="Arial"/>
        </w:rPr>
        <w:t>a</w:t>
      </w:r>
      <w:r w:rsidR="00570540">
        <w:rPr>
          <w:rFonts w:ascii="Arial" w:hAnsi="Arial" w:cs="Arial"/>
        </w:rPr>
        <w:t>ve been</w:t>
      </w:r>
      <w:r w:rsidR="009B0E76" w:rsidRPr="009B0E76">
        <w:rPr>
          <w:rFonts w:ascii="Arial" w:hAnsi="Arial" w:cs="Arial"/>
        </w:rPr>
        <w:t xml:space="preserve"> referred to them. If the child is not in immediate danger, under Section 21 of the Act, the authority has a statutory duty to assess the child’s needs to see if the family require additional support. </w:t>
      </w:r>
    </w:p>
    <w:p w14:paraId="27A74A49" w14:textId="3E6BB086" w:rsidR="000E3D2E" w:rsidRDefault="000E3D2E" w:rsidP="000E3D2E">
      <w:pPr>
        <w:spacing w:line="360" w:lineRule="auto"/>
        <w:jc w:val="both"/>
        <w:rPr>
          <w:rFonts w:ascii="Arial" w:hAnsi="Arial" w:cs="Arial"/>
        </w:rPr>
      </w:pPr>
      <w:r>
        <w:rPr>
          <w:rFonts w:ascii="Arial" w:hAnsi="Arial" w:cs="Arial"/>
        </w:rPr>
        <w:t xml:space="preserve">In Wales, </w:t>
      </w:r>
      <w:r w:rsidRPr="001729C5">
        <w:rPr>
          <w:rFonts w:ascii="Arial" w:hAnsi="Arial" w:cs="Arial"/>
        </w:rPr>
        <w:t xml:space="preserve">the </w:t>
      </w:r>
      <w:r>
        <w:rPr>
          <w:rFonts w:ascii="Arial" w:hAnsi="Arial" w:cs="Arial"/>
        </w:rPr>
        <w:t xml:space="preserve">child’s </w:t>
      </w:r>
      <w:r w:rsidRPr="001729C5">
        <w:rPr>
          <w:rFonts w:ascii="Arial" w:hAnsi="Arial" w:cs="Arial"/>
        </w:rPr>
        <w:t xml:space="preserve">welfare is paramount, </w:t>
      </w:r>
      <w:r>
        <w:rPr>
          <w:rFonts w:ascii="Arial" w:hAnsi="Arial" w:cs="Arial"/>
        </w:rPr>
        <w:t>therefore their</w:t>
      </w:r>
      <w:r w:rsidRPr="001729C5">
        <w:rPr>
          <w:rFonts w:ascii="Arial" w:hAnsi="Arial" w:cs="Arial"/>
        </w:rPr>
        <w:t xml:space="preserve"> best interests must come </w:t>
      </w:r>
      <w:r>
        <w:rPr>
          <w:rFonts w:ascii="Arial" w:hAnsi="Arial" w:cs="Arial"/>
        </w:rPr>
        <w:t xml:space="preserve">before </w:t>
      </w:r>
      <w:r w:rsidRPr="00570540">
        <w:rPr>
          <w:rFonts w:ascii="Arial" w:hAnsi="Arial" w:cs="Arial"/>
        </w:rPr>
        <w:t>the considerations of the court of social service’s decisions regarding the child’s care (</w:t>
      </w:r>
      <w:r w:rsidR="00570540" w:rsidRPr="00570540">
        <w:rPr>
          <w:rFonts w:ascii="Arial" w:hAnsi="Arial" w:cs="Arial"/>
        </w:rPr>
        <w:t>UK Govt.</w:t>
      </w:r>
      <w:r w:rsidRPr="00570540">
        <w:rPr>
          <w:rFonts w:ascii="Arial" w:hAnsi="Arial" w:cs="Arial"/>
        </w:rPr>
        <w:t>, 2026).</w:t>
      </w:r>
      <w:r>
        <w:rPr>
          <w:rFonts w:ascii="Arial" w:hAnsi="Arial" w:cs="Arial"/>
        </w:rPr>
        <w:t xml:space="preserve"> </w:t>
      </w:r>
      <w:r w:rsidR="00570540">
        <w:rPr>
          <w:rFonts w:ascii="Arial" w:hAnsi="Arial" w:cs="Arial"/>
        </w:rPr>
        <w:t>The</w:t>
      </w:r>
      <w:r w:rsidRPr="001729C5">
        <w:rPr>
          <w:rFonts w:ascii="Arial" w:hAnsi="Arial" w:cs="Arial"/>
        </w:rPr>
        <w:t xml:space="preserve"> </w:t>
      </w:r>
      <w:r>
        <w:rPr>
          <w:rFonts w:ascii="Arial" w:hAnsi="Arial" w:cs="Arial"/>
        </w:rPr>
        <w:t>working towards p</w:t>
      </w:r>
      <w:r w:rsidRPr="001729C5">
        <w:rPr>
          <w:rFonts w:ascii="Arial" w:hAnsi="Arial" w:cs="Arial"/>
        </w:rPr>
        <w:t>referred outcomes</w:t>
      </w:r>
      <w:r>
        <w:rPr>
          <w:rFonts w:ascii="Arial" w:hAnsi="Arial" w:cs="Arial"/>
        </w:rPr>
        <w:t>, it</w:t>
      </w:r>
      <w:r w:rsidRPr="001729C5">
        <w:rPr>
          <w:rFonts w:ascii="Arial" w:hAnsi="Arial" w:cs="Arial"/>
        </w:rPr>
        <w:t xml:space="preserve"> ensures that safety plans focus on the specific goals of the child and family, </w:t>
      </w:r>
      <w:r>
        <w:rPr>
          <w:rFonts w:ascii="Arial" w:hAnsi="Arial" w:cs="Arial"/>
        </w:rPr>
        <w:t>building trust and co-operation and empowering the family to meet their support needs and promote long-</w:t>
      </w:r>
      <w:r w:rsidRPr="00570540">
        <w:rPr>
          <w:rFonts w:ascii="Arial" w:hAnsi="Arial" w:cs="Arial"/>
        </w:rPr>
        <w:t>term change (SCW, 2026</w:t>
      </w:r>
      <w:r>
        <w:rPr>
          <w:rFonts w:ascii="Arial" w:hAnsi="Arial" w:cs="Arial"/>
        </w:rPr>
        <w:t xml:space="preserve">). </w:t>
      </w:r>
      <w:r w:rsidR="009B0E76">
        <w:rPr>
          <w:rFonts w:ascii="Arial" w:hAnsi="Arial" w:cs="Arial"/>
          <w:b/>
          <w:bCs/>
        </w:rPr>
        <w:t>52</w:t>
      </w:r>
      <w:r w:rsidR="00A00430">
        <w:rPr>
          <w:rFonts w:ascii="Arial" w:hAnsi="Arial" w:cs="Arial"/>
          <w:b/>
          <w:bCs/>
        </w:rPr>
        <w:t>7</w:t>
      </w:r>
    </w:p>
    <w:p w14:paraId="57D98BEA" w14:textId="77777777" w:rsidR="000E3D2E" w:rsidRDefault="000E3D2E" w:rsidP="000E3D2E">
      <w:pPr>
        <w:spacing w:line="360" w:lineRule="auto"/>
        <w:jc w:val="both"/>
        <w:rPr>
          <w:rFonts w:ascii="Arial" w:hAnsi="Arial" w:cs="Arial"/>
          <w:b/>
          <w:bCs/>
        </w:rPr>
      </w:pPr>
      <w:r w:rsidRPr="00F8182A">
        <w:rPr>
          <w:rFonts w:ascii="Arial" w:hAnsi="Arial" w:cs="Arial"/>
          <w:b/>
          <w:bCs/>
        </w:rPr>
        <w:t>Question B</w:t>
      </w:r>
    </w:p>
    <w:p w14:paraId="79CD76E1" w14:textId="29F343C3" w:rsidR="00DC4F9F" w:rsidRDefault="00A57A89" w:rsidP="0036112F">
      <w:pPr>
        <w:spacing w:line="360" w:lineRule="auto"/>
        <w:jc w:val="both"/>
        <w:rPr>
          <w:rFonts w:ascii="Arial" w:hAnsi="Arial" w:cs="Arial"/>
        </w:rPr>
      </w:pPr>
      <w:r>
        <w:rPr>
          <w:rFonts w:ascii="Arial" w:hAnsi="Arial" w:cs="Arial"/>
        </w:rPr>
        <w:t>S</w:t>
      </w:r>
      <w:r w:rsidR="000E3D2E">
        <w:rPr>
          <w:rFonts w:ascii="Arial" w:hAnsi="Arial" w:cs="Arial"/>
        </w:rPr>
        <w:t xml:space="preserve">afeguarding </w:t>
      </w:r>
      <w:r>
        <w:rPr>
          <w:rFonts w:ascii="Arial" w:hAnsi="Arial" w:cs="Arial"/>
        </w:rPr>
        <w:t xml:space="preserve">in Wales </w:t>
      </w:r>
      <w:r w:rsidR="00570540">
        <w:rPr>
          <w:rFonts w:ascii="Arial" w:hAnsi="Arial" w:cs="Arial"/>
        </w:rPr>
        <w:t>is</w:t>
      </w:r>
      <w:r>
        <w:rPr>
          <w:rFonts w:ascii="Arial" w:hAnsi="Arial" w:cs="Arial"/>
        </w:rPr>
        <w:t xml:space="preserve"> unified under</w:t>
      </w:r>
      <w:r w:rsidR="000E3D2E">
        <w:rPr>
          <w:rFonts w:ascii="Arial" w:hAnsi="Arial" w:cs="Arial"/>
        </w:rPr>
        <w:t xml:space="preserve"> the S</w:t>
      </w:r>
      <w:r w:rsidR="00B36B14">
        <w:rPr>
          <w:rFonts w:ascii="Arial" w:hAnsi="Arial" w:cs="Arial"/>
        </w:rPr>
        <w:t xml:space="preserve">ocial </w:t>
      </w:r>
      <w:r w:rsidR="000E3D2E">
        <w:rPr>
          <w:rFonts w:ascii="Arial" w:hAnsi="Arial" w:cs="Arial"/>
        </w:rPr>
        <w:t>S</w:t>
      </w:r>
      <w:r w:rsidR="00B36B14">
        <w:rPr>
          <w:rFonts w:ascii="Arial" w:hAnsi="Arial" w:cs="Arial"/>
        </w:rPr>
        <w:t xml:space="preserve">ervices and </w:t>
      </w:r>
      <w:r w:rsidR="000E3D2E">
        <w:rPr>
          <w:rFonts w:ascii="Arial" w:hAnsi="Arial" w:cs="Arial"/>
        </w:rPr>
        <w:t>W</w:t>
      </w:r>
      <w:r w:rsidR="00B36B14">
        <w:rPr>
          <w:rFonts w:ascii="Arial" w:hAnsi="Arial" w:cs="Arial"/>
        </w:rPr>
        <w:t>ell-</w:t>
      </w:r>
      <w:r w:rsidR="000E3D2E">
        <w:rPr>
          <w:rFonts w:ascii="Arial" w:hAnsi="Arial" w:cs="Arial"/>
        </w:rPr>
        <w:t>B</w:t>
      </w:r>
      <w:r w:rsidR="00B36B14">
        <w:rPr>
          <w:rFonts w:ascii="Arial" w:hAnsi="Arial" w:cs="Arial"/>
        </w:rPr>
        <w:t>eing (</w:t>
      </w:r>
      <w:r w:rsidR="00B36B14" w:rsidRPr="00B62CF4">
        <w:rPr>
          <w:rFonts w:ascii="Arial" w:hAnsi="Arial" w:cs="Arial"/>
        </w:rPr>
        <w:t xml:space="preserve">Wales) </w:t>
      </w:r>
      <w:r w:rsidR="000E3D2E" w:rsidRPr="00B62CF4">
        <w:rPr>
          <w:rFonts w:ascii="Arial" w:hAnsi="Arial" w:cs="Arial"/>
        </w:rPr>
        <w:t>A</w:t>
      </w:r>
      <w:r w:rsidR="00B36B14" w:rsidRPr="00B62CF4">
        <w:rPr>
          <w:rFonts w:ascii="Arial" w:hAnsi="Arial" w:cs="Arial"/>
        </w:rPr>
        <w:t>ct 2014</w:t>
      </w:r>
      <w:r w:rsidR="000E3D2E" w:rsidRPr="00B62CF4">
        <w:rPr>
          <w:rFonts w:ascii="Arial" w:hAnsi="Arial" w:cs="Arial"/>
        </w:rPr>
        <w:t xml:space="preserve"> </w:t>
      </w:r>
      <w:r w:rsidR="00B36B14" w:rsidRPr="00B62CF4">
        <w:rPr>
          <w:rFonts w:ascii="Arial" w:hAnsi="Arial" w:cs="Arial"/>
        </w:rPr>
        <w:t>(SCW, 2025)</w:t>
      </w:r>
      <w:r w:rsidR="00B36B14">
        <w:rPr>
          <w:rFonts w:ascii="Arial" w:hAnsi="Arial" w:cs="Arial"/>
        </w:rPr>
        <w:t xml:space="preserve"> </w:t>
      </w:r>
      <w:r w:rsidR="000E3D2E">
        <w:rPr>
          <w:rFonts w:ascii="Arial" w:hAnsi="Arial" w:cs="Arial"/>
        </w:rPr>
        <w:t xml:space="preserve">and standardised under the </w:t>
      </w:r>
      <w:r w:rsidR="000E3D2E" w:rsidRPr="00B62CF4">
        <w:rPr>
          <w:rFonts w:ascii="Arial" w:hAnsi="Arial" w:cs="Arial"/>
        </w:rPr>
        <w:t>Wales Safeguarding Procedures (NCVO, 2026</w:t>
      </w:r>
      <w:r w:rsidR="000E3D2E">
        <w:rPr>
          <w:rFonts w:ascii="Arial" w:hAnsi="Arial" w:cs="Arial"/>
        </w:rPr>
        <w:t>).</w:t>
      </w:r>
      <w:r w:rsidR="00396190">
        <w:rPr>
          <w:rFonts w:ascii="Arial" w:hAnsi="Arial" w:cs="Arial"/>
        </w:rPr>
        <w:t xml:space="preserve"> Under the Act, </w:t>
      </w:r>
      <w:r w:rsidR="00DE3F9E" w:rsidRPr="00DE3F9E">
        <w:rPr>
          <w:rFonts w:ascii="Arial" w:hAnsi="Arial" w:cs="Arial"/>
        </w:rPr>
        <w:t xml:space="preserve">paid and unpaid </w:t>
      </w:r>
      <w:r w:rsidR="00DE3F9E" w:rsidRPr="00DE3F9E">
        <w:rPr>
          <w:rFonts w:ascii="Arial" w:hAnsi="Arial" w:cs="Arial"/>
        </w:rPr>
        <w:t xml:space="preserve">practitioners </w:t>
      </w:r>
      <w:r w:rsidR="00DE3F9E">
        <w:rPr>
          <w:rFonts w:ascii="Arial" w:hAnsi="Arial" w:cs="Arial"/>
        </w:rPr>
        <w:t xml:space="preserve">have a legal duty to report safeguarding concerns which </w:t>
      </w:r>
      <w:r w:rsidR="00396190">
        <w:rPr>
          <w:rFonts w:ascii="Arial" w:hAnsi="Arial" w:cs="Arial"/>
        </w:rPr>
        <w:t xml:space="preserve">local authorities </w:t>
      </w:r>
      <w:r w:rsidR="00DE3F9E">
        <w:rPr>
          <w:rFonts w:ascii="Arial" w:hAnsi="Arial" w:cs="Arial"/>
        </w:rPr>
        <w:t xml:space="preserve">must </w:t>
      </w:r>
      <w:r w:rsidR="00396190">
        <w:rPr>
          <w:rFonts w:ascii="Arial" w:hAnsi="Arial" w:cs="Arial"/>
        </w:rPr>
        <w:t>investigate</w:t>
      </w:r>
      <w:r w:rsidR="00DE3F9E">
        <w:rPr>
          <w:rFonts w:ascii="Arial" w:hAnsi="Arial" w:cs="Arial"/>
        </w:rPr>
        <w:t xml:space="preserve"> </w:t>
      </w:r>
      <w:r w:rsidR="00396190" w:rsidRPr="00396190">
        <w:rPr>
          <w:rFonts w:ascii="Arial" w:hAnsi="Arial" w:cs="Arial"/>
        </w:rPr>
        <w:t xml:space="preserve">when there is reasonable </w:t>
      </w:r>
      <w:r w:rsidR="00A26118">
        <w:rPr>
          <w:rFonts w:ascii="Arial" w:hAnsi="Arial" w:cs="Arial"/>
        </w:rPr>
        <w:t xml:space="preserve">concern </w:t>
      </w:r>
      <w:r w:rsidR="00396190" w:rsidRPr="00396190">
        <w:rPr>
          <w:rFonts w:ascii="Arial" w:hAnsi="Arial" w:cs="Arial"/>
        </w:rPr>
        <w:t>a child or adult is at risk of abuse, neglect, or harm.</w:t>
      </w:r>
      <w:r w:rsidR="000901DF">
        <w:rPr>
          <w:rFonts w:ascii="Arial" w:hAnsi="Arial" w:cs="Arial"/>
        </w:rPr>
        <w:t xml:space="preserve"> </w:t>
      </w:r>
    </w:p>
    <w:p w14:paraId="5A00D25F" w14:textId="2BD492C5" w:rsidR="00A26118" w:rsidRDefault="0036112F" w:rsidP="00DC4F9F">
      <w:pPr>
        <w:spacing w:line="360" w:lineRule="auto"/>
        <w:jc w:val="both"/>
        <w:rPr>
          <w:rFonts w:ascii="Arial" w:hAnsi="Arial" w:cs="Arial"/>
        </w:rPr>
      </w:pPr>
      <w:r>
        <w:rPr>
          <w:rFonts w:ascii="Arial" w:hAnsi="Arial" w:cs="Arial"/>
        </w:rPr>
        <w:t xml:space="preserve">For children and young people under 18, </w:t>
      </w:r>
      <w:r w:rsidR="00DC4F9F" w:rsidRPr="009B0E76">
        <w:rPr>
          <w:rFonts w:ascii="Arial" w:hAnsi="Arial" w:cs="Arial"/>
        </w:rPr>
        <w:t xml:space="preserve">Section 21 of the Act, </w:t>
      </w:r>
      <w:r w:rsidR="00A26118">
        <w:rPr>
          <w:rFonts w:ascii="Arial" w:hAnsi="Arial" w:cs="Arial"/>
        </w:rPr>
        <w:t xml:space="preserve">mandates </w:t>
      </w:r>
      <w:r w:rsidR="00DC4F9F" w:rsidRPr="009B0E76">
        <w:rPr>
          <w:rFonts w:ascii="Arial" w:hAnsi="Arial" w:cs="Arial"/>
        </w:rPr>
        <w:t>authorit</w:t>
      </w:r>
      <w:r w:rsidR="00A26118">
        <w:rPr>
          <w:rFonts w:ascii="Arial" w:hAnsi="Arial" w:cs="Arial"/>
        </w:rPr>
        <w:t xml:space="preserve">ies to </w:t>
      </w:r>
      <w:r w:rsidR="00C4726B">
        <w:rPr>
          <w:rFonts w:ascii="Arial" w:hAnsi="Arial" w:cs="Arial"/>
        </w:rPr>
        <w:t>investigate.</w:t>
      </w:r>
      <w:r w:rsidR="00DC4F9F" w:rsidRPr="009B0E76">
        <w:rPr>
          <w:rFonts w:ascii="Arial" w:hAnsi="Arial" w:cs="Arial"/>
        </w:rPr>
        <w:t xml:space="preserve"> </w:t>
      </w:r>
      <w:r w:rsidR="00DC4F9F">
        <w:rPr>
          <w:rFonts w:ascii="Arial" w:hAnsi="Arial" w:cs="Arial"/>
        </w:rPr>
        <w:t xml:space="preserve">If there is significant risk, the authority has a legal duty under Section 47 of the Children Act (1989) to </w:t>
      </w:r>
      <w:r w:rsidR="00C4726B">
        <w:rPr>
          <w:rFonts w:ascii="Arial" w:hAnsi="Arial" w:cs="Arial"/>
        </w:rPr>
        <w:t xml:space="preserve">complete an enquiry </w:t>
      </w:r>
      <w:r w:rsidR="00DC4F9F" w:rsidRPr="00CD0F3A">
        <w:rPr>
          <w:rFonts w:ascii="Arial" w:hAnsi="Arial" w:cs="Arial"/>
        </w:rPr>
        <w:t>within 45 days of the referral (NSPCC 20</w:t>
      </w:r>
      <w:r w:rsidR="00CD0F3A" w:rsidRPr="00CD0F3A">
        <w:rPr>
          <w:rFonts w:ascii="Arial" w:hAnsi="Arial" w:cs="Arial"/>
        </w:rPr>
        <w:t>24</w:t>
      </w:r>
      <w:r w:rsidR="00DC4F9F" w:rsidRPr="00CD0F3A">
        <w:rPr>
          <w:rFonts w:ascii="Arial" w:hAnsi="Arial" w:cs="Arial"/>
        </w:rPr>
        <w:t xml:space="preserve">). A strategy meeting </w:t>
      </w:r>
      <w:r w:rsidR="00570540">
        <w:rPr>
          <w:rFonts w:ascii="Arial" w:hAnsi="Arial" w:cs="Arial"/>
        </w:rPr>
        <w:t>is</w:t>
      </w:r>
      <w:r w:rsidR="00DC4F9F" w:rsidRPr="00CD0F3A">
        <w:rPr>
          <w:rFonts w:ascii="Arial" w:hAnsi="Arial" w:cs="Arial"/>
        </w:rPr>
        <w:t xml:space="preserve"> held immediately if the risk</w:t>
      </w:r>
      <w:r w:rsidR="00DC4F9F" w:rsidRPr="001729C5">
        <w:rPr>
          <w:rFonts w:ascii="Arial" w:hAnsi="Arial" w:cs="Arial"/>
        </w:rPr>
        <w:t xml:space="preserve"> is severe or within 24 hours if the risk is not immediate</w:t>
      </w:r>
      <w:r w:rsidR="00C4726B">
        <w:rPr>
          <w:rFonts w:ascii="Arial" w:hAnsi="Arial" w:cs="Arial"/>
        </w:rPr>
        <w:t xml:space="preserve"> to decide what action, if any, must be taken. </w:t>
      </w:r>
      <w:r w:rsidR="00DC4F9F">
        <w:rPr>
          <w:rFonts w:ascii="Arial" w:hAnsi="Arial" w:cs="Arial"/>
        </w:rPr>
        <w:t xml:space="preserve">For children under 16, decisions are </w:t>
      </w:r>
      <w:r w:rsidR="00570540">
        <w:rPr>
          <w:rFonts w:ascii="Arial" w:hAnsi="Arial" w:cs="Arial"/>
        </w:rPr>
        <w:t>determined</w:t>
      </w:r>
      <w:r w:rsidR="00DC4F9F">
        <w:rPr>
          <w:rFonts w:ascii="Arial" w:hAnsi="Arial" w:cs="Arial"/>
        </w:rPr>
        <w:t xml:space="preserve"> by parental responsibility </w:t>
      </w:r>
      <w:r w:rsidR="00DC4F9F" w:rsidRPr="00CD0F3A">
        <w:rPr>
          <w:rFonts w:ascii="Arial" w:hAnsi="Arial" w:cs="Arial"/>
        </w:rPr>
        <w:t>and the Children Act 1989. The Gillick competence and Fraser guidelines determine whether a young person is mature enough to make decisions and understand the implication of those decisions (NSPCC, 2022</w:t>
      </w:r>
      <w:r w:rsidR="00DC4F9F">
        <w:rPr>
          <w:rFonts w:ascii="Arial" w:hAnsi="Arial" w:cs="Arial"/>
        </w:rPr>
        <w:t xml:space="preserve">).  Parental duty </w:t>
      </w:r>
      <w:r w:rsidR="00C4726B">
        <w:rPr>
          <w:rFonts w:ascii="Arial" w:hAnsi="Arial" w:cs="Arial"/>
        </w:rPr>
        <w:t xml:space="preserve">declines </w:t>
      </w:r>
      <w:r w:rsidR="00DC4F9F">
        <w:rPr>
          <w:rFonts w:ascii="Arial" w:hAnsi="Arial" w:cs="Arial"/>
        </w:rPr>
        <w:t xml:space="preserve">as a child </w:t>
      </w:r>
      <w:r w:rsidR="00C4726B">
        <w:rPr>
          <w:rFonts w:ascii="Arial" w:hAnsi="Arial" w:cs="Arial"/>
        </w:rPr>
        <w:t xml:space="preserve">matures, enabling the </w:t>
      </w:r>
      <w:r w:rsidR="00DC4F9F">
        <w:rPr>
          <w:rFonts w:ascii="Arial" w:hAnsi="Arial" w:cs="Arial"/>
        </w:rPr>
        <w:t>child to make decisions independently</w:t>
      </w:r>
      <w:r w:rsidR="00A26118">
        <w:rPr>
          <w:rFonts w:ascii="Arial" w:hAnsi="Arial" w:cs="Arial"/>
        </w:rPr>
        <w:t xml:space="preserve">, </w:t>
      </w:r>
      <w:r w:rsidR="00C4726B">
        <w:rPr>
          <w:rFonts w:ascii="Arial" w:hAnsi="Arial" w:cs="Arial"/>
        </w:rPr>
        <w:t xml:space="preserve">although these </w:t>
      </w:r>
      <w:r w:rsidR="00570540">
        <w:rPr>
          <w:rFonts w:ascii="Arial" w:hAnsi="Arial" w:cs="Arial"/>
        </w:rPr>
        <w:t xml:space="preserve">are </w:t>
      </w:r>
      <w:r w:rsidR="00DC4F9F">
        <w:rPr>
          <w:rFonts w:ascii="Arial" w:hAnsi="Arial" w:cs="Arial"/>
        </w:rPr>
        <w:t xml:space="preserve">overridden in high risk situations. </w:t>
      </w:r>
    </w:p>
    <w:p w14:paraId="1EB7AB57" w14:textId="0ED3A184" w:rsidR="00AA754A" w:rsidRDefault="0089144C" w:rsidP="00AA754A">
      <w:pPr>
        <w:spacing w:line="360" w:lineRule="auto"/>
        <w:jc w:val="both"/>
        <w:rPr>
          <w:rFonts w:ascii="Arial" w:hAnsi="Arial" w:cs="Arial"/>
        </w:rPr>
      </w:pPr>
      <w:r>
        <w:rPr>
          <w:rFonts w:ascii="Arial" w:hAnsi="Arial" w:cs="Arial"/>
        </w:rPr>
        <w:t>When a child is subjected to significant harm</w:t>
      </w:r>
      <w:r w:rsidR="00C4726B">
        <w:rPr>
          <w:rFonts w:ascii="Arial" w:hAnsi="Arial" w:cs="Arial"/>
        </w:rPr>
        <w:t xml:space="preserve">, </w:t>
      </w:r>
      <w:r>
        <w:rPr>
          <w:rFonts w:ascii="Arial" w:hAnsi="Arial" w:cs="Arial"/>
        </w:rPr>
        <w:t>compulsory powers can be considered under the Children 1989. There are 3 orders that can be made</w:t>
      </w:r>
      <w:r w:rsidR="00F769C3">
        <w:rPr>
          <w:rFonts w:ascii="Arial" w:hAnsi="Arial" w:cs="Arial"/>
        </w:rPr>
        <w:t>:</w:t>
      </w:r>
      <w:r>
        <w:rPr>
          <w:rFonts w:ascii="Arial" w:hAnsi="Arial" w:cs="Arial"/>
        </w:rPr>
        <w:t xml:space="preserve"> </w:t>
      </w:r>
      <w:r w:rsidR="00AA754A" w:rsidRPr="00AA754A">
        <w:rPr>
          <w:rFonts w:ascii="Arial" w:hAnsi="Arial" w:cs="Arial"/>
        </w:rPr>
        <w:t xml:space="preserve">Emergency Protection </w:t>
      </w:r>
      <w:r w:rsidR="00AA754A" w:rsidRPr="00AA754A">
        <w:rPr>
          <w:rFonts w:ascii="Arial" w:hAnsi="Arial" w:cs="Arial"/>
        </w:rPr>
        <w:lastRenderedPageBreak/>
        <w:t>Orders</w:t>
      </w:r>
      <w:r>
        <w:rPr>
          <w:rFonts w:ascii="Arial" w:hAnsi="Arial" w:cs="Arial"/>
        </w:rPr>
        <w:t>, a Court directive for the child’s removal and parental responsibility to be passed to the local authority</w:t>
      </w:r>
      <w:r w:rsidR="00F769C3">
        <w:rPr>
          <w:rFonts w:ascii="Arial" w:hAnsi="Arial" w:cs="Arial"/>
        </w:rPr>
        <w:t xml:space="preserve">; </w:t>
      </w:r>
      <w:r w:rsidR="00AA754A" w:rsidRPr="00AA754A">
        <w:rPr>
          <w:rFonts w:ascii="Arial" w:hAnsi="Arial" w:cs="Arial"/>
        </w:rPr>
        <w:t>Exclusion Orders</w:t>
      </w:r>
      <w:r w:rsidR="00F769C3">
        <w:rPr>
          <w:rFonts w:ascii="Arial" w:hAnsi="Arial" w:cs="Arial"/>
        </w:rPr>
        <w:t xml:space="preserve"> where the perpetrator is removed instead of the child; </w:t>
      </w:r>
      <w:r w:rsidR="00F769C3" w:rsidRPr="00DF6505">
        <w:rPr>
          <w:rFonts w:ascii="Arial" w:hAnsi="Arial" w:cs="Arial"/>
        </w:rPr>
        <w:t>P</w:t>
      </w:r>
      <w:r w:rsidR="00AA754A" w:rsidRPr="00DF6505">
        <w:rPr>
          <w:rFonts w:ascii="Arial" w:hAnsi="Arial" w:cs="Arial"/>
        </w:rPr>
        <w:t xml:space="preserve">olice Powers of Protection </w:t>
      </w:r>
      <w:r w:rsidR="00C4726B" w:rsidRPr="00DF6505">
        <w:rPr>
          <w:rFonts w:ascii="Arial" w:hAnsi="Arial" w:cs="Arial"/>
        </w:rPr>
        <w:t xml:space="preserve">for when </w:t>
      </w:r>
      <w:r w:rsidR="00F769C3" w:rsidRPr="00DF6505">
        <w:rPr>
          <w:rFonts w:ascii="Arial" w:hAnsi="Arial" w:cs="Arial"/>
        </w:rPr>
        <w:t>a delay in obtaining a court order may leave a child at risk</w:t>
      </w:r>
      <w:r w:rsidR="00DE3F9E" w:rsidRPr="00DF6505">
        <w:rPr>
          <w:rFonts w:ascii="Arial" w:hAnsi="Arial" w:cs="Arial"/>
        </w:rPr>
        <w:t xml:space="preserve"> (SCW, 2026)</w:t>
      </w:r>
      <w:r w:rsidR="00F769C3" w:rsidRPr="00DF6505">
        <w:rPr>
          <w:rFonts w:ascii="Arial" w:hAnsi="Arial" w:cs="Arial"/>
        </w:rPr>
        <w:t>.</w:t>
      </w:r>
    </w:p>
    <w:p w14:paraId="40DC4DDF" w14:textId="0AA36991" w:rsidR="00DC4F9F" w:rsidRDefault="00C5362B" w:rsidP="00DC4F9F">
      <w:pPr>
        <w:spacing w:line="360" w:lineRule="auto"/>
        <w:jc w:val="both"/>
        <w:rPr>
          <w:rFonts w:ascii="Arial" w:hAnsi="Arial" w:cs="Arial"/>
        </w:rPr>
      </w:pPr>
      <w:r>
        <w:rPr>
          <w:rFonts w:ascii="Arial" w:hAnsi="Arial" w:cs="Arial"/>
        </w:rPr>
        <w:t>For adults, u</w:t>
      </w:r>
      <w:r w:rsidR="004535F0">
        <w:rPr>
          <w:rFonts w:ascii="Arial" w:hAnsi="Arial" w:cs="Arial"/>
        </w:rPr>
        <w:t xml:space="preserve">nder </w:t>
      </w:r>
      <w:r w:rsidR="004535F0" w:rsidRPr="00DF6505">
        <w:rPr>
          <w:rFonts w:ascii="Arial" w:hAnsi="Arial" w:cs="Arial"/>
        </w:rPr>
        <w:t>Section 126</w:t>
      </w:r>
      <w:r w:rsidR="004535F0">
        <w:rPr>
          <w:rFonts w:ascii="Arial" w:hAnsi="Arial" w:cs="Arial"/>
        </w:rPr>
        <w:t xml:space="preserve"> of the Act</w:t>
      </w:r>
      <w:r w:rsidR="00DF6505">
        <w:rPr>
          <w:rFonts w:ascii="Arial" w:hAnsi="Arial" w:cs="Arial"/>
        </w:rPr>
        <w:t xml:space="preserve"> (SCW, 2025)</w:t>
      </w:r>
      <w:r w:rsidR="004535F0">
        <w:rPr>
          <w:rFonts w:ascii="Arial" w:hAnsi="Arial" w:cs="Arial"/>
        </w:rPr>
        <w:t xml:space="preserve">, </w:t>
      </w:r>
      <w:r w:rsidR="00DC4F9F">
        <w:rPr>
          <w:rFonts w:ascii="Arial" w:hAnsi="Arial" w:cs="Arial"/>
        </w:rPr>
        <w:t>services must act</w:t>
      </w:r>
      <w:r>
        <w:rPr>
          <w:rFonts w:ascii="Arial" w:hAnsi="Arial" w:cs="Arial"/>
        </w:rPr>
        <w:t xml:space="preserve"> o</w:t>
      </w:r>
      <w:r w:rsidR="004535F0">
        <w:rPr>
          <w:rFonts w:ascii="Arial" w:hAnsi="Arial" w:cs="Arial"/>
        </w:rPr>
        <w:t>nce a concern has been raised</w:t>
      </w:r>
      <w:r>
        <w:rPr>
          <w:rFonts w:ascii="Arial" w:hAnsi="Arial" w:cs="Arial"/>
        </w:rPr>
        <w:t>. I</w:t>
      </w:r>
      <w:r w:rsidR="007306AA" w:rsidRPr="00DC4F9F">
        <w:rPr>
          <w:rFonts w:ascii="Arial" w:hAnsi="Arial" w:cs="Arial"/>
        </w:rPr>
        <w:t xml:space="preserve">nitial enquiries and factual evaluations </w:t>
      </w:r>
      <w:r w:rsidR="007306AA">
        <w:rPr>
          <w:rFonts w:ascii="Arial" w:hAnsi="Arial" w:cs="Arial"/>
        </w:rPr>
        <w:t xml:space="preserve">are </w:t>
      </w:r>
      <w:r w:rsidR="007306AA" w:rsidRPr="00DC4F9F">
        <w:rPr>
          <w:rFonts w:ascii="Arial" w:hAnsi="Arial" w:cs="Arial"/>
        </w:rPr>
        <w:t>completed within 7 working days</w:t>
      </w:r>
      <w:r>
        <w:rPr>
          <w:rFonts w:ascii="Arial" w:hAnsi="Arial" w:cs="Arial"/>
        </w:rPr>
        <w:t>, allowing p</w:t>
      </w:r>
      <w:r w:rsidR="007306AA" w:rsidRPr="007306AA">
        <w:rPr>
          <w:rFonts w:ascii="Arial" w:hAnsi="Arial" w:cs="Arial"/>
        </w:rPr>
        <w:t>r</w:t>
      </w:r>
      <w:r w:rsidR="007306AA">
        <w:rPr>
          <w:rFonts w:ascii="Arial" w:hAnsi="Arial" w:cs="Arial"/>
        </w:rPr>
        <w:t xml:space="preserve">actitioners </w:t>
      </w:r>
      <w:r>
        <w:rPr>
          <w:rFonts w:ascii="Arial" w:hAnsi="Arial" w:cs="Arial"/>
        </w:rPr>
        <w:t xml:space="preserve">time to </w:t>
      </w:r>
      <w:r w:rsidR="007306AA" w:rsidRPr="007306AA">
        <w:rPr>
          <w:rFonts w:ascii="Arial" w:hAnsi="Arial" w:cs="Arial"/>
        </w:rPr>
        <w:t>assess the urgency</w:t>
      </w:r>
      <w:r>
        <w:rPr>
          <w:rFonts w:ascii="Arial" w:hAnsi="Arial" w:cs="Arial"/>
        </w:rPr>
        <w:t xml:space="preserve"> and determine </w:t>
      </w:r>
      <w:r w:rsidR="007306AA" w:rsidRPr="007306AA">
        <w:rPr>
          <w:rFonts w:ascii="Arial" w:hAnsi="Arial" w:cs="Arial"/>
        </w:rPr>
        <w:t xml:space="preserve">the </w:t>
      </w:r>
      <w:r w:rsidR="007306AA">
        <w:rPr>
          <w:rFonts w:ascii="Arial" w:hAnsi="Arial" w:cs="Arial"/>
        </w:rPr>
        <w:t>individual</w:t>
      </w:r>
      <w:r w:rsidR="007306AA" w:rsidRPr="007306AA">
        <w:rPr>
          <w:rFonts w:ascii="Arial" w:hAnsi="Arial" w:cs="Arial"/>
        </w:rPr>
        <w:t xml:space="preserve">'s mental capacity under the Mental Capacity Act </w:t>
      </w:r>
      <w:r w:rsidR="007306AA">
        <w:rPr>
          <w:rFonts w:ascii="Arial" w:hAnsi="Arial" w:cs="Arial"/>
        </w:rPr>
        <w:t>(</w:t>
      </w:r>
      <w:r w:rsidR="007306AA" w:rsidRPr="007306AA">
        <w:rPr>
          <w:rFonts w:ascii="Arial" w:hAnsi="Arial" w:cs="Arial"/>
        </w:rPr>
        <w:t xml:space="preserve">2005), and </w:t>
      </w:r>
      <w:r w:rsidR="007306AA">
        <w:rPr>
          <w:rFonts w:ascii="Arial" w:hAnsi="Arial" w:cs="Arial"/>
        </w:rPr>
        <w:t xml:space="preserve">their </w:t>
      </w:r>
      <w:r w:rsidR="007306AA" w:rsidRPr="007306AA">
        <w:rPr>
          <w:rFonts w:ascii="Arial" w:hAnsi="Arial" w:cs="Arial"/>
        </w:rPr>
        <w:t>wishes and outcomes.</w:t>
      </w:r>
      <w:r w:rsidR="00DC4F9F">
        <w:rPr>
          <w:rFonts w:ascii="Arial" w:hAnsi="Arial" w:cs="Arial"/>
        </w:rPr>
        <w:t xml:space="preserve"> </w:t>
      </w:r>
      <w:r>
        <w:rPr>
          <w:rFonts w:ascii="Arial" w:hAnsi="Arial" w:cs="Arial"/>
        </w:rPr>
        <w:t>A multi-agency team decide on what action is required, with steps taken to ensure the adult’s safety.</w:t>
      </w:r>
      <w:r w:rsidR="00DC4F9F">
        <w:rPr>
          <w:rFonts w:ascii="Arial" w:hAnsi="Arial" w:cs="Arial"/>
        </w:rPr>
        <w:t xml:space="preserve"> </w:t>
      </w:r>
      <w:r w:rsidR="00DC4F9F" w:rsidRPr="00B36B14">
        <w:rPr>
          <w:rFonts w:ascii="Arial" w:hAnsi="Arial" w:cs="Arial"/>
        </w:rPr>
        <w:t xml:space="preserve">Adult Protection and Support Orders </w:t>
      </w:r>
      <w:r w:rsidR="00C4726B">
        <w:rPr>
          <w:rFonts w:ascii="Arial" w:hAnsi="Arial" w:cs="Arial"/>
        </w:rPr>
        <w:t xml:space="preserve">must be applied for </w:t>
      </w:r>
      <w:r w:rsidR="00DC4F9F" w:rsidRPr="00B36B14">
        <w:rPr>
          <w:rFonts w:ascii="Arial" w:hAnsi="Arial" w:cs="Arial"/>
        </w:rPr>
        <w:t xml:space="preserve">to enable adults at risk to express their views independently. </w:t>
      </w:r>
      <w:r w:rsidR="00DC4F9F">
        <w:rPr>
          <w:rFonts w:ascii="Arial" w:hAnsi="Arial" w:cs="Arial"/>
        </w:rPr>
        <w:t xml:space="preserve">These do not grant a power of removal and can only be used when a practitioner is prevented from speaking to the adult at risk, or it is suspected they are being coerced or threatened into not speaking </w:t>
      </w:r>
      <w:r w:rsidR="00DC4F9F" w:rsidRPr="00DF6505">
        <w:rPr>
          <w:rFonts w:ascii="Arial" w:hAnsi="Arial" w:cs="Arial"/>
        </w:rPr>
        <w:t>(SCW, 202</w:t>
      </w:r>
      <w:r w:rsidR="00DF6505" w:rsidRPr="00DF6505">
        <w:rPr>
          <w:rFonts w:ascii="Arial" w:hAnsi="Arial" w:cs="Arial"/>
        </w:rPr>
        <w:t>5</w:t>
      </w:r>
      <w:r w:rsidR="00DC4F9F" w:rsidRPr="00DF6505">
        <w:rPr>
          <w:rFonts w:ascii="Arial" w:hAnsi="Arial" w:cs="Arial"/>
        </w:rPr>
        <w:t>)</w:t>
      </w:r>
      <w:r w:rsidR="00A00430" w:rsidRPr="00DF6505">
        <w:rPr>
          <w:rFonts w:ascii="Arial" w:hAnsi="Arial" w:cs="Arial"/>
        </w:rPr>
        <w:t xml:space="preserve">. </w:t>
      </w:r>
      <w:r w:rsidR="00DE3F9E" w:rsidRPr="0062080E">
        <w:rPr>
          <w:rFonts w:ascii="Arial" w:hAnsi="Arial" w:cs="Arial"/>
        </w:rPr>
        <w:t>The actions put in place are followed up by further conferences to review their effectiveness</w:t>
      </w:r>
      <w:r w:rsidR="00570540">
        <w:rPr>
          <w:rFonts w:ascii="Arial" w:hAnsi="Arial" w:cs="Arial"/>
        </w:rPr>
        <w:t xml:space="preserve"> (SCW, 2026)</w:t>
      </w:r>
      <w:r w:rsidR="00DE3F9E" w:rsidRPr="0062080E">
        <w:rPr>
          <w:rFonts w:ascii="Arial" w:hAnsi="Arial" w:cs="Arial"/>
        </w:rPr>
        <w:t xml:space="preserve">. </w:t>
      </w:r>
      <w:r w:rsidR="00DE3F9E" w:rsidRPr="0062080E">
        <w:rPr>
          <w:rFonts w:ascii="Arial" w:hAnsi="Arial" w:cs="Arial"/>
          <w:b/>
          <w:bCs/>
        </w:rPr>
        <w:t>4</w:t>
      </w:r>
      <w:r w:rsidR="00A00430">
        <w:rPr>
          <w:rFonts w:ascii="Arial" w:hAnsi="Arial" w:cs="Arial"/>
          <w:b/>
          <w:bCs/>
        </w:rPr>
        <w:t>28</w:t>
      </w:r>
    </w:p>
    <w:p w14:paraId="611166EC" w14:textId="5EA43F0C" w:rsidR="00DC4F9F" w:rsidRDefault="00DC4F9F" w:rsidP="0036112F">
      <w:pPr>
        <w:spacing w:line="360" w:lineRule="auto"/>
        <w:jc w:val="both"/>
        <w:rPr>
          <w:rFonts w:ascii="Arial" w:hAnsi="Arial" w:cs="Arial"/>
        </w:rPr>
      </w:pPr>
    </w:p>
    <w:p w14:paraId="1D3DB999" w14:textId="6A8E5187" w:rsidR="00255CC8" w:rsidRDefault="00255CC8" w:rsidP="00056CC2">
      <w:pPr>
        <w:spacing w:line="360" w:lineRule="auto"/>
        <w:jc w:val="both"/>
        <w:rPr>
          <w:rFonts w:ascii="Arial" w:hAnsi="Arial" w:cs="Arial"/>
        </w:rPr>
      </w:pPr>
    </w:p>
    <w:p w14:paraId="1898E766" w14:textId="77777777" w:rsidR="00043025" w:rsidRDefault="00043025" w:rsidP="00616063">
      <w:pPr>
        <w:spacing w:line="360" w:lineRule="auto"/>
        <w:jc w:val="both"/>
        <w:rPr>
          <w:rFonts w:ascii="Arial" w:hAnsi="Arial" w:cs="Arial"/>
        </w:rPr>
      </w:pPr>
    </w:p>
    <w:p w14:paraId="2A377C74" w14:textId="77777777" w:rsidR="00043025" w:rsidRDefault="00043025" w:rsidP="00616063">
      <w:pPr>
        <w:spacing w:line="360" w:lineRule="auto"/>
        <w:jc w:val="both"/>
        <w:rPr>
          <w:rFonts w:ascii="Arial" w:hAnsi="Arial" w:cs="Arial"/>
        </w:rPr>
      </w:pPr>
    </w:p>
    <w:p w14:paraId="126275FB" w14:textId="77777777" w:rsidR="00043025" w:rsidRDefault="00043025" w:rsidP="00616063">
      <w:pPr>
        <w:spacing w:line="360" w:lineRule="auto"/>
        <w:jc w:val="both"/>
        <w:rPr>
          <w:rFonts w:ascii="Arial" w:hAnsi="Arial" w:cs="Arial"/>
        </w:rPr>
      </w:pPr>
    </w:p>
    <w:p w14:paraId="5DA32196" w14:textId="77777777" w:rsidR="00043025" w:rsidRDefault="00043025" w:rsidP="00616063">
      <w:pPr>
        <w:spacing w:line="360" w:lineRule="auto"/>
        <w:jc w:val="both"/>
        <w:rPr>
          <w:rFonts w:ascii="Arial" w:hAnsi="Arial" w:cs="Arial"/>
        </w:rPr>
      </w:pPr>
    </w:p>
    <w:p w14:paraId="4826C392" w14:textId="77777777" w:rsidR="00043025" w:rsidRDefault="00043025" w:rsidP="00616063">
      <w:pPr>
        <w:spacing w:line="360" w:lineRule="auto"/>
        <w:jc w:val="both"/>
        <w:rPr>
          <w:rFonts w:ascii="Arial" w:hAnsi="Arial" w:cs="Arial"/>
        </w:rPr>
      </w:pPr>
    </w:p>
    <w:sectPr w:rsidR="000430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D2E"/>
    <w:rsid w:val="00043025"/>
    <w:rsid w:val="00050A2D"/>
    <w:rsid w:val="00056CC2"/>
    <w:rsid w:val="000860E5"/>
    <w:rsid w:val="000901DF"/>
    <w:rsid w:val="000C1F88"/>
    <w:rsid w:val="000E25BD"/>
    <w:rsid w:val="000E3D2E"/>
    <w:rsid w:val="0014554C"/>
    <w:rsid w:val="001A2A63"/>
    <w:rsid w:val="001D6B5D"/>
    <w:rsid w:val="0021697B"/>
    <w:rsid w:val="00255CC8"/>
    <w:rsid w:val="0036112F"/>
    <w:rsid w:val="00396190"/>
    <w:rsid w:val="003976C1"/>
    <w:rsid w:val="003A04B7"/>
    <w:rsid w:val="003A635D"/>
    <w:rsid w:val="004535F0"/>
    <w:rsid w:val="00570540"/>
    <w:rsid w:val="00581F11"/>
    <w:rsid w:val="00616063"/>
    <w:rsid w:val="0062080E"/>
    <w:rsid w:val="00644003"/>
    <w:rsid w:val="006629C6"/>
    <w:rsid w:val="006D5F4E"/>
    <w:rsid w:val="006E5DE4"/>
    <w:rsid w:val="007306AA"/>
    <w:rsid w:val="007D3D08"/>
    <w:rsid w:val="00884408"/>
    <w:rsid w:val="0089144C"/>
    <w:rsid w:val="008E4FB4"/>
    <w:rsid w:val="008F3B94"/>
    <w:rsid w:val="008F5F5F"/>
    <w:rsid w:val="0090108D"/>
    <w:rsid w:val="009B0E76"/>
    <w:rsid w:val="00A00430"/>
    <w:rsid w:val="00A26118"/>
    <w:rsid w:val="00A57A82"/>
    <w:rsid w:val="00A57A89"/>
    <w:rsid w:val="00A57F62"/>
    <w:rsid w:val="00A66C7E"/>
    <w:rsid w:val="00A77FCD"/>
    <w:rsid w:val="00AA754A"/>
    <w:rsid w:val="00AC6931"/>
    <w:rsid w:val="00B36B14"/>
    <w:rsid w:val="00B62CF4"/>
    <w:rsid w:val="00BA4767"/>
    <w:rsid w:val="00BE404C"/>
    <w:rsid w:val="00C4726B"/>
    <w:rsid w:val="00C5362B"/>
    <w:rsid w:val="00C84916"/>
    <w:rsid w:val="00CD0F3A"/>
    <w:rsid w:val="00D67B4B"/>
    <w:rsid w:val="00D83FC7"/>
    <w:rsid w:val="00DC4F9F"/>
    <w:rsid w:val="00DE3F9E"/>
    <w:rsid w:val="00DF6505"/>
    <w:rsid w:val="00E01BAC"/>
    <w:rsid w:val="00EA6844"/>
    <w:rsid w:val="00F22479"/>
    <w:rsid w:val="00F769C3"/>
    <w:rsid w:val="00FE6CBC"/>
    <w:rsid w:val="00FF4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E468E"/>
  <w15:chartTrackingRefBased/>
  <w15:docId w15:val="{30519C38-603E-40F0-ADA3-F8485AE2D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063"/>
  </w:style>
  <w:style w:type="paragraph" w:styleId="Heading1">
    <w:name w:val="heading 1"/>
    <w:basedOn w:val="Normal"/>
    <w:next w:val="Normal"/>
    <w:link w:val="Heading1Char"/>
    <w:uiPriority w:val="9"/>
    <w:qFormat/>
    <w:rsid w:val="000E3D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3D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3D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D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D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D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D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D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D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D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3D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3D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D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D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D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D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D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D2E"/>
    <w:rPr>
      <w:rFonts w:eastAsiaTheme="majorEastAsia" w:cstheme="majorBidi"/>
      <w:color w:val="272727" w:themeColor="text1" w:themeTint="D8"/>
    </w:rPr>
  </w:style>
  <w:style w:type="paragraph" w:styleId="Title">
    <w:name w:val="Title"/>
    <w:basedOn w:val="Normal"/>
    <w:next w:val="Normal"/>
    <w:link w:val="TitleChar"/>
    <w:uiPriority w:val="10"/>
    <w:qFormat/>
    <w:rsid w:val="000E3D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D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D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D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D2E"/>
    <w:pPr>
      <w:spacing w:before="160"/>
      <w:jc w:val="center"/>
    </w:pPr>
    <w:rPr>
      <w:i/>
      <w:iCs/>
      <w:color w:val="404040" w:themeColor="text1" w:themeTint="BF"/>
    </w:rPr>
  </w:style>
  <w:style w:type="character" w:customStyle="1" w:styleId="QuoteChar">
    <w:name w:val="Quote Char"/>
    <w:basedOn w:val="DefaultParagraphFont"/>
    <w:link w:val="Quote"/>
    <w:uiPriority w:val="29"/>
    <w:rsid w:val="000E3D2E"/>
    <w:rPr>
      <w:i/>
      <w:iCs/>
      <w:color w:val="404040" w:themeColor="text1" w:themeTint="BF"/>
    </w:rPr>
  </w:style>
  <w:style w:type="paragraph" w:styleId="ListParagraph">
    <w:name w:val="List Paragraph"/>
    <w:basedOn w:val="Normal"/>
    <w:uiPriority w:val="34"/>
    <w:qFormat/>
    <w:rsid w:val="000E3D2E"/>
    <w:pPr>
      <w:ind w:left="720"/>
      <w:contextualSpacing/>
    </w:pPr>
  </w:style>
  <w:style w:type="character" w:styleId="IntenseEmphasis">
    <w:name w:val="Intense Emphasis"/>
    <w:basedOn w:val="DefaultParagraphFont"/>
    <w:uiPriority w:val="21"/>
    <w:qFormat/>
    <w:rsid w:val="000E3D2E"/>
    <w:rPr>
      <w:i/>
      <w:iCs/>
      <w:color w:val="0F4761" w:themeColor="accent1" w:themeShade="BF"/>
    </w:rPr>
  </w:style>
  <w:style w:type="paragraph" w:styleId="IntenseQuote">
    <w:name w:val="Intense Quote"/>
    <w:basedOn w:val="Normal"/>
    <w:next w:val="Normal"/>
    <w:link w:val="IntenseQuoteChar"/>
    <w:uiPriority w:val="30"/>
    <w:qFormat/>
    <w:rsid w:val="000E3D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D2E"/>
    <w:rPr>
      <w:i/>
      <w:iCs/>
      <w:color w:val="0F4761" w:themeColor="accent1" w:themeShade="BF"/>
    </w:rPr>
  </w:style>
  <w:style w:type="character" w:styleId="IntenseReference">
    <w:name w:val="Intense Reference"/>
    <w:basedOn w:val="DefaultParagraphFont"/>
    <w:uiPriority w:val="32"/>
    <w:qFormat/>
    <w:rsid w:val="000E3D2E"/>
    <w:rPr>
      <w:b/>
      <w:bCs/>
      <w:smallCaps/>
      <w:color w:val="0F4761" w:themeColor="accent1" w:themeShade="BF"/>
      <w:spacing w:val="5"/>
    </w:rPr>
  </w:style>
  <w:style w:type="character" w:styleId="Hyperlink">
    <w:name w:val="Hyperlink"/>
    <w:basedOn w:val="DefaultParagraphFont"/>
    <w:uiPriority w:val="99"/>
    <w:unhideWhenUsed/>
    <w:rsid w:val="000E3D2E"/>
    <w:rPr>
      <w:color w:val="467886" w:themeColor="hyperlink"/>
      <w:u w:val="single"/>
    </w:rPr>
  </w:style>
  <w:style w:type="character" w:styleId="CommentReference">
    <w:name w:val="annotation reference"/>
    <w:basedOn w:val="DefaultParagraphFont"/>
    <w:uiPriority w:val="99"/>
    <w:semiHidden/>
    <w:unhideWhenUsed/>
    <w:rsid w:val="007D3D08"/>
    <w:rPr>
      <w:sz w:val="16"/>
      <w:szCs w:val="16"/>
    </w:rPr>
  </w:style>
  <w:style w:type="paragraph" w:styleId="CommentText">
    <w:name w:val="annotation text"/>
    <w:basedOn w:val="Normal"/>
    <w:link w:val="CommentTextChar"/>
    <w:uiPriority w:val="99"/>
    <w:unhideWhenUsed/>
    <w:rsid w:val="007D3D08"/>
    <w:pPr>
      <w:spacing w:line="240" w:lineRule="auto"/>
    </w:pPr>
    <w:rPr>
      <w:sz w:val="20"/>
      <w:szCs w:val="20"/>
    </w:rPr>
  </w:style>
  <w:style w:type="character" w:customStyle="1" w:styleId="CommentTextChar">
    <w:name w:val="Comment Text Char"/>
    <w:basedOn w:val="DefaultParagraphFont"/>
    <w:link w:val="CommentText"/>
    <w:uiPriority w:val="99"/>
    <w:rsid w:val="007D3D08"/>
    <w:rPr>
      <w:sz w:val="20"/>
      <w:szCs w:val="20"/>
    </w:rPr>
  </w:style>
  <w:style w:type="paragraph" w:styleId="CommentSubject">
    <w:name w:val="annotation subject"/>
    <w:basedOn w:val="CommentText"/>
    <w:next w:val="CommentText"/>
    <w:link w:val="CommentSubjectChar"/>
    <w:uiPriority w:val="99"/>
    <w:semiHidden/>
    <w:unhideWhenUsed/>
    <w:rsid w:val="007D3D08"/>
    <w:rPr>
      <w:b/>
      <w:bCs/>
    </w:rPr>
  </w:style>
  <w:style w:type="character" w:customStyle="1" w:styleId="CommentSubjectChar">
    <w:name w:val="Comment Subject Char"/>
    <w:basedOn w:val="CommentTextChar"/>
    <w:link w:val="CommentSubject"/>
    <w:uiPriority w:val="99"/>
    <w:semiHidden/>
    <w:rsid w:val="007D3D0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afeguarding.wales/en/chi-i/chi-i-c1/c1-p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930</Words>
  <Characters>5306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Rhoades</dc:creator>
  <cp:keywords/>
  <dc:description/>
  <cp:lastModifiedBy>Louise Rhoades</cp:lastModifiedBy>
  <cp:revision>2</cp:revision>
  <dcterms:created xsi:type="dcterms:W3CDTF">2026-10-03T15:39:00Z</dcterms:created>
  <dcterms:modified xsi:type="dcterms:W3CDTF">2026-10-03T15:39:00Z</dcterms:modified>
</cp:coreProperties>
</file>