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CB5F03" w14:textId="5508D9C4" w:rsidR="001E23DA" w:rsidRDefault="00B4519F" w:rsidP="001E23DA">
      <w:pPr>
        <w:rPr>
          <w:sz w:val="20"/>
          <w:szCs w:val="20"/>
        </w:rPr>
      </w:pPr>
      <w:r w:rsidRPr="001E23DA">
        <w:rPr>
          <w:sz w:val="20"/>
          <w:szCs w:val="20"/>
        </w:rPr>
        <w:t xml:space="preserve">Throughout time it is common to see repeated themes or ideas </w:t>
      </w:r>
      <w:r w:rsidR="001E23DA" w:rsidRPr="001E23DA">
        <w:rPr>
          <w:sz w:val="20"/>
          <w:szCs w:val="20"/>
        </w:rPr>
        <w:t xml:space="preserve">that become commonplace in known myths </w:t>
      </w:r>
      <w:r w:rsidRPr="001E23DA">
        <w:rPr>
          <w:sz w:val="20"/>
          <w:szCs w:val="20"/>
        </w:rPr>
        <w:t xml:space="preserve">without any immediate explanation as to how these ideas coalesced </w:t>
      </w:r>
      <w:r w:rsidR="001E23DA" w:rsidRPr="001E23DA">
        <w:rPr>
          <w:sz w:val="20"/>
          <w:szCs w:val="20"/>
        </w:rPr>
        <w:t>or</w:t>
      </w:r>
      <w:r w:rsidRPr="001E23DA">
        <w:rPr>
          <w:sz w:val="20"/>
          <w:szCs w:val="20"/>
        </w:rPr>
        <w:t xml:space="preserve"> were transferred. </w:t>
      </w:r>
      <w:r w:rsidR="001E23DA" w:rsidRPr="001E23DA">
        <w:rPr>
          <w:sz w:val="20"/>
          <w:szCs w:val="20"/>
        </w:rPr>
        <w:t xml:space="preserve">It is likely that some myths were created independently of other cultures regardless of various similarities they possess. Similar environments, political turmoil, war, natural disasters, are all things that can cause similar myths to occur. However, some things that can cause cross-cultural influence is trade, a shared religion and immigration. The closer proximity between the cultures the higher chance there are shared characteristics and mythological features. This can be seen when comparing the myths of Rostam and </w:t>
      </w:r>
      <w:r w:rsidR="00D732B7">
        <w:rPr>
          <w:sz w:val="20"/>
          <w:szCs w:val="20"/>
        </w:rPr>
        <w:t>Hercules</w:t>
      </w:r>
      <w:r w:rsidR="001E23DA" w:rsidRPr="001E23DA">
        <w:rPr>
          <w:sz w:val="20"/>
          <w:szCs w:val="20"/>
        </w:rPr>
        <w:t xml:space="preserve">, a Persian and Roman </w:t>
      </w:r>
      <w:r w:rsidR="000C0D2E" w:rsidRPr="001E23DA">
        <w:rPr>
          <w:sz w:val="20"/>
          <w:szCs w:val="20"/>
        </w:rPr>
        <w:t>myth,</w:t>
      </w:r>
      <w:r w:rsidR="001E23DA" w:rsidRPr="001E23DA">
        <w:rPr>
          <w:sz w:val="20"/>
          <w:szCs w:val="20"/>
        </w:rPr>
        <w:t xml:space="preserve"> respectively. There are various similarities between the two, including but not limited to, completing trials, the wearing of a lion skin, and vast strength (Melikian-Chirvani,1998). This leads to the question of how the myths</w:t>
      </w:r>
      <w:r w:rsidR="00D732B7">
        <w:rPr>
          <w:sz w:val="20"/>
          <w:szCs w:val="20"/>
        </w:rPr>
        <w:t xml:space="preserve"> of </w:t>
      </w:r>
      <w:r w:rsidR="00DD5CC0">
        <w:rPr>
          <w:sz w:val="20"/>
          <w:szCs w:val="20"/>
        </w:rPr>
        <w:t>Rome and Persia</w:t>
      </w:r>
      <w:r w:rsidR="001E23DA" w:rsidRPr="001E23DA">
        <w:rPr>
          <w:sz w:val="20"/>
          <w:szCs w:val="20"/>
        </w:rPr>
        <w:t xml:space="preserve"> were developed to have such similar features. It allows us to question whether they were developed completely separately, and the similarities is coincidence caused by similar societal development or if geographical cross-cultural influence had an effect on the development of this myth. </w:t>
      </w:r>
      <w:r w:rsidR="001E23DA">
        <w:rPr>
          <w:sz w:val="20"/>
          <w:szCs w:val="20"/>
        </w:rPr>
        <w:t>A</w:t>
      </w:r>
      <w:r w:rsidR="001E23DA" w:rsidRPr="001E23DA">
        <w:rPr>
          <w:sz w:val="20"/>
          <w:szCs w:val="20"/>
        </w:rPr>
        <w:t xml:space="preserve">dditional myth that shares similarities </w:t>
      </w:r>
      <w:r w:rsidR="001E23DA">
        <w:rPr>
          <w:sz w:val="20"/>
          <w:szCs w:val="20"/>
        </w:rPr>
        <w:t xml:space="preserve">is Gilgamesh from Mesopotamia and The Odyssey from Greece where both epics explore themes </w:t>
      </w:r>
      <w:r w:rsidR="001E23DA" w:rsidRPr="001E23DA">
        <w:rPr>
          <w:sz w:val="20"/>
          <w:szCs w:val="20"/>
        </w:rPr>
        <w:t>(Gresset</w:t>
      </w:r>
      <w:r w:rsidR="001E23DA">
        <w:rPr>
          <w:sz w:val="20"/>
          <w:szCs w:val="20"/>
        </w:rPr>
        <w:t xml:space="preserve">h,1975) of false heroism (a more modern interpretation from a societal differ in understandings of defining heroic traits), death, questing, </w:t>
      </w:r>
      <w:r w:rsidR="00D732B7">
        <w:rPr>
          <w:sz w:val="20"/>
          <w:szCs w:val="20"/>
        </w:rPr>
        <w:t>exploration,</w:t>
      </w:r>
      <w:r w:rsidR="001E23DA">
        <w:rPr>
          <w:sz w:val="20"/>
          <w:szCs w:val="20"/>
        </w:rPr>
        <w:t xml:space="preserve"> and interaction with Gods. </w:t>
      </w:r>
      <w:r w:rsidR="001E23DA" w:rsidRPr="001E23DA">
        <w:rPr>
          <w:sz w:val="20"/>
          <w:szCs w:val="20"/>
        </w:rPr>
        <w:t>Furthermore, to gain an understanding of the influence and adaption of myth across cultural it is crucial to explore further aspects than just the most common. Therefore, I am also exploring myths featuring the idea of a femme fatale</w:t>
      </w:r>
      <w:r w:rsidR="001E23DA">
        <w:rPr>
          <w:sz w:val="20"/>
          <w:szCs w:val="20"/>
        </w:rPr>
        <w:t>,</w:t>
      </w:r>
      <w:r w:rsidR="001E23DA" w:rsidRPr="001E23DA">
        <w:rPr>
          <w:sz w:val="20"/>
          <w:szCs w:val="20"/>
        </w:rPr>
        <w:t xml:space="preserve"> from the Mesopotamian myth Lamashtu to more modern interpretations of second wave feminism. </w:t>
      </w:r>
      <w:r w:rsidR="001E23DA">
        <w:rPr>
          <w:sz w:val="20"/>
          <w:szCs w:val="20"/>
        </w:rPr>
        <w:t xml:space="preserve">However, when considering these myths, it is important to consider how myths have developed through time and that the original myth may have differed. Either due to outside influence, biased interpretation or myths intersecting and becoming combined. As a result, understanding geopolitical influence throughout regions as well as if any major influence </w:t>
      </w:r>
      <w:r w:rsidR="000C0D2E">
        <w:rPr>
          <w:sz w:val="20"/>
          <w:szCs w:val="20"/>
        </w:rPr>
        <w:t>were</w:t>
      </w:r>
      <w:r w:rsidR="001E23DA">
        <w:rPr>
          <w:sz w:val="20"/>
          <w:szCs w:val="20"/>
        </w:rPr>
        <w:t xml:space="preserve"> apparent during the periods the myths originated is crucial when exploring the adaption of myth across culture as well as how apparent cross-cultural influence was between interacting cultures. </w:t>
      </w:r>
    </w:p>
    <w:p w14:paraId="00A92AB0" w14:textId="77777777" w:rsidR="001E23DA" w:rsidRDefault="001E23DA" w:rsidP="001E23DA">
      <w:pPr>
        <w:rPr>
          <w:sz w:val="20"/>
          <w:szCs w:val="20"/>
        </w:rPr>
      </w:pPr>
    </w:p>
    <w:p w14:paraId="196E6825" w14:textId="6B649A31" w:rsidR="00D24567" w:rsidRDefault="001E23DA" w:rsidP="002B6A21">
      <w:pPr>
        <w:rPr>
          <w:sz w:val="20"/>
          <w:szCs w:val="20"/>
        </w:rPr>
      </w:pPr>
      <w:r>
        <w:rPr>
          <w:sz w:val="20"/>
          <w:szCs w:val="20"/>
        </w:rPr>
        <w:t xml:space="preserve">The Roman myth of </w:t>
      </w:r>
      <w:r w:rsidR="00D732B7">
        <w:rPr>
          <w:sz w:val="20"/>
          <w:szCs w:val="20"/>
        </w:rPr>
        <w:t>Hercules</w:t>
      </w:r>
      <w:r>
        <w:rPr>
          <w:sz w:val="20"/>
          <w:szCs w:val="20"/>
        </w:rPr>
        <w:t xml:space="preserve"> is relatively well known however when exploring that in relation to the Persian myth Rostam it leads the audience to question whether the similarities were by chance or caused by influence from other cultures. There are numerous similarities between themes, appearance, strength, societal acceptance of them, and similar weaponry, Rostam’s mace being the ‘closest Iranian equivalent’ </w:t>
      </w:r>
      <w:r w:rsidRPr="001E23DA">
        <w:rPr>
          <w:sz w:val="20"/>
          <w:szCs w:val="20"/>
        </w:rPr>
        <w:t>(Melikian-Chirvani,1998</w:t>
      </w:r>
      <w:r>
        <w:rPr>
          <w:sz w:val="20"/>
          <w:szCs w:val="20"/>
        </w:rPr>
        <w:t>, p172</w:t>
      </w:r>
      <w:r w:rsidRPr="001E23DA">
        <w:rPr>
          <w:sz w:val="20"/>
          <w:szCs w:val="20"/>
        </w:rPr>
        <w:t>)</w:t>
      </w:r>
      <w:r>
        <w:rPr>
          <w:sz w:val="20"/>
          <w:szCs w:val="20"/>
        </w:rPr>
        <w:t xml:space="preserve">. Rostam also has Herkelean invincibity from the lion skin he wears, (the precise animal that the skin belonged to is often changed from lion to leopard although it is always feline in nature) the myth even goes so far as having defenders of a fortress he was sieging define him by it </w:t>
      </w:r>
      <w:r w:rsidRPr="001E23DA">
        <w:rPr>
          <w:sz w:val="20"/>
          <w:szCs w:val="20"/>
        </w:rPr>
        <w:t>(Melikian-Chirvani,1998</w:t>
      </w:r>
      <w:r>
        <w:rPr>
          <w:sz w:val="20"/>
          <w:szCs w:val="20"/>
        </w:rPr>
        <w:t>, p173</w:t>
      </w:r>
      <w:r w:rsidRPr="001E23DA">
        <w:rPr>
          <w:sz w:val="20"/>
          <w:szCs w:val="20"/>
        </w:rPr>
        <w:t>)</w:t>
      </w:r>
      <w:r>
        <w:rPr>
          <w:sz w:val="20"/>
          <w:szCs w:val="20"/>
        </w:rPr>
        <w:t xml:space="preserve">.  The diversity of the feline skins could be due to the Rostam myth being circuited in different traditions and geographical areas or simply an ambiguity when defining big cats. </w:t>
      </w:r>
      <w:r w:rsidR="00C57324">
        <w:rPr>
          <w:sz w:val="20"/>
          <w:szCs w:val="20"/>
        </w:rPr>
        <w:t xml:space="preserve">As previously </w:t>
      </w:r>
      <w:r w:rsidR="00E439F6">
        <w:rPr>
          <w:sz w:val="20"/>
          <w:szCs w:val="20"/>
        </w:rPr>
        <w:t>mentioned,</w:t>
      </w:r>
      <w:r w:rsidR="00C57324">
        <w:rPr>
          <w:sz w:val="20"/>
          <w:szCs w:val="20"/>
        </w:rPr>
        <w:t xml:space="preserve"> both</w:t>
      </w:r>
      <w:r w:rsidR="004137A5">
        <w:rPr>
          <w:sz w:val="20"/>
          <w:szCs w:val="20"/>
        </w:rPr>
        <w:t xml:space="preserve"> Rostam and </w:t>
      </w:r>
      <w:r w:rsidR="00D732B7">
        <w:rPr>
          <w:sz w:val="20"/>
          <w:szCs w:val="20"/>
        </w:rPr>
        <w:t>Hercules</w:t>
      </w:r>
      <w:r w:rsidR="00E439F6">
        <w:rPr>
          <w:sz w:val="20"/>
          <w:szCs w:val="20"/>
        </w:rPr>
        <w:t xml:space="preserve"> went through trials to prove worthiness</w:t>
      </w:r>
      <w:r w:rsidR="002F094F">
        <w:rPr>
          <w:sz w:val="20"/>
          <w:szCs w:val="20"/>
        </w:rPr>
        <w:t xml:space="preserve"> however instead of </w:t>
      </w:r>
      <w:r w:rsidR="00811ED5">
        <w:rPr>
          <w:sz w:val="20"/>
          <w:szCs w:val="20"/>
        </w:rPr>
        <w:t xml:space="preserve">Rostam’s seven trials there were </w:t>
      </w:r>
      <w:r w:rsidR="00C9336C">
        <w:rPr>
          <w:sz w:val="20"/>
          <w:szCs w:val="20"/>
        </w:rPr>
        <w:t xml:space="preserve">twelve trials for </w:t>
      </w:r>
      <w:r w:rsidR="00D732B7">
        <w:rPr>
          <w:sz w:val="20"/>
          <w:szCs w:val="20"/>
        </w:rPr>
        <w:t>Hercules</w:t>
      </w:r>
      <w:r w:rsidR="00C9336C">
        <w:rPr>
          <w:sz w:val="20"/>
          <w:szCs w:val="20"/>
        </w:rPr>
        <w:t xml:space="preserve">, </w:t>
      </w:r>
      <w:r w:rsidR="00C9336C" w:rsidRPr="00C9336C">
        <w:rPr>
          <w:sz w:val="20"/>
          <w:szCs w:val="20"/>
        </w:rPr>
        <w:t xml:space="preserve">(Omidsalar </w:t>
      </w:r>
      <w:r w:rsidR="0057277E">
        <w:rPr>
          <w:sz w:val="20"/>
          <w:szCs w:val="20"/>
        </w:rPr>
        <w:t>p</w:t>
      </w:r>
      <w:r w:rsidR="00C9336C" w:rsidRPr="00C9336C">
        <w:rPr>
          <w:sz w:val="20"/>
          <w:szCs w:val="20"/>
        </w:rPr>
        <w:t>259–293</w:t>
      </w:r>
      <w:r w:rsidR="00EC6E85">
        <w:rPr>
          <w:sz w:val="20"/>
          <w:szCs w:val="20"/>
        </w:rPr>
        <w:t xml:space="preserve"> 2001</w:t>
      </w:r>
      <w:r w:rsidR="00C9336C" w:rsidRPr="00C9336C">
        <w:rPr>
          <w:sz w:val="20"/>
          <w:szCs w:val="20"/>
        </w:rPr>
        <w:t>)</w:t>
      </w:r>
      <w:r w:rsidR="00C9336C">
        <w:rPr>
          <w:sz w:val="20"/>
          <w:szCs w:val="20"/>
        </w:rPr>
        <w:t xml:space="preserve">. </w:t>
      </w:r>
      <w:r w:rsidR="005D645A">
        <w:rPr>
          <w:sz w:val="20"/>
          <w:szCs w:val="20"/>
        </w:rPr>
        <w:t>Despite the difference in the number of trials</w:t>
      </w:r>
      <w:r w:rsidR="008F187B">
        <w:rPr>
          <w:sz w:val="20"/>
          <w:szCs w:val="20"/>
        </w:rPr>
        <w:t xml:space="preserve"> the </w:t>
      </w:r>
      <w:r w:rsidR="00D04EB1">
        <w:rPr>
          <w:sz w:val="20"/>
          <w:szCs w:val="20"/>
        </w:rPr>
        <w:t>main message of the quest remains the same</w:t>
      </w:r>
      <w:r w:rsidR="00A71062">
        <w:rPr>
          <w:sz w:val="20"/>
          <w:szCs w:val="20"/>
        </w:rPr>
        <w:t xml:space="preserve">, as proof of strength and endurance. </w:t>
      </w:r>
      <w:r w:rsidR="00907B35">
        <w:rPr>
          <w:sz w:val="20"/>
          <w:szCs w:val="20"/>
        </w:rPr>
        <w:t>Rostam’s</w:t>
      </w:r>
      <w:r w:rsidR="005467A0">
        <w:rPr>
          <w:sz w:val="20"/>
          <w:szCs w:val="20"/>
        </w:rPr>
        <w:t xml:space="preserve"> quest differed in </w:t>
      </w:r>
      <w:r w:rsidR="00D732B7">
        <w:rPr>
          <w:sz w:val="20"/>
          <w:szCs w:val="20"/>
        </w:rPr>
        <w:t>Hercules</w:t>
      </w:r>
      <w:r w:rsidR="005467A0">
        <w:rPr>
          <w:sz w:val="20"/>
          <w:szCs w:val="20"/>
        </w:rPr>
        <w:t xml:space="preserve"> as </w:t>
      </w:r>
      <w:r w:rsidR="00660F80">
        <w:rPr>
          <w:sz w:val="20"/>
          <w:szCs w:val="20"/>
        </w:rPr>
        <w:t xml:space="preserve">instead of paying penance for madness </w:t>
      </w:r>
      <w:r w:rsidR="00CE2C16">
        <w:rPr>
          <w:sz w:val="20"/>
          <w:szCs w:val="20"/>
        </w:rPr>
        <w:t xml:space="preserve">Rostam is journeying </w:t>
      </w:r>
      <w:r w:rsidR="00B03BA5">
        <w:rPr>
          <w:sz w:val="20"/>
          <w:szCs w:val="20"/>
        </w:rPr>
        <w:t xml:space="preserve">to rescue his king </w:t>
      </w:r>
      <w:r w:rsidR="00B03BA5" w:rsidRPr="00C9336C">
        <w:rPr>
          <w:sz w:val="20"/>
          <w:szCs w:val="20"/>
        </w:rPr>
        <w:t xml:space="preserve">(Omidsalar </w:t>
      </w:r>
      <w:r w:rsidR="00594084">
        <w:rPr>
          <w:sz w:val="20"/>
          <w:szCs w:val="20"/>
        </w:rPr>
        <w:t>p</w:t>
      </w:r>
      <w:r w:rsidR="00B03BA5" w:rsidRPr="00C9336C">
        <w:rPr>
          <w:sz w:val="20"/>
          <w:szCs w:val="20"/>
        </w:rPr>
        <w:t>259–293</w:t>
      </w:r>
      <w:r w:rsidR="00594084">
        <w:rPr>
          <w:sz w:val="20"/>
          <w:szCs w:val="20"/>
        </w:rPr>
        <w:t xml:space="preserve"> </w:t>
      </w:r>
      <w:r w:rsidR="00EC6E85">
        <w:rPr>
          <w:sz w:val="20"/>
          <w:szCs w:val="20"/>
        </w:rPr>
        <w:t>2001</w:t>
      </w:r>
      <w:r w:rsidR="000671D3">
        <w:rPr>
          <w:sz w:val="20"/>
          <w:szCs w:val="20"/>
        </w:rPr>
        <w:t xml:space="preserve">). </w:t>
      </w:r>
      <w:r w:rsidR="00373903">
        <w:rPr>
          <w:sz w:val="20"/>
          <w:szCs w:val="20"/>
        </w:rPr>
        <w:t xml:space="preserve">Exploring the origins of each myths find the </w:t>
      </w:r>
      <w:r w:rsidR="00D732B7">
        <w:rPr>
          <w:sz w:val="20"/>
          <w:szCs w:val="20"/>
        </w:rPr>
        <w:t>Hercules</w:t>
      </w:r>
      <w:r w:rsidR="00373903">
        <w:rPr>
          <w:sz w:val="20"/>
          <w:szCs w:val="20"/>
        </w:rPr>
        <w:t xml:space="preserve"> myth originating in the 7th century BCE </w:t>
      </w:r>
      <w:r w:rsidR="002B6A21" w:rsidRPr="002B6A21">
        <w:rPr>
          <w:sz w:val="20"/>
          <w:szCs w:val="20"/>
        </w:rPr>
        <w:t>(“Earthquakes-Hetaera”</w:t>
      </w:r>
      <w:r w:rsidR="002B6A21">
        <w:rPr>
          <w:sz w:val="20"/>
          <w:szCs w:val="20"/>
        </w:rPr>
        <w:t xml:space="preserve"> p398-406</w:t>
      </w:r>
      <w:r w:rsidR="00EC6E85">
        <w:rPr>
          <w:sz w:val="20"/>
          <w:szCs w:val="20"/>
        </w:rPr>
        <w:t xml:space="preserve"> </w:t>
      </w:r>
      <w:r w:rsidR="0057277E">
        <w:rPr>
          <w:sz w:val="20"/>
          <w:szCs w:val="20"/>
        </w:rPr>
        <w:t>2010</w:t>
      </w:r>
      <w:r w:rsidR="002B6A21" w:rsidRPr="002B6A21">
        <w:rPr>
          <w:sz w:val="20"/>
          <w:szCs w:val="20"/>
        </w:rPr>
        <w:t>)</w:t>
      </w:r>
      <w:r w:rsidR="00852479">
        <w:rPr>
          <w:sz w:val="20"/>
          <w:szCs w:val="20"/>
        </w:rPr>
        <w:t xml:space="preserve"> and the Rostam myth </w:t>
      </w:r>
      <w:r w:rsidR="00DF08EF">
        <w:rPr>
          <w:sz w:val="20"/>
          <w:szCs w:val="20"/>
        </w:rPr>
        <w:t>originating around</w:t>
      </w:r>
      <w:r w:rsidR="00FC7958">
        <w:rPr>
          <w:sz w:val="20"/>
          <w:szCs w:val="20"/>
        </w:rPr>
        <w:t xml:space="preserve"> 1010 CE</w:t>
      </w:r>
      <w:r w:rsidR="00F56156">
        <w:rPr>
          <w:sz w:val="20"/>
          <w:szCs w:val="20"/>
        </w:rPr>
        <w:t xml:space="preserve"> with </w:t>
      </w:r>
      <w:r w:rsidR="00305530">
        <w:rPr>
          <w:sz w:val="20"/>
          <w:szCs w:val="20"/>
        </w:rPr>
        <w:t xml:space="preserve">the </w:t>
      </w:r>
      <w:r w:rsidR="00305530" w:rsidRPr="00305530">
        <w:rPr>
          <w:sz w:val="20"/>
          <w:szCs w:val="20"/>
        </w:rPr>
        <w:t>Shahnameh</w:t>
      </w:r>
      <w:r w:rsidR="00305530">
        <w:rPr>
          <w:sz w:val="20"/>
          <w:szCs w:val="20"/>
        </w:rPr>
        <w:t xml:space="preserve"> being its primary source</w:t>
      </w:r>
      <w:r w:rsidR="00541B86">
        <w:rPr>
          <w:sz w:val="20"/>
          <w:szCs w:val="20"/>
        </w:rPr>
        <w:t xml:space="preserve"> </w:t>
      </w:r>
      <w:r w:rsidR="00541B86" w:rsidRPr="00541B86">
        <w:rPr>
          <w:sz w:val="18"/>
          <w:szCs w:val="18"/>
        </w:rPr>
        <w:t>(THE SHAHN</w:t>
      </w:r>
      <w:r w:rsidR="004045F8">
        <w:rPr>
          <w:sz w:val="18"/>
          <w:szCs w:val="18"/>
        </w:rPr>
        <w:t>I</w:t>
      </w:r>
      <w:r w:rsidR="00541B86" w:rsidRPr="00541B86">
        <w:rPr>
          <w:sz w:val="18"/>
          <w:szCs w:val="18"/>
        </w:rPr>
        <w:t>MA of FIRDAUS</w:t>
      </w:r>
      <w:r w:rsidR="004045F8">
        <w:rPr>
          <w:sz w:val="18"/>
          <w:szCs w:val="18"/>
        </w:rPr>
        <w:t>L</w:t>
      </w:r>
      <w:r w:rsidR="004F5960">
        <w:rPr>
          <w:sz w:val="18"/>
          <w:szCs w:val="18"/>
        </w:rPr>
        <w:t xml:space="preserve"> p3-76</w:t>
      </w:r>
      <w:r w:rsidR="00541B86" w:rsidRPr="00541B86">
        <w:rPr>
          <w:sz w:val="18"/>
          <w:szCs w:val="18"/>
        </w:rPr>
        <w:t>)</w:t>
      </w:r>
      <w:r w:rsidR="00305530">
        <w:rPr>
          <w:sz w:val="20"/>
          <w:szCs w:val="20"/>
        </w:rPr>
        <w:t xml:space="preserve"> however in both cases it is likely each myth appeared in oral traditions previous to being written do</w:t>
      </w:r>
      <w:r w:rsidR="0065680A">
        <w:rPr>
          <w:sz w:val="20"/>
          <w:szCs w:val="20"/>
        </w:rPr>
        <w:t>wn</w:t>
      </w:r>
      <w:r w:rsidR="00305530">
        <w:rPr>
          <w:sz w:val="20"/>
          <w:szCs w:val="20"/>
        </w:rPr>
        <w:t xml:space="preserve"> and recorded. </w:t>
      </w:r>
      <w:r w:rsidR="00B50BE7">
        <w:rPr>
          <w:sz w:val="20"/>
          <w:szCs w:val="20"/>
        </w:rPr>
        <w:t xml:space="preserve">There </w:t>
      </w:r>
      <w:r w:rsidR="00D24567">
        <w:rPr>
          <w:sz w:val="20"/>
          <w:szCs w:val="20"/>
        </w:rPr>
        <w:t>were</w:t>
      </w:r>
      <w:r w:rsidR="00B50BE7">
        <w:rPr>
          <w:sz w:val="20"/>
          <w:szCs w:val="20"/>
        </w:rPr>
        <w:t xml:space="preserve"> significant </w:t>
      </w:r>
      <w:r w:rsidR="003F6219">
        <w:rPr>
          <w:sz w:val="20"/>
          <w:szCs w:val="20"/>
        </w:rPr>
        <w:t>communications</w:t>
      </w:r>
      <w:r w:rsidR="00D24567">
        <w:rPr>
          <w:sz w:val="20"/>
          <w:szCs w:val="20"/>
        </w:rPr>
        <w:t xml:space="preserve"> especially during the almost </w:t>
      </w:r>
      <w:r w:rsidR="0060069B">
        <w:rPr>
          <w:sz w:val="20"/>
          <w:szCs w:val="20"/>
        </w:rPr>
        <w:t>150-year</w:t>
      </w:r>
      <w:r w:rsidR="00D24567">
        <w:rPr>
          <w:sz w:val="20"/>
          <w:szCs w:val="20"/>
        </w:rPr>
        <w:t xml:space="preserve"> </w:t>
      </w:r>
      <w:r w:rsidR="00DC5049">
        <w:rPr>
          <w:sz w:val="20"/>
          <w:szCs w:val="20"/>
        </w:rPr>
        <w:t xml:space="preserve">peace from </w:t>
      </w:r>
      <w:r w:rsidR="00E830DB">
        <w:rPr>
          <w:sz w:val="20"/>
          <w:szCs w:val="20"/>
        </w:rPr>
        <w:t>363 AD to 502 AD</w:t>
      </w:r>
      <w:r w:rsidR="0060069B">
        <w:rPr>
          <w:sz w:val="20"/>
          <w:szCs w:val="20"/>
        </w:rPr>
        <w:t xml:space="preserve"> </w:t>
      </w:r>
      <w:r w:rsidR="0060069B" w:rsidRPr="0060069B">
        <w:rPr>
          <w:sz w:val="20"/>
          <w:szCs w:val="20"/>
        </w:rPr>
        <w:t>(Bullough</w:t>
      </w:r>
      <w:r w:rsidR="00594084">
        <w:rPr>
          <w:sz w:val="20"/>
          <w:szCs w:val="20"/>
        </w:rPr>
        <w:t xml:space="preserve"> p55 1963</w:t>
      </w:r>
      <w:r w:rsidR="0060069B" w:rsidRPr="0060069B">
        <w:rPr>
          <w:sz w:val="20"/>
          <w:szCs w:val="20"/>
        </w:rPr>
        <w:t>)</w:t>
      </w:r>
      <w:r w:rsidR="00E830DB">
        <w:rPr>
          <w:sz w:val="20"/>
          <w:szCs w:val="20"/>
        </w:rPr>
        <w:t xml:space="preserve">. </w:t>
      </w:r>
      <w:r w:rsidR="00F10BD2">
        <w:rPr>
          <w:sz w:val="20"/>
          <w:szCs w:val="20"/>
        </w:rPr>
        <w:t xml:space="preserve">This determines that the </w:t>
      </w:r>
      <w:r w:rsidR="004F766D">
        <w:rPr>
          <w:sz w:val="20"/>
          <w:szCs w:val="20"/>
        </w:rPr>
        <w:t>Her</w:t>
      </w:r>
      <w:r w:rsidR="00997B47">
        <w:rPr>
          <w:sz w:val="20"/>
          <w:szCs w:val="20"/>
        </w:rPr>
        <w:t>cules</w:t>
      </w:r>
      <w:r w:rsidR="0015710F">
        <w:rPr>
          <w:sz w:val="20"/>
          <w:szCs w:val="20"/>
        </w:rPr>
        <w:t xml:space="preserve"> myth likely originated first however </w:t>
      </w:r>
      <w:r w:rsidR="00D018DB">
        <w:rPr>
          <w:sz w:val="20"/>
          <w:szCs w:val="20"/>
        </w:rPr>
        <w:t>because of persistent Persian oral traditions it does not necessaril</w:t>
      </w:r>
      <w:r w:rsidR="00C52953">
        <w:rPr>
          <w:sz w:val="20"/>
          <w:szCs w:val="20"/>
        </w:rPr>
        <w:t xml:space="preserve">y mean that the Rostam myth </w:t>
      </w:r>
      <w:r w:rsidR="000C0D2E">
        <w:rPr>
          <w:sz w:val="20"/>
          <w:szCs w:val="20"/>
        </w:rPr>
        <w:t>was</w:t>
      </w:r>
      <w:r w:rsidR="00C52953">
        <w:rPr>
          <w:sz w:val="20"/>
          <w:szCs w:val="20"/>
        </w:rPr>
        <w:t xml:space="preserve"> influenced by the Roman myth</w:t>
      </w:r>
      <w:r w:rsidR="00093E0B">
        <w:rPr>
          <w:sz w:val="20"/>
          <w:szCs w:val="20"/>
        </w:rPr>
        <w:t xml:space="preserve"> of </w:t>
      </w:r>
      <w:r w:rsidR="004C7CAE">
        <w:rPr>
          <w:sz w:val="20"/>
          <w:szCs w:val="20"/>
        </w:rPr>
        <w:t>Hercules.</w:t>
      </w:r>
      <w:r w:rsidR="00456B4B">
        <w:rPr>
          <w:sz w:val="20"/>
          <w:szCs w:val="20"/>
        </w:rPr>
        <w:t xml:space="preserve"> Despite this there are numerous of years communications between the two civilisations including trade and immigration, therefore it </w:t>
      </w:r>
      <w:r w:rsidR="008F1C7E">
        <w:rPr>
          <w:sz w:val="20"/>
          <w:szCs w:val="20"/>
        </w:rPr>
        <w:t>stands</w:t>
      </w:r>
      <w:r w:rsidR="00456B4B">
        <w:rPr>
          <w:sz w:val="20"/>
          <w:szCs w:val="20"/>
        </w:rPr>
        <w:t xml:space="preserve"> to reason that </w:t>
      </w:r>
      <w:r w:rsidR="005F2922">
        <w:rPr>
          <w:sz w:val="20"/>
          <w:szCs w:val="20"/>
        </w:rPr>
        <w:t>the</w:t>
      </w:r>
      <w:r w:rsidR="00CF519E">
        <w:rPr>
          <w:sz w:val="20"/>
          <w:szCs w:val="20"/>
        </w:rPr>
        <w:t xml:space="preserve"> mythology of these two nations may have been absorbed by </w:t>
      </w:r>
      <w:r w:rsidR="008F1C7E">
        <w:rPr>
          <w:sz w:val="20"/>
          <w:szCs w:val="20"/>
        </w:rPr>
        <w:t xml:space="preserve">each over and created similarities between the two mythologies. </w:t>
      </w:r>
    </w:p>
    <w:p w14:paraId="6F254B2E" w14:textId="77777777" w:rsidR="008F1C7E" w:rsidRDefault="008F1C7E" w:rsidP="002B6A21">
      <w:pPr>
        <w:rPr>
          <w:sz w:val="20"/>
          <w:szCs w:val="20"/>
        </w:rPr>
      </w:pPr>
    </w:p>
    <w:p w14:paraId="7C8CB0F5" w14:textId="139D96BA" w:rsidR="00AF301F" w:rsidRDefault="00916EE9" w:rsidP="004B1EF8">
      <w:pPr>
        <w:rPr>
          <w:sz w:val="20"/>
          <w:szCs w:val="20"/>
        </w:rPr>
      </w:pPr>
      <w:r>
        <w:rPr>
          <w:sz w:val="20"/>
          <w:szCs w:val="20"/>
        </w:rPr>
        <w:lastRenderedPageBreak/>
        <w:t xml:space="preserve">Epics are fundamentally an oral tradition. </w:t>
      </w:r>
      <w:r w:rsidR="008A70FE">
        <w:rPr>
          <w:sz w:val="20"/>
          <w:szCs w:val="20"/>
        </w:rPr>
        <w:t xml:space="preserve">One of the most well known of these epics is the </w:t>
      </w:r>
      <w:r w:rsidR="00DD71D5">
        <w:rPr>
          <w:sz w:val="20"/>
          <w:szCs w:val="20"/>
        </w:rPr>
        <w:t>Odyssey</w:t>
      </w:r>
      <w:r w:rsidR="006241E1">
        <w:rPr>
          <w:sz w:val="20"/>
          <w:szCs w:val="20"/>
        </w:rPr>
        <w:t xml:space="preserve"> which explores </w:t>
      </w:r>
      <w:r w:rsidR="008B6418">
        <w:rPr>
          <w:sz w:val="20"/>
          <w:szCs w:val="20"/>
        </w:rPr>
        <w:t>the trials of his journey home</w:t>
      </w:r>
      <w:r w:rsidR="00424799">
        <w:rPr>
          <w:sz w:val="20"/>
          <w:szCs w:val="20"/>
        </w:rPr>
        <w:t xml:space="preserve"> to Ithica. Whilst this is told by Homer to be a heroic </w:t>
      </w:r>
      <w:r w:rsidR="001E3382">
        <w:rPr>
          <w:sz w:val="20"/>
          <w:szCs w:val="20"/>
        </w:rPr>
        <w:t xml:space="preserve">quest </w:t>
      </w:r>
      <w:r w:rsidR="00C31610">
        <w:rPr>
          <w:sz w:val="20"/>
          <w:szCs w:val="20"/>
        </w:rPr>
        <w:t xml:space="preserve">to a modern audience </w:t>
      </w:r>
      <w:r w:rsidR="000F08DD">
        <w:rPr>
          <w:sz w:val="20"/>
          <w:szCs w:val="20"/>
        </w:rPr>
        <w:t>his valiant</w:t>
      </w:r>
      <w:r w:rsidR="009B302C">
        <w:rPr>
          <w:sz w:val="20"/>
          <w:szCs w:val="20"/>
        </w:rPr>
        <w:t xml:space="preserve"> efforts appear more in the grey area of an antihero. </w:t>
      </w:r>
      <w:r w:rsidR="0000758E">
        <w:rPr>
          <w:sz w:val="20"/>
          <w:szCs w:val="20"/>
        </w:rPr>
        <w:t xml:space="preserve"> </w:t>
      </w:r>
      <w:r w:rsidR="00DA2681">
        <w:rPr>
          <w:sz w:val="20"/>
          <w:szCs w:val="20"/>
        </w:rPr>
        <w:t>Contrasted</w:t>
      </w:r>
      <w:r w:rsidR="00E94C20">
        <w:rPr>
          <w:sz w:val="20"/>
          <w:szCs w:val="20"/>
        </w:rPr>
        <w:t xml:space="preserve"> to this </w:t>
      </w:r>
      <w:r w:rsidR="002074BE">
        <w:rPr>
          <w:sz w:val="20"/>
          <w:szCs w:val="20"/>
        </w:rPr>
        <w:t>is the Mesopotamian myth of Gilgamesh</w:t>
      </w:r>
      <w:r w:rsidR="009C4BE7">
        <w:rPr>
          <w:sz w:val="20"/>
          <w:szCs w:val="20"/>
        </w:rPr>
        <w:t xml:space="preserve"> which although</w:t>
      </w:r>
      <w:r w:rsidR="001905B1">
        <w:rPr>
          <w:sz w:val="20"/>
          <w:szCs w:val="20"/>
        </w:rPr>
        <w:t xml:space="preserve"> has many gaps from the limited cuneiform tablets found</w:t>
      </w:r>
      <w:r w:rsidR="00B654B2">
        <w:rPr>
          <w:sz w:val="20"/>
          <w:szCs w:val="20"/>
        </w:rPr>
        <w:t xml:space="preserve"> still provides enough information to provide a </w:t>
      </w:r>
      <w:r w:rsidR="00EF5419">
        <w:rPr>
          <w:sz w:val="20"/>
          <w:szCs w:val="20"/>
        </w:rPr>
        <w:t xml:space="preserve">link between the epic of Gilgamesh and the works of Homer. </w:t>
      </w:r>
      <w:r w:rsidR="00060B50">
        <w:rPr>
          <w:sz w:val="20"/>
          <w:szCs w:val="20"/>
        </w:rPr>
        <w:t>This link is not direct but more subtle</w:t>
      </w:r>
      <w:r w:rsidR="00BE3A4C">
        <w:rPr>
          <w:sz w:val="20"/>
          <w:szCs w:val="20"/>
        </w:rPr>
        <w:t xml:space="preserve"> as instead of direct link like the similarities between the myth</w:t>
      </w:r>
      <w:r w:rsidR="002C0BE9">
        <w:rPr>
          <w:sz w:val="20"/>
          <w:szCs w:val="20"/>
        </w:rPr>
        <w:t>s</w:t>
      </w:r>
      <w:r w:rsidR="00BE3A4C">
        <w:rPr>
          <w:sz w:val="20"/>
          <w:szCs w:val="20"/>
        </w:rPr>
        <w:t xml:space="preserve"> of Rostam and Hercules </w:t>
      </w:r>
      <w:r w:rsidR="0089607C">
        <w:rPr>
          <w:sz w:val="20"/>
          <w:szCs w:val="20"/>
        </w:rPr>
        <w:t>suc</w:t>
      </w:r>
      <w:r w:rsidR="003E625E">
        <w:rPr>
          <w:sz w:val="20"/>
          <w:szCs w:val="20"/>
        </w:rPr>
        <w:t xml:space="preserve">h as </w:t>
      </w:r>
      <w:r w:rsidR="00470D41">
        <w:rPr>
          <w:sz w:val="20"/>
          <w:szCs w:val="20"/>
        </w:rPr>
        <w:t>the relation with the Babylonian epic</w:t>
      </w:r>
      <w:r w:rsidR="00191963">
        <w:rPr>
          <w:sz w:val="20"/>
          <w:szCs w:val="20"/>
        </w:rPr>
        <w:t xml:space="preserve"> in the day into </w:t>
      </w:r>
      <w:r w:rsidR="007B669D">
        <w:rPr>
          <w:sz w:val="20"/>
          <w:szCs w:val="20"/>
        </w:rPr>
        <w:t xml:space="preserve">twelve double </w:t>
      </w:r>
      <w:r w:rsidR="002419A9">
        <w:rPr>
          <w:sz w:val="20"/>
          <w:szCs w:val="20"/>
        </w:rPr>
        <w:t xml:space="preserve">hours on twelve tablets which is </w:t>
      </w:r>
      <w:r w:rsidR="00E42B08">
        <w:rPr>
          <w:sz w:val="20"/>
          <w:szCs w:val="20"/>
        </w:rPr>
        <w:t>replicated</w:t>
      </w:r>
      <w:r w:rsidR="00B53CDE">
        <w:rPr>
          <w:sz w:val="20"/>
          <w:szCs w:val="20"/>
        </w:rPr>
        <w:t xml:space="preserve"> in the </w:t>
      </w:r>
      <w:r w:rsidR="006F02D0">
        <w:rPr>
          <w:sz w:val="20"/>
          <w:szCs w:val="20"/>
        </w:rPr>
        <w:t>‘</w:t>
      </w:r>
      <w:r w:rsidR="00B53CDE">
        <w:rPr>
          <w:sz w:val="20"/>
          <w:szCs w:val="20"/>
        </w:rPr>
        <w:t xml:space="preserve">Odyssey </w:t>
      </w:r>
      <w:r w:rsidR="003E5FBA">
        <w:rPr>
          <w:sz w:val="20"/>
          <w:szCs w:val="20"/>
        </w:rPr>
        <w:t xml:space="preserve">has 24 songs </w:t>
      </w:r>
      <w:r w:rsidR="00B30CA6">
        <w:rPr>
          <w:sz w:val="20"/>
          <w:szCs w:val="20"/>
        </w:rPr>
        <w:t xml:space="preserve">as the </w:t>
      </w:r>
      <w:r w:rsidR="008E1764">
        <w:rPr>
          <w:sz w:val="20"/>
          <w:szCs w:val="20"/>
        </w:rPr>
        <w:t>Gr</w:t>
      </w:r>
      <w:r w:rsidR="00B30CA6">
        <w:rPr>
          <w:sz w:val="20"/>
          <w:szCs w:val="20"/>
        </w:rPr>
        <w:t xml:space="preserve">eeks divided every </w:t>
      </w:r>
      <w:r w:rsidR="000D2015">
        <w:rPr>
          <w:sz w:val="20"/>
          <w:szCs w:val="20"/>
        </w:rPr>
        <w:t>double hour into two separate hours.</w:t>
      </w:r>
      <w:r w:rsidR="006F02D0">
        <w:rPr>
          <w:sz w:val="20"/>
          <w:szCs w:val="20"/>
        </w:rPr>
        <w:t>’</w:t>
      </w:r>
      <w:r w:rsidR="004B1EF8" w:rsidRPr="004B1EF8">
        <w:rPr>
          <w:rFonts w:ascii="Times New Roman" w:eastAsia="Times New Roman" w:hAnsi="Times New Roman" w:cs="Times New Roman"/>
          <w:kern w:val="0"/>
          <w:sz w:val="24"/>
          <w:szCs w:val="24"/>
          <w:lang w:eastAsia="en-GB"/>
          <w14:ligatures w14:val="none"/>
        </w:rPr>
        <w:t xml:space="preserve"> </w:t>
      </w:r>
      <w:r w:rsidR="004B1EF8" w:rsidRPr="004B1EF8">
        <w:rPr>
          <w:sz w:val="20"/>
          <w:szCs w:val="20"/>
        </w:rPr>
        <w:t>(Gresseth</w:t>
      </w:r>
      <w:r w:rsidR="004B1EF8">
        <w:rPr>
          <w:sz w:val="20"/>
          <w:szCs w:val="20"/>
        </w:rPr>
        <w:t xml:space="preserve"> 1975</w:t>
      </w:r>
      <w:r w:rsidR="00C95E7B">
        <w:rPr>
          <w:sz w:val="20"/>
          <w:szCs w:val="20"/>
        </w:rPr>
        <w:t xml:space="preserve"> </w:t>
      </w:r>
      <w:r w:rsidR="004B1EF8">
        <w:rPr>
          <w:sz w:val="20"/>
          <w:szCs w:val="20"/>
        </w:rPr>
        <w:t>pg</w:t>
      </w:r>
      <w:r w:rsidR="000D3874">
        <w:rPr>
          <w:sz w:val="20"/>
          <w:szCs w:val="20"/>
        </w:rPr>
        <w:t>10</w:t>
      </w:r>
      <w:r w:rsidR="000D3874" w:rsidRPr="004B1EF8">
        <w:rPr>
          <w:sz w:val="20"/>
          <w:szCs w:val="20"/>
        </w:rPr>
        <w:t>)</w:t>
      </w:r>
      <w:r w:rsidR="008E1764">
        <w:rPr>
          <w:sz w:val="20"/>
          <w:szCs w:val="20"/>
        </w:rPr>
        <w:t>.</w:t>
      </w:r>
      <w:r w:rsidR="000D3874">
        <w:rPr>
          <w:sz w:val="20"/>
          <w:szCs w:val="20"/>
        </w:rPr>
        <w:t xml:space="preserve"> </w:t>
      </w:r>
      <w:r w:rsidR="00F050FD">
        <w:rPr>
          <w:sz w:val="20"/>
          <w:szCs w:val="20"/>
        </w:rPr>
        <w:t xml:space="preserve">This implies that Homer took inspiration from </w:t>
      </w:r>
      <w:r w:rsidR="00AF301F">
        <w:rPr>
          <w:sz w:val="20"/>
          <w:szCs w:val="20"/>
        </w:rPr>
        <w:t xml:space="preserve">the epic or that there were similar cultural and ideological beliefs of </w:t>
      </w:r>
      <w:r w:rsidR="00151627">
        <w:rPr>
          <w:sz w:val="20"/>
          <w:szCs w:val="20"/>
        </w:rPr>
        <w:t xml:space="preserve">how time passes. </w:t>
      </w:r>
      <w:r w:rsidR="00A964EF">
        <w:rPr>
          <w:sz w:val="20"/>
          <w:szCs w:val="20"/>
        </w:rPr>
        <w:t xml:space="preserve"> </w:t>
      </w:r>
      <w:r w:rsidR="0012362D">
        <w:rPr>
          <w:sz w:val="20"/>
          <w:szCs w:val="20"/>
        </w:rPr>
        <w:t xml:space="preserve">Another style characteristic that links both </w:t>
      </w:r>
      <w:r w:rsidR="00D775AD">
        <w:rPr>
          <w:sz w:val="20"/>
          <w:szCs w:val="20"/>
        </w:rPr>
        <w:t xml:space="preserve">epics I the aspect of repetition which whilst may be tedious to a modern audience displays how previous audiences </w:t>
      </w:r>
      <w:r w:rsidR="0016572D">
        <w:rPr>
          <w:sz w:val="20"/>
          <w:szCs w:val="20"/>
        </w:rPr>
        <w:t xml:space="preserve">had the repetition to be reminded of important facts as there only access to it was via oral traditions. </w:t>
      </w:r>
      <w:r w:rsidR="00EE4868">
        <w:rPr>
          <w:sz w:val="20"/>
          <w:szCs w:val="20"/>
        </w:rPr>
        <w:t xml:space="preserve">An interesting differentiation between the two epics is the </w:t>
      </w:r>
      <w:r w:rsidR="00F228B7">
        <w:rPr>
          <w:sz w:val="20"/>
          <w:szCs w:val="20"/>
        </w:rPr>
        <w:t xml:space="preserve">setting; the Odyssey had a more hopeful viewpoint despite the hardships faced whereas Gilgamesh had a more </w:t>
      </w:r>
      <w:r w:rsidR="001A6BDE">
        <w:rPr>
          <w:sz w:val="20"/>
          <w:szCs w:val="20"/>
        </w:rPr>
        <w:t>depressi</w:t>
      </w:r>
      <w:r w:rsidR="00684AC2">
        <w:rPr>
          <w:sz w:val="20"/>
          <w:szCs w:val="20"/>
        </w:rPr>
        <w:t>ve attitude as the epic progresses. This makes it especially interesting when reconsidering the aspects of heroism we see</w:t>
      </w:r>
      <w:r w:rsidR="00A83F6E">
        <w:rPr>
          <w:sz w:val="20"/>
          <w:szCs w:val="20"/>
        </w:rPr>
        <w:t xml:space="preserve"> within both epics. </w:t>
      </w:r>
      <w:r w:rsidR="00114C6D">
        <w:rPr>
          <w:sz w:val="20"/>
          <w:szCs w:val="20"/>
        </w:rPr>
        <w:t>Odysseus</w:t>
      </w:r>
      <w:r w:rsidR="00A83F6E">
        <w:rPr>
          <w:sz w:val="20"/>
          <w:szCs w:val="20"/>
        </w:rPr>
        <w:t xml:space="preserve"> i</w:t>
      </w:r>
      <w:r w:rsidR="00114C6D">
        <w:rPr>
          <w:sz w:val="20"/>
          <w:szCs w:val="20"/>
        </w:rPr>
        <w:t xml:space="preserve">s described as a beloved hero returning home from his perilous journey, whereas the actuality involves far more </w:t>
      </w:r>
      <w:r w:rsidR="008C08DC">
        <w:rPr>
          <w:sz w:val="20"/>
          <w:szCs w:val="20"/>
        </w:rPr>
        <w:t>betrayal</w:t>
      </w:r>
      <w:r w:rsidR="00082F1D">
        <w:rPr>
          <w:sz w:val="20"/>
          <w:szCs w:val="20"/>
        </w:rPr>
        <w:t xml:space="preserve"> and variance from what a modern audience would consider heroic</w:t>
      </w:r>
      <w:r w:rsidR="008C08DC">
        <w:rPr>
          <w:sz w:val="20"/>
          <w:szCs w:val="20"/>
        </w:rPr>
        <w:t xml:space="preserve">. The Gilgamesh epic however </w:t>
      </w:r>
      <w:r w:rsidR="007250A2">
        <w:rPr>
          <w:sz w:val="20"/>
          <w:szCs w:val="20"/>
        </w:rPr>
        <w:t>has an initial confrontation</w:t>
      </w:r>
      <w:r w:rsidR="00150E5E">
        <w:rPr>
          <w:sz w:val="20"/>
          <w:szCs w:val="20"/>
        </w:rPr>
        <w:t xml:space="preserve"> of hopelessness and</w:t>
      </w:r>
      <w:r w:rsidR="00AD6C3A">
        <w:rPr>
          <w:sz w:val="20"/>
          <w:szCs w:val="20"/>
        </w:rPr>
        <w:t xml:space="preserve"> the resulting </w:t>
      </w:r>
      <w:r w:rsidR="004C2F67">
        <w:rPr>
          <w:sz w:val="20"/>
          <w:szCs w:val="20"/>
        </w:rPr>
        <w:t>uselessness i</w:t>
      </w:r>
      <w:r w:rsidR="00924584">
        <w:rPr>
          <w:sz w:val="20"/>
          <w:szCs w:val="20"/>
        </w:rPr>
        <w:t xml:space="preserve">n striving for greatness which originally Gilgamesh refuses to accept but later learns the </w:t>
      </w:r>
      <w:r w:rsidR="00354E47">
        <w:rPr>
          <w:sz w:val="20"/>
          <w:szCs w:val="20"/>
        </w:rPr>
        <w:t xml:space="preserve">message within, which is to enjoy life rather than striving for </w:t>
      </w:r>
      <w:r w:rsidR="006778A3">
        <w:rPr>
          <w:sz w:val="20"/>
          <w:szCs w:val="20"/>
        </w:rPr>
        <w:t>superiority</w:t>
      </w:r>
      <w:r w:rsidR="00354E47">
        <w:rPr>
          <w:sz w:val="20"/>
          <w:szCs w:val="20"/>
        </w:rPr>
        <w:t xml:space="preserve"> above all others</w:t>
      </w:r>
      <w:r w:rsidR="00082F1D">
        <w:rPr>
          <w:sz w:val="20"/>
          <w:szCs w:val="20"/>
        </w:rPr>
        <w:t xml:space="preserve"> which </w:t>
      </w:r>
      <w:r w:rsidR="007859F2">
        <w:rPr>
          <w:sz w:val="20"/>
          <w:szCs w:val="20"/>
        </w:rPr>
        <w:t xml:space="preserve">is a thought-provoking lesson for a Mesopotamian epic to have a ruler discover. </w:t>
      </w:r>
      <w:r w:rsidR="00C33140">
        <w:rPr>
          <w:sz w:val="20"/>
          <w:szCs w:val="20"/>
        </w:rPr>
        <w:t>When looking at the two myths</w:t>
      </w:r>
      <w:r w:rsidR="00F910FE">
        <w:rPr>
          <w:sz w:val="20"/>
          <w:szCs w:val="20"/>
        </w:rPr>
        <w:t xml:space="preserve"> the difference in</w:t>
      </w:r>
      <w:r w:rsidR="00142F00">
        <w:rPr>
          <w:sz w:val="20"/>
          <w:szCs w:val="20"/>
        </w:rPr>
        <w:t xml:space="preserve"> message is striking despite the other similarities. Both heroes were </w:t>
      </w:r>
      <w:r w:rsidR="005F1822">
        <w:rPr>
          <w:sz w:val="20"/>
          <w:szCs w:val="20"/>
        </w:rPr>
        <w:t>rulers and</w:t>
      </w:r>
      <w:r w:rsidR="00590A3C">
        <w:rPr>
          <w:sz w:val="20"/>
          <w:szCs w:val="20"/>
        </w:rPr>
        <w:t xml:space="preserve"> lost a friend on there </w:t>
      </w:r>
      <w:r w:rsidR="005F1822">
        <w:rPr>
          <w:sz w:val="20"/>
          <w:szCs w:val="20"/>
        </w:rPr>
        <w:t>quests</w:t>
      </w:r>
      <w:r w:rsidR="00A23D95">
        <w:rPr>
          <w:sz w:val="20"/>
          <w:szCs w:val="20"/>
        </w:rPr>
        <w:t xml:space="preserve"> demonstrating </w:t>
      </w:r>
      <w:r w:rsidR="007A4263">
        <w:rPr>
          <w:sz w:val="20"/>
          <w:szCs w:val="20"/>
        </w:rPr>
        <w:t>that basis of a similarity but yet there questing is handled in very different ways</w:t>
      </w:r>
      <w:r w:rsidR="00563E01">
        <w:rPr>
          <w:sz w:val="20"/>
          <w:szCs w:val="20"/>
        </w:rPr>
        <w:t xml:space="preserve"> which may demonstrate </w:t>
      </w:r>
      <w:r w:rsidR="00A72646">
        <w:rPr>
          <w:sz w:val="20"/>
          <w:szCs w:val="20"/>
        </w:rPr>
        <w:t xml:space="preserve">a differentiation in cultural perspective of rulership, loss and heroism. </w:t>
      </w:r>
      <w:r w:rsidR="002F5D98">
        <w:rPr>
          <w:sz w:val="20"/>
          <w:szCs w:val="20"/>
        </w:rPr>
        <w:t>During</w:t>
      </w:r>
      <w:r w:rsidR="00350D29">
        <w:rPr>
          <w:sz w:val="20"/>
          <w:szCs w:val="20"/>
        </w:rPr>
        <w:t xml:space="preserve"> the first half of the first millennium BC there was direct contact between Mesopotamia and Greece</w:t>
      </w:r>
      <w:r w:rsidR="00730878">
        <w:rPr>
          <w:sz w:val="20"/>
          <w:szCs w:val="20"/>
        </w:rPr>
        <w:t>, so there was definitely some sort of cultural exchange which explains the similarity in setup within each Epic</w:t>
      </w:r>
      <w:r w:rsidR="00635D8E">
        <w:rPr>
          <w:sz w:val="20"/>
          <w:szCs w:val="20"/>
        </w:rPr>
        <w:t xml:space="preserve">. </w:t>
      </w:r>
      <w:r w:rsidR="0081127C">
        <w:rPr>
          <w:sz w:val="20"/>
          <w:szCs w:val="20"/>
        </w:rPr>
        <w:t xml:space="preserve">During this period the Near East served as a </w:t>
      </w:r>
      <w:r w:rsidR="006C07F2">
        <w:rPr>
          <w:sz w:val="20"/>
          <w:szCs w:val="20"/>
        </w:rPr>
        <w:t xml:space="preserve">source of employment and cultural development with </w:t>
      </w:r>
      <w:r w:rsidR="00E81F4A">
        <w:rPr>
          <w:sz w:val="20"/>
          <w:szCs w:val="20"/>
        </w:rPr>
        <w:t xml:space="preserve">Eastern kings extending their patronage via craftsmen, philosophers and </w:t>
      </w:r>
      <w:r w:rsidR="00291BDC">
        <w:rPr>
          <w:sz w:val="20"/>
          <w:szCs w:val="20"/>
        </w:rPr>
        <w:t xml:space="preserve">Docters </w:t>
      </w:r>
      <w:r w:rsidR="00291BDC" w:rsidRPr="00291BDC">
        <w:rPr>
          <w:sz w:val="20"/>
          <w:szCs w:val="20"/>
        </w:rPr>
        <w:t xml:space="preserve">(Kuhrt </w:t>
      </w:r>
      <w:r w:rsidR="00291BDC">
        <w:rPr>
          <w:sz w:val="20"/>
          <w:szCs w:val="20"/>
        </w:rPr>
        <w:t>p</w:t>
      </w:r>
      <w:r w:rsidR="00291BDC" w:rsidRPr="00291BDC">
        <w:rPr>
          <w:sz w:val="20"/>
          <w:szCs w:val="20"/>
        </w:rPr>
        <w:t>17–26</w:t>
      </w:r>
      <w:r w:rsidR="00291BDC">
        <w:rPr>
          <w:sz w:val="20"/>
          <w:szCs w:val="20"/>
        </w:rPr>
        <w:t>, 2002</w:t>
      </w:r>
      <w:r w:rsidR="00291BDC" w:rsidRPr="00291BDC">
        <w:rPr>
          <w:sz w:val="20"/>
          <w:szCs w:val="20"/>
        </w:rPr>
        <w:t>)</w:t>
      </w:r>
      <w:r w:rsidR="003F7668">
        <w:rPr>
          <w:sz w:val="20"/>
          <w:szCs w:val="20"/>
        </w:rPr>
        <w:t xml:space="preserve"> which may </w:t>
      </w:r>
      <w:r w:rsidR="00722AAC">
        <w:rPr>
          <w:sz w:val="20"/>
          <w:szCs w:val="20"/>
        </w:rPr>
        <w:t>explain</w:t>
      </w:r>
      <w:r w:rsidR="003F7668">
        <w:rPr>
          <w:sz w:val="20"/>
          <w:szCs w:val="20"/>
        </w:rPr>
        <w:t xml:space="preserve"> any similarities found in the two </w:t>
      </w:r>
      <w:r w:rsidR="006A6A1C">
        <w:rPr>
          <w:sz w:val="20"/>
          <w:szCs w:val="20"/>
        </w:rPr>
        <w:t>E</w:t>
      </w:r>
      <w:r w:rsidR="003F7668">
        <w:rPr>
          <w:sz w:val="20"/>
          <w:szCs w:val="20"/>
        </w:rPr>
        <w:t xml:space="preserve">pics. </w:t>
      </w:r>
      <w:r w:rsidR="00C97931">
        <w:rPr>
          <w:sz w:val="20"/>
          <w:szCs w:val="20"/>
        </w:rPr>
        <w:t xml:space="preserve"> The difference in representation </w:t>
      </w:r>
      <w:r w:rsidR="008A7818">
        <w:rPr>
          <w:sz w:val="20"/>
          <w:szCs w:val="20"/>
        </w:rPr>
        <w:t xml:space="preserve">of rulers may be to do with political and cultural differences between the two civilisations. </w:t>
      </w:r>
    </w:p>
    <w:p w14:paraId="257E9D66" w14:textId="77777777" w:rsidR="00F72277" w:rsidRDefault="00F72277" w:rsidP="004B1EF8">
      <w:pPr>
        <w:rPr>
          <w:sz w:val="20"/>
          <w:szCs w:val="20"/>
        </w:rPr>
      </w:pPr>
    </w:p>
    <w:p w14:paraId="6FC51F9E" w14:textId="25BD9865" w:rsidR="00AD72C9" w:rsidRDefault="008C08D0" w:rsidP="00AD72C9">
      <w:pPr>
        <w:rPr>
          <w:sz w:val="20"/>
          <w:szCs w:val="20"/>
        </w:rPr>
      </w:pPr>
      <w:r>
        <w:rPr>
          <w:sz w:val="20"/>
          <w:szCs w:val="20"/>
        </w:rPr>
        <w:t xml:space="preserve">Understanding and exploring the role of women in myology is vital to understanding a </w:t>
      </w:r>
      <w:r w:rsidR="0012309F">
        <w:rPr>
          <w:sz w:val="20"/>
          <w:szCs w:val="20"/>
        </w:rPr>
        <w:t>civilisation</w:t>
      </w:r>
      <w:r>
        <w:rPr>
          <w:sz w:val="20"/>
          <w:szCs w:val="20"/>
        </w:rPr>
        <w:t xml:space="preserve"> </w:t>
      </w:r>
      <w:r w:rsidR="0012309F">
        <w:rPr>
          <w:sz w:val="20"/>
          <w:szCs w:val="20"/>
        </w:rPr>
        <w:t>cultural ideology</w:t>
      </w:r>
      <w:r>
        <w:rPr>
          <w:sz w:val="20"/>
          <w:szCs w:val="20"/>
        </w:rPr>
        <w:t xml:space="preserve">. </w:t>
      </w:r>
      <w:r w:rsidR="004E0B2D">
        <w:rPr>
          <w:sz w:val="20"/>
          <w:szCs w:val="20"/>
        </w:rPr>
        <w:t xml:space="preserve">There are several crossovers and links between </w:t>
      </w:r>
      <w:r w:rsidR="0012309F">
        <w:rPr>
          <w:sz w:val="20"/>
          <w:szCs w:val="20"/>
        </w:rPr>
        <w:t xml:space="preserve">the </w:t>
      </w:r>
      <w:r w:rsidR="00D63B9F">
        <w:rPr>
          <w:sz w:val="20"/>
          <w:szCs w:val="20"/>
        </w:rPr>
        <w:t>S</w:t>
      </w:r>
      <w:r w:rsidR="0012309F">
        <w:rPr>
          <w:sz w:val="20"/>
          <w:szCs w:val="20"/>
        </w:rPr>
        <w:t>emitic and</w:t>
      </w:r>
      <w:r w:rsidR="00113077">
        <w:rPr>
          <w:sz w:val="20"/>
          <w:szCs w:val="20"/>
        </w:rPr>
        <w:t xml:space="preserve"> </w:t>
      </w:r>
      <w:r w:rsidR="00D63B9F">
        <w:rPr>
          <w:sz w:val="20"/>
          <w:szCs w:val="20"/>
        </w:rPr>
        <w:t xml:space="preserve">Mycenaean </w:t>
      </w:r>
      <w:r w:rsidR="00113077">
        <w:rPr>
          <w:sz w:val="20"/>
          <w:szCs w:val="20"/>
        </w:rPr>
        <w:t>mythology</w:t>
      </w:r>
      <w:r w:rsidR="00070004">
        <w:rPr>
          <w:sz w:val="20"/>
          <w:szCs w:val="20"/>
        </w:rPr>
        <w:t xml:space="preserve"> </w:t>
      </w:r>
      <w:r w:rsidR="00913616">
        <w:rPr>
          <w:sz w:val="20"/>
          <w:szCs w:val="20"/>
        </w:rPr>
        <w:t>which can be seen through the adaption of iconography</w:t>
      </w:r>
      <w:r w:rsidR="006C72A8">
        <w:rPr>
          <w:sz w:val="20"/>
          <w:szCs w:val="20"/>
        </w:rPr>
        <w:t xml:space="preserve"> and the complexes of demonology</w:t>
      </w:r>
      <w:r w:rsidR="002B0D8E">
        <w:rPr>
          <w:sz w:val="20"/>
          <w:szCs w:val="20"/>
        </w:rPr>
        <w:t xml:space="preserve"> </w:t>
      </w:r>
      <w:r w:rsidR="002B0D8E" w:rsidRPr="002B0D8E">
        <w:rPr>
          <w:sz w:val="20"/>
          <w:szCs w:val="20"/>
        </w:rPr>
        <w:t>(D. R. West</w:t>
      </w:r>
      <w:r w:rsidR="002B0D8E">
        <w:rPr>
          <w:sz w:val="20"/>
          <w:szCs w:val="20"/>
        </w:rPr>
        <w:t xml:space="preserve"> 1990 p</w:t>
      </w:r>
      <w:r w:rsidR="007D3E5A">
        <w:rPr>
          <w:sz w:val="20"/>
          <w:szCs w:val="20"/>
        </w:rPr>
        <w:t>1-400</w:t>
      </w:r>
      <w:r w:rsidR="002B0D8E" w:rsidRPr="002B0D8E">
        <w:rPr>
          <w:sz w:val="20"/>
          <w:szCs w:val="20"/>
        </w:rPr>
        <w:t>)</w:t>
      </w:r>
      <w:r w:rsidR="007D3E5A">
        <w:rPr>
          <w:sz w:val="20"/>
          <w:szCs w:val="20"/>
        </w:rPr>
        <w:t xml:space="preserve">. </w:t>
      </w:r>
      <w:r w:rsidR="004A0F87">
        <w:rPr>
          <w:sz w:val="20"/>
          <w:szCs w:val="20"/>
        </w:rPr>
        <w:t xml:space="preserve">Several goddesses seen within the Greek pantheon have </w:t>
      </w:r>
      <w:r w:rsidR="008C3551">
        <w:rPr>
          <w:sz w:val="20"/>
          <w:szCs w:val="20"/>
        </w:rPr>
        <w:t>semitic</w:t>
      </w:r>
      <w:r w:rsidR="00FE7047">
        <w:rPr>
          <w:sz w:val="20"/>
          <w:szCs w:val="20"/>
        </w:rPr>
        <w:t xml:space="preserve"> features or iconographical motifs such as Artemis, Leto, Demeter and </w:t>
      </w:r>
      <w:r w:rsidR="008C3551">
        <w:rPr>
          <w:sz w:val="20"/>
          <w:szCs w:val="20"/>
        </w:rPr>
        <w:t xml:space="preserve">Athena. </w:t>
      </w:r>
      <w:r w:rsidR="006050B7">
        <w:rPr>
          <w:sz w:val="20"/>
          <w:szCs w:val="20"/>
        </w:rPr>
        <w:t>Many of these goddesses absorbed Eastern attribute</w:t>
      </w:r>
      <w:r w:rsidR="00F4130A">
        <w:rPr>
          <w:sz w:val="20"/>
          <w:szCs w:val="20"/>
        </w:rPr>
        <w:t>s attributing to a more ‘beastly</w:t>
      </w:r>
      <w:r w:rsidR="002B66AE">
        <w:rPr>
          <w:sz w:val="20"/>
          <w:szCs w:val="20"/>
        </w:rPr>
        <w:t>’</w:t>
      </w:r>
      <w:r w:rsidR="000D1014">
        <w:rPr>
          <w:sz w:val="20"/>
          <w:szCs w:val="20"/>
        </w:rPr>
        <w:t xml:space="preserve"> p</w:t>
      </w:r>
      <w:r w:rsidR="00F4130A">
        <w:rPr>
          <w:sz w:val="20"/>
          <w:szCs w:val="20"/>
        </w:rPr>
        <w:t>ersona</w:t>
      </w:r>
      <w:r w:rsidR="000D1014">
        <w:rPr>
          <w:sz w:val="20"/>
          <w:szCs w:val="20"/>
        </w:rPr>
        <w:t xml:space="preserve"> with the use of animalistic emblems. </w:t>
      </w:r>
      <w:r w:rsidR="00FB176C">
        <w:rPr>
          <w:sz w:val="20"/>
          <w:szCs w:val="20"/>
        </w:rPr>
        <w:t>Specifically,</w:t>
      </w:r>
      <w:r w:rsidR="000D1014">
        <w:rPr>
          <w:sz w:val="20"/>
          <w:szCs w:val="20"/>
        </w:rPr>
        <w:t xml:space="preserve"> that of lions, snakes and birds. </w:t>
      </w:r>
      <w:r w:rsidR="00FB176C">
        <w:rPr>
          <w:sz w:val="20"/>
          <w:szCs w:val="20"/>
        </w:rPr>
        <w:t xml:space="preserve"> The lion iconography has been mentioned previously in that of the myth of Hercules and Rostam, so it seems a common reoccurring figure. The snake and bird emblems however demonstrate a more </w:t>
      </w:r>
      <w:r w:rsidR="004C2601">
        <w:rPr>
          <w:sz w:val="20"/>
          <w:szCs w:val="20"/>
        </w:rPr>
        <w:t>semitic</w:t>
      </w:r>
      <w:r w:rsidR="00CE2068">
        <w:rPr>
          <w:sz w:val="20"/>
          <w:szCs w:val="20"/>
        </w:rPr>
        <w:t xml:space="preserve"> </w:t>
      </w:r>
      <w:r w:rsidR="004C2601">
        <w:rPr>
          <w:sz w:val="20"/>
          <w:szCs w:val="20"/>
        </w:rPr>
        <w:t xml:space="preserve">influence </w:t>
      </w:r>
      <w:r w:rsidR="00E20AAA">
        <w:rPr>
          <w:sz w:val="20"/>
          <w:szCs w:val="20"/>
        </w:rPr>
        <w:t xml:space="preserve">which may have been facilitated by </w:t>
      </w:r>
      <w:r w:rsidR="00581F4D">
        <w:rPr>
          <w:sz w:val="20"/>
          <w:szCs w:val="20"/>
        </w:rPr>
        <w:t xml:space="preserve">trade and colonisation. These animalistic attributes may stem from the demoness Lamashtu </w:t>
      </w:r>
      <w:r w:rsidR="00A47C97">
        <w:rPr>
          <w:sz w:val="20"/>
          <w:szCs w:val="20"/>
        </w:rPr>
        <w:t>who demonstrates many of these animalistic features herself</w:t>
      </w:r>
      <w:r w:rsidR="009D5E33">
        <w:rPr>
          <w:sz w:val="20"/>
          <w:szCs w:val="20"/>
        </w:rPr>
        <w:t>,</w:t>
      </w:r>
      <w:r w:rsidR="009D5E33" w:rsidRPr="009D5E33">
        <w:rPr>
          <w:rFonts w:ascii="Times New Roman" w:eastAsia="Times New Roman" w:hAnsi="Times New Roman" w:cs="Times New Roman"/>
          <w:kern w:val="0"/>
          <w:sz w:val="24"/>
          <w:szCs w:val="24"/>
          <w:lang w:eastAsia="en-GB"/>
          <w14:ligatures w14:val="none"/>
        </w:rPr>
        <w:t xml:space="preserve"> </w:t>
      </w:r>
      <w:r w:rsidR="009D5E33" w:rsidRPr="009D5E33">
        <w:rPr>
          <w:sz w:val="20"/>
          <w:szCs w:val="20"/>
        </w:rPr>
        <w:t>(Goonetillek</w:t>
      </w:r>
      <w:r w:rsidR="009D5E33">
        <w:rPr>
          <w:sz w:val="20"/>
          <w:szCs w:val="20"/>
        </w:rPr>
        <w:t xml:space="preserve">, 2025, </w:t>
      </w:r>
      <w:r w:rsidR="0084721F">
        <w:rPr>
          <w:sz w:val="20"/>
          <w:szCs w:val="20"/>
        </w:rPr>
        <w:t>p</w:t>
      </w:r>
      <w:r w:rsidR="00F32108">
        <w:rPr>
          <w:sz w:val="20"/>
          <w:szCs w:val="20"/>
        </w:rPr>
        <w:t>65-71</w:t>
      </w:r>
      <w:r w:rsidR="00F32108" w:rsidRPr="009D5E33">
        <w:rPr>
          <w:sz w:val="20"/>
          <w:szCs w:val="20"/>
        </w:rPr>
        <w:t>)</w:t>
      </w:r>
      <w:r w:rsidR="00F116DF">
        <w:rPr>
          <w:sz w:val="20"/>
          <w:szCs w:val="20"/>
        </w:rPr>
        <w:t xml:space="preserve"> which demonstrates h</w:t>
      </w:r>
      <w:r w:rsidR="00586592">
        <w:rPr>
          <w:sz w:val="20"/>
          <w:szCs w:val="20"/>
        </w:rPr>
        <w:t xml:space="preserve">ow </w:t>
      </w:r>
      <w:r w:rsidR="0074167E">
        <w:rPr>
          <w:sz w:val="20"/>
          <w:szCs w:val="20"/>
        </w:rPr>
        <w:t>there is etymological borrowing</w:t>
      </w:r>
      <w:r w:rsidR="006456B1">
        <w:rPr>
          <w:sz w:val="20"/>
          <w:szCs w:val="20"/>
        </w:rPr>
        <w:t xml:space="preserve"> between both cultures and demonstrate how </w:t>
      </w:r>
      <w:r w:rsidR="00525F6A">
        <w:rPr>
          <w:sz w:val="20"/>
          <w:szCs w:val="20"/>
        </w:rPr>
        <w:t xml:space="preserve">the evolution of gods and monsters such as sirens may have occurred. </w:t>
      </w:r>
      <w:r w:rsidR="003C3E4F">
        <w:rPr>
          <w:sz w:val="20"/>
          <w:szCs w:val="20"/>
        </w:rPr>
        <w:t xml:space="preserve">Lamashtu’s influence </w:t>
      </w:r>
      <w:r w:rsidR="00D943B4">
        <w:rPr>
          <w:sz w:val="20"/>
          <w:szCs w:val="20"/>
        </w:rPr>
        <w:t xml:space="preserve">was seen to leave a lasting impact on Greek iconography and </w:t>
      </w:r>
      <w:r w:rsidR="00C436AF">
        <w:rPr>
          <w:sz w:val="20"/>
          <w:szCs w:val="20"/>
        </w:rPr>
        <w:t>rituals,</w:t>
      </w:r>
      <w:r w:rsidR="00D53512">
        <w:rPr>
          <w:sz w:val="20"/>
          <w:szCs w:val="20"/>
        </w:rPr>
        <w:t xml:space="preserve"> and eve has an influence on various mythological beings, one such being Hekate. </w:t>
      </w:r>
      <w:r w:rsidR="00FA5CFA">
        <w:rPr>
          <w:sz w:val="20"/>
          <w:szCs w:val="20"/>
        </w:rPr>
        <w:t xml:space="preserve">Lamashtu </w:t>
      </w:r>
      <w:r w:rsidR="002C321A">
        <w:rPr>
          <w:sz w:val="20"/>
          <w:szCs w:val="20"/>
        </w:rPr>
        <w:t xml:space="preserve">has such a </w:t>
      </w:r>
      <w:r w:rsidR="003327BD">
        <w:rPr>
          <w:sz w:val="20"/>
          <w:szCs w:val="20"/>
        </w:rPr>
        <w:t>broad</w:t>
      </w:r>
      <w:r w:rsidR="002C321A">
        <w:rPr>
          <w:sz w:val="20"/>
          <w:szCs w:val="20"/>
        </w:rPr>
        <w:t xml:space="preserve"> spectrum of attributes and physical features that it could be said she had undergone a double </w:t>
      </w:r>
      <w:r w:rsidR="00B40FF0">
        <w:rPr>
          <w:sz w:val="20"/>
          <w:szCs w:val="20"/>
        </w:rPr>
        <w:t xml:space="preserve">evolution as suggested by Goonetillek. </w:t>
      </w:r>
      <w:r w:rsidR="00C54122">
        <w:rPr>
          <w:sz w:val="20"/>
          <w:szCs w:val="20"/>
        </w:rPr>
        <w:t xml:space="preserve">Hekate takes on many </w:t>
      </w:r>
      <w:r w:rsidR="00F37DD8">
        <w:rPr>
          <w:sz w:val="20"/>
          <w:szCs w:val="20"/>
        </w:rPr>
        <w:t>connections</w:t>
      </w:r>
      <w:r w:rsidR="000206D3">
        <w:rPr>
          <w:sz w:val="20"/>
          <w:szCs w:val="20"/>
        </w:rPr>
        <w:t xml:space="preserve"> of Lamashtu </w:t>
      </w:r>
      <w:r w:rsidR="00F37DD8">
        <w:rPr>
          <w:sz w:val="20"/>
          <w:szCs w:val="20"/>
        </w:rPr>
        <w:t>such as the canine connections, the motif of torches and fire, large stature</w:t>
      </w:r>
      <w:r w:rsidR="003327BD">
        <w:rPr>
          <w:sz w:val="20"/>
          <w:szCs w:val="20"/>
        </w:rPr>
        <w:t xml:space="preserve"> as well as child rearing and childbirth</w:t>
      </w:r>
      <w:r w:rsidR="000206D3">
        <w:rPr>
          <w:sz w:val="20"/>
          <w:szCs w:val="20"/>
        </w:rPr>
        <w:t xml:space="preserve"> though she is generally considered more benevolent in this capacity. </w:t>
      </w:r>
      <w:r w:rsidR="00AD3D6D">
        <w:rPr>
          <w:sz w:val="20"/>
          <w:szCs w:val="20"/>
        </w:rPr>
        <w:t xml:space="preserve">Lamashtu also has strong connections to Greek </w:t>
      </w:r>
      <w:r w:rsidR="0091136D">
        <w:rPr>
          <w:sz w:val="20"/>
          <w:szCs w:val="20"/>
        </w:rPr>
        <w:t xml:space="preserve">Gorgons with its Asiatic goddess demon complex and iconography. </w:t>
      </w:r>
      <w:r w:rsidR="00565C94">
        <w:rPr>
          <w:noProof/>
          <w:sz w:val="20"/>
          <w:szCs w:val="20"/>
        </w:rPr>
        <w:lastRenderedPageBreak/>
        <mc:AlternateContent>
          <mc:Choice Requires="wpg">
            <w:drawing>
              <wp:anchor distT="0" distB="0" distL="114300" distR="114300" simplePos="0" relativeHeight="251661312" behindDoc="0" locked="0" layoutInCell="1" allowOverlap="1" wp14:anchorId="590A7C33" wp14:editId="6C0A472F">
                <wp:simplePos x="0" y="0"/>
                <wp:positionH relativeFrom="margin">
                  <wp:posOffset>0</wp:posOffset>
                </wp:positionH>
                <wp:positionV relativeFrom="paragraph">
                  <wp:posOffset>16510</wp:posOffset>
                </wp:positionV>
                <wp:extent cx="4558665" cy="3380740"/>
                <wp:effectExtent l="0" t="0" r="13335" b="10160"/>
                <wp:wrapTight wrapText="bothSides">
                  <wp:wrapPolygon edited="0">
                    <wp:start x="0" y="0"/>
                    <wp:lineTo x="0" y="21543"/>
                    <wp:lineTo x="11012" y="21543"/>
                    <wp:lineTo x="11012" y="9737"/>
                    <wp:lineTo x="21573" y="8885"/>
                    <wp:lineTo x="21573" y="0"/>
                    <wp:lineTo x="0" y="0"/>
                  </wp:wrapPolygon>
                </wp:wrapTight>
                <wp:docPr id="1178501843" name="Group 1"/>
                <wp:cNvGraphicFramePr/>
                <a:graphic xmlns:a="http://schemas.openxmlformats.org/drawingml/2006/main">
                  <a:graphicData uri="http://schemas.microsoft.com/office/word/2010/wordprocessingGroup">
                    <wpg:wgp>
                      <wpg:cNvGrpSpPr/>
                      <wpg:grpSpPr>
                        <a:xfrm>
                          <a:off x="0" y="0"/>
                          <a:ext cx="4558665" cy="3380740"/>
                          <a:chOff x="0" y="-1"/>
                          <a:chExt cx="4559299" cy="3246973"/>
                        </a:xfrm>
                      </wpg:grpSpPr>
                      <wps:wsp>
                        <wps:cNvPr id="1378849448" name="Text Box 2"/>
                        <wps:cNvSpPr txBox="1">
                          <a:spLocks noChangeArrowheads="1"/>
                        </wps:cNvSpPr>
                        <wps:spPr bwMode="auto">
                          <a:xfrm>
                            <a:off x="0" y="1"/>
                            <a:ext cx="2279650" cy="3246971"/>
                          </a:xfrm>
                          <a:prstGeom prst="rect">
                            <a:avLst/>
                          </a:prstGeom>
                          <a:solidFill>
                            <a:srgbClr val="FFFFFF"/>
                          </a:solidFill>
                          <a:ln w="9525">
                            <a:solidFill>
                              <a:srgbClr val="000000"/>
                            </a:solidFill>
                            <a:miter lim="800000"/>
                            <a:headEnd/>
                            <a:tailEnd/>
                          </a:ln>
                        </wps:spPr>
                        <wps:txbx>
                          <w:txbxContent>
                            <w:p w14:paraId="22E097B5" w14:textId="2FAA4347" w:rsidR="00D44E27" w:rsidRDefault="00D44E27">
                              <w:r w:rsidRPr="00D44E27">
                                <w:drawing>
                                  <wp:inline distT="0" distB="0" distL="0" distR="0" wp14:anchorId="31E3D1B6" wp14:editId="7F5D5114">
                                    <wp:extent cx="2087880" cy="3202305"/>
                                    <wp:effectExtent l="0" t="0" r="7620" b="0"/>
                                    <wp:docPr id="1158679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18886" name=""/>
                                            <pic:cNvPicPr/>
                                          </pic:nvPicPr>
                                          <pic:blipFill>
                                            <a:blip r:embed="rId6"/>
                                            <a:stretch>
                                              <a:fillRect/>
                                            </a:stretch>
                                          </pic:blipFill>
                                          <pic:spPr>
                                            <a:xfrm>
                                              <a:off x="0" y="0"/>
                                              <a:ext cx="2087880" cy="3202305"/>
                                            </a:xfrm>
                                            <a:prstGeom prst="rect">
                                              <a:avLst/>
                                            </a:prstGeom>
                                          </pic:spPr>
                                        </pic:pic>
                                      </a:graphicData>
                                    </a:graphic>
                                  </wp:inline>
                                </w:drawing>
                              </w:r>
                            </w:p>
                          </w:txbxContent>
                        </wps:txbx>
                        <wps:bodyPr rot="0" vert="horz" wrap="square" lIns="91440" tIns="45720" rIns="91440" bIns="45720" anchor="t" anchorCtr="0">
                          <a:noAutofit/>
                        </wps:bodyPr>
                      </wps:wsp>
                      <wps:wsp>
                        <wps:cNvPr id="797974933" name="Text Box 2"/>
                        <wps:cNvSpPr txBox="1">
                          <a:spLocks noChangeArrowheads="1"/>
                        </wps:cNvSpPr>
                        <wps:spPr bwMode="auto">
                          <a:xfrm>
                            <a:off x="2279650" y="-1"/>
                            <a:ext cx="2279649" cy="1308508"/>
                          </a:xfrm>
                          <a:prstGeom prst="rect">
                            <a:avLst/>
                          </a:prstGeom>
                          <a:solidFill>
                            <a:srgbClr val="FFFFFF"/>
                          </a:solidFill>
                          <a:ln w="9525">
                            <a:solidFill>
                              <a:srgbClr val="000000"/>
                            </a:solidFill>
                            <a:miter lim="800000"/>
                            <a:headEnd/>
                            <a:tailEnd/>
                          </a:ln>
                        </wps:spPr>
                        <wps:txbx>
                          <w:txbxContent>
                            <w:p w14:paraId="531D79A4" w14:textId="05EB31C9" w:rsidR="004C662E" w:rsidRPr="002F0DCC" w:rsidRDefault="00495802">
                              <w:pPr>
                                <w:rPr>
                                  <w:sz w:val="16"/>
                                  <w:szCs w:val="16"/>
                                </w:rPr>
                              </w:pPr>
                              <w:r w:rsidRPr="002F0DCC">
                                <w:rPr>
                                  <w:sz w:val="16"/>
                                  <w:szCs w:val="16"/>
                                </w:rPr>
                                <w:t>Figure 1</w:t>
                              </w:r>
                              <w:r w:rsidR="004C662E" w:rsidRPr="002F0DCC">
                                <w:rPr>
                                  <w:sz w:val="16"/>
                                  <w:szCs w:val="16"/>
                                </w:rPr>
                                <w:t xml:space="preserve">: </w:t>
                              </w:r>
                              <w:r w:rsidRPr="002F0DCC">
                                <w:rPr>
                                  <w:sz w:val="16"/>
                                  <w:szCs w:val="16"/>
                                </w:rPr>
                                <w:t>Amulet with a figure of Lamashtu</w:t>
                              </w:r>
                              <w:r w:rsidR="00E94048" w:rsidRPr="002F0DCC">
                                <w:rPr>
                                  <w:sz w:val="16"/>
                                  <w:szCs w:val="16"/>
                                </w:rPr>
                                <w:t>.</w:t>
                              </w:r>
                            </w:p>
                            <w:p w14:paraId="247E2A6B" w14:textId="7D259AB5" w:rsidR="00E94048" w:rsidRPr="002F0DCC" w:rsidRDefault="00E94048">
                              <w:pPr>
                                <w:rPr>
                                  <w:sz w:val="16"/>
                                  <w:szCs w:val="16"/>
                                </w:rPr>
                              </w:pPr>
                              <w:r w:rsidRPr="002F0DCC">
                                <w:rPr>
                                  <w:sz w:val="16"/>
                                  <w:szCs w:val="16"/>
                                </w:rPr>
                                <w:t xml:space="preserve">The amulet depicts Lamashtu </w:t>
                              </w:r>
                              <w:r w:rsidR="004C662E" w:rsidRPr="002F0DCC">
                                <w:rPr>
                                  <w:sz w:val="16"/>
                                  <w:szCs w:val="16"/>
                                </w:rPr>
                                <w:t xml:space="preserve">with Leonine </w:t>
                              </w:r>
                              <w:r w:rsidR="00490F5C">
                                <w:rPr>
                                  <w:sz w:val="16"/>
                                  <w:szCs w:val="16"/>
                                </w:rPr>
                                <w:t xml:space="preserve">iconography </w:t>
                              </w:r>
                              <w:r w:rsidR="00490F5C" w:rsidRPr="002F0DCC">
                                <w:rPr>
                                  <w:sz w:val="16"/>
                                  <w:szCs w:val="16"/>
                                </w:rPr>
                                <w:t>such</w:t>
                              </w:r>
                              <w:r w:rsidR="004C662E" w:rsidRPr="002F0DCC">
                                <w:rPr>
                                  <w:sz w:val="16"/>
                                  <w:szCs w:val="16"/>
                                </w:rPr>
                                <w:t xml:space="preserve"> as the lion’s mane as well as having the snake motifs, with one held in each hand and another wrapped around the waist. </w:t>
                              </w:r>
                            </w:p>
                            <w:p w14:paraId="6163007D" w14:textId="66681ADE" w:rsidR="002F0DCC" w:rsidRPr="002F0DCC" w:rsidRDefault="002F0DCC">
                              <w:pPr>
                                <w:rPr>
                                  <w:sz w:val="10"/>
                                  <w:szCs w:val="10"/>
                                </w:rPr>
                              </w:pPr>
                              <w:r w:rsidRPr="002F0DCC">
                                <w:rPr>
                                  <w:sz w:val="10"/>
                                  <w:szCs w:val="10"/>
                                </w:rPr>
                                <w:t>Purchased by Leonard Woolley in 1925 from Carchemish fund</w:t>
                              </w:r>
                              <w:r w:rsidR="00E04177">
                                <w:rPr>
                                  <w:sz w:val="10"/>
                                  <w:szCs w:val="10"/>
                                </w:rPr>
                                <w:t xml:space="preserve"> though likely dated to the first millennium BCE.</w:t>
                              </w:r>
                              <w:r w:rsidRPr="002F0DCC">
                                <w:rPr>
                                  <w:sz w:val="10"/>
                                  <w:szCs w:val="10"/>
                                </w:rPr>
                                <w:t xml:space="preserve"> Asset no. 32627001: https://www.britishmuseum.org/collection/image/32627001.</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590A7C33" id="Group 1" o:spid="_x0000_s1026" style="position:absolute;margin-left:0;margin-top:1.3pt;width:358.95pt;height:266.2pt;z-index:251661312;mso-position-horizontal-relative:margin;mso-width-relative:margin;mso-height-relative:margin" coordorigin="" coordsize="45592,3246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">
                <v:shapetype id="_x0000_t202" coordsize="21600,21600" o:spt="202" path="m,l,21600r21600,l21600,xe">
                  <v:stroke joinstyle="miter"/>
                  <v:path gradientshapeok="t" o:connecttype="rect"/>
                </v:shapetype>
                <v:shape id="Text Box 2" o:spid="_x0000_s1027" type="#_x0000_t202" style="position:absolute;width:22796;height:32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">
                  <v:textbox>
                    <w:txbxContent>
                      <w:p w14:paraId="22E097B5" w14:textId="2FAA4347" w:rsidR="00D44E27" w:rsidRDefault="00D44E27">
                        <w:r w:rsidRPr="00D44E27">
                          <w:drawing>
                            <wp:inline distT="0" distB="0" distL="0" distR="0" wp14:anchorId="31E3D1B6" wp14:editId="7F5D5114">
                              <wp:extent cx="2087880" cy="3202305"/>
                              <wp:effectExtent l="0" t="0" r="7620" b="0"/>
                              <wp:docPr id="1158679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118886" name=""/>
                                      <pic:cNvPicPr/>
                                    </pic:nvPicPr>
                                    <pic:blipFill>
                                      <a:blip r:embed="rId6"/>
                                      <a:stretch>
                                        <a:fillRect/>
                                      </a:stretch>
                                    </pic:blipFill>
                                    <pic:spPr>
                                      <a:xfrm>
                                        <a:off x="0" y="0"/>
                                        <a:ext cx="2087880" cy="3202305"/>
                                      </a:xfrm>
                                      <a:prstGeom prst="rect">
                                        <a:avLst/>
                                      </a:prstGeom>
                                    </pic:spPr>
                                  </pic:pic>
                                </a:graphicData>
                              </a:graphic>
                            </wp:inline>
                          </w:drawing>
                        </w:r>
                      </w:p>
                    </w:txbxContent>
                  </v:textbox>
                </v:shape>
                <v:shape id="Text Box 2" o:spid="_x0000_s1028" type="#_x0000_t202" style="position:absolute;left:22796;width:22796;height:130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">
                  <v:textbox>
                    <w:txbxContent>
                      <w:p w14:paraId="531D79A4" w14:textId="05EB31C9" w:rsidR="004C662E" w:rsidRPr="002F0DCC" w:rsidRDefault="00495802">
                        <w:pPr>
                          <w:rPr>
                            <w:sz w:val="16"/>
                            <w:szCs w:val="16"/>
                          </w:rPr>
                        </w:pPr>
                        <w:r w:rsidRPr="002F0DCC">
                          <w:rPr>
                            <w:sz w:val="16"/>
                            <w:szCs w:val="16"/>
                          </w:rPr>
                          <w:t>Figure 1</w:t>
                        </w:r>
                        <w:r w:rsidR="004C662E" w:rsidRPr="002F0DCC">
                          <w:rPr>
                            <w:sz w:val="16"/>
                            <w:szCs w:val="16"/>
                          </w:rPr>
                          <w:t xml:space="preserve">: </w:t>
                        </w:r>
                        <w:r w:rsidRPr="002F0DCC">
                          <w:rPr>
                            <w:sz w:val="16"/>
                            <w:szCs w:val="16"/>
                          </w:rPr>
                          <w:t>Amulet with a figure of Lamashtu</w:t>
                        </w:r>
                        <w:r w:rsidR="00E94048" w:rsidRPr="002F0DCC">
                          <w:rPr>
                            <w:sz w:val="16"/>
                            <w:szCs w:val="16"/>
                          </w:rPr>
                          <w:t>.</w:t>
                        </w:r>
                      </w:p>
                      <w:p w14:paraId="247E2A6B" w14:textId="7D259AB5" w:rsidR="00E94048" w:rsidRPr="002F0DCC" w:rsidRDefault="00E94048">
                        <w:pPr>
                          <w:rPr>
                            <w:sz w:val="16"/>
                            <w:szCs w:val="16"/>
                          </w:rPr>
                        </w:pPr>
                        <w:r w:rsidRPr="002F0DCC">
                          <w:rPr>
                            <w:sz w:val="16"/>
                            <w:szCs w:val="16"/>
                          </w:rPr>
                          <w:t xml:space="preserve">The amulet depicts Lamashtu </w:t>
                        </w:r>
                        <w:r w:rsidR="004C662E" w:rsidRPr="002F0DCC">
                          <w:rPr>
                            <w:sz w:val="16"/>
                            <w:szCs w:val="16"/>
                          </w:rPr>
                          <w:t xml:space="preserve">with Leonine </w:t>
                        </w:r>
                        <w:r w:rsidR="00490F5C">
                          <w:rPr>
                            <w:sz w:val="16"/>
                            <w:szCs w:val="16"/>
                          </w:rPr>
                          <w:t xml:space="preserve">iconography </w:t>
                        </w:r>
                        <w:r w:rsidR="00490F5C" w:rsidRPr="002F0DCC">
                          <w:rPr>
                            <w:sz w:val="16"/>
                            <w:szCs w:val="16"/>
                          </w:rPr>
                          <w:t>such</w:t>
                        </w:r>
                        <w:r w:rsidR="004C662E" w:rsidRPr="002F0DCC">
                          <w:rPr>
                            <w:sz w:val="16"/>
                            <w:szCs w:val="16"/>
                          </w:rPr>
                          <w:t xml:space="preserve"> as the lion’s mane as well as having the snake motifs, with one held in each hand and another wrapped around the waist. </w:t>
                        </w:r>
                      </w:p>
                      <w:p w14:paraId="6163007D" w14:textId="66681ADE" w:rsidR="002F0DCC" w:rsidRPr="002F0DCC" w:rsidRDefault="002F0DCC">
                        <w:pPr>
                          <w:rPr>
                            <w:sz w:val="10"/>
                            <w:szCs w:val="10"/>
                          </w:rPr>
                        </w:pPr>
                        <w:r w:rsidRPr="002F0DCC">
                          <w:rPr>
                            <w:sz w:val="10"/>
                            <w:szCs w:val="10"/>
                          </w:rPr>
                          <w:t>Purchased by Leonard Woolley in 1925 from Carchemish fund</w:t>
                        </w:r>
                        <w:r w:rsidR="00E04177">
                          <w:rPr>
                            <w:sz w:val="10"/>
                            <w:szCs w:val="10"/>
                          </w:rPr>
                          <w:t xml:space="preserve"> though likely dated to the first millennium BCE.</w:t>
                        </w:r>
                        <w:r w:rsidRPr="002F0DCC">
                          <w:rPr>
                            <w:sz w:val="10"/>
                            <w:szCs w:val="10"/>
                          </w:rPr>
                          <w:t xml:space="preserve"> Asset no. 32627001: https://www.britishmuseum.org/collection/image/32627001.</w:t>
                        </w:r>
                      </w:p>
                    </w:txbxContent>
                  </v:textbox>
                </v:shape>
                <w10:wrap type="tight" anchorx="margin"/>
              </v:group>
            </w:pict>
          </mc:Fallback>
        </mc:AlternateContent>
      </w:r>
      <w:r w:rsidR="0091136D">
        <w:rPr>
          <w:sz w:val="20"/>
          <w:szCs w:val="20"/>
        </w:rPr>
        <w:t xml:space="preserve">The </w:t>
      </w:r>
      <w:r w:rsidR="005E6E1A">
        <w:rPr>
          <w:sz w:val="20"/>
          <w:szCs w:val="20"/>
        </w:rPr>
        <w:t>parallels</w:t>
      </w:r>
      <w:r w:rsidR="0091136D">
        <w:rPr>
          <w:sz w:val="20"/>
          <w:szCs w:val="20"/>
        </w:rPr>
        <w:t xml:space="preserve"> between the iconography of the gorgons and Lamashtu</w:t>
      </w:r>
      <w:r w:rsidR="005E6E1A">
        <w:rPr>
          <w:sz w:val="20"/>
          <w:szCs w:val="20"/>
        </w:rPr>
        <w:t xml:space="preserve"> are str</w:t>
      </w:r>
      <w:r w:rsidR="00694F3E">
        <w:rPr>
          <w:sz w:val="20"/>
          <w:szCs w:val="20"/>
        </w:rPr>
        <w:t>iking</w:t>
      </w:r>
      <w:r w:rsidR="00782776">
        <w:rPr>
          <w:sz w:val="20"/>
          <w:szCs w:val="20"/>
        </w:rPr>
        <w:t>. The most distinct is the motif of the gorgon</w:t>
      </w:r>
      <w:r w:rsidR="008D56C6">
        <w:rPr>
          <w:sz w:val="20"/>
          <w:szCs w:val="20"/>
        </w:rPr>
        <w:t>s running-kneeling</w:t>
      </w:r>
      <w:r w:rsidR="00940A54">
        <w:rPr>
          <w:sz w:val="20"/>
          <w:szCs w:val="20"/>
        </w:rPr>
        <w:t xml:space="preserve"> </w:t>
      </w:r>
      <w:r w:rsidR="008D56C6">
        <w:rPr>
          <w:sz w:val="20"/>
          <w:szCs w:val="20"/>
        </w:rPr>
        <w:t>posture which is identical to early Greek portrayals of gorgons</w:t>
      </w:r>
      <w:r w:rsidR="00143A17">
        <w:rPr>
          <w:sz w:val="20"/>
          <w:szCs w:val="20"/>
        </w:rPr>
        <w:t xml:space="preserve">. </w:t>
      </w:r>
      <w:r w:rsidR="00D44E27">
        <w:rPr>
          <w:sz w:val="20"/>
          <w:szCs w:val="20"/>
        </w:rPr>
        <w:t>Furthermore,</w:t>
      </w:r>
      <w:r w:rsidR="00143A17">
        <w:rPr>
          <w:sz w:val="20"/>
          <w:szCs w:val="20"/>
        </w:rPr>
        <w:t xml:space="preserve"> the shared association of snakes</w:t>
      </w:r>
      <w:r w:rsidR="00EC2BB7">
        <w:rPr>
          <w:sz w:val="20"/>
          <w:szCs w:val="20"/>
        </w:rPr>
        <w:t xml:space="preserve"> demonstrates a shared demonic trait, with depictions of </w:t>
      </w:r>
      <w:r w:rsidR="00D44E27">
        <w:rPr>
          <w:sz w:val="20"/>
          <w:szCs w:val="20"/>
        </w:rPr>
        <w:t>L</w:t>
      </w:r>
      <w:r w:rsidR="00EC2BB7">
        <w:rPr>
          <w:sz w:val="20"/>
          <w:szCs w:val="20"/>
        </w:rPr>
        <w:t xml:space="preserve">amashtu seen holding </w:t>
      </w:r>
      <w:r w:rsidR="005860DC">
        <w:rPr>
          <w:sz w:val="20"/>
          <w:szCs w:val="20"/>
        </w:rPr>
        <w:t xml:space="preserve">serpents as can be seen in Figure 1. </w:t>
      </w:r>
      <w:r w:rsidR="00AE0629">
        <w:rPr>
          <w:sz w:val="20"/>
          <w:szCs w:val="20"/>
        </w:rPr>
        <w:t xml:space="preserve"> As such, Lamashtu can be considered a transfunctional figure</w:t>
      </w:r>
      <w:r w:rsidR="009A35BF">
        <w:rPr>
          <w:sz w:val="20"/>
          <w:szCs w:val="20"/>
        </w:rPr>
        <w:t xml:space="preserve"> </w:t>
      </w:r>
      <w:r w:rsidR="004C6F9A" w:rsidRPr="004C6F9A">
        <w:rPr>
          <w:sz w:val="20"/>
          <w:szCs w:val="20"/>
        </w:rPr>
        <w:t>(Boedeker</w:t>
      </w:r>
      <w:r w:rsidR="004C6F9A">
        <w:rPr>
          <w:sz w:val="20"/>
          <w:szCs w:val="20"/>
        </w:rPr>
        <w:t xml:space="preserve"> 1938, p88</w:t>
      </w:r>
      <w:r w:rsidR="004C6F9A" w:rsidRPr="004C6F9A">
        <w:rPr>
          <w:sz w:val="20"/>
          <w:szCs w:val="20"/>
        </w:rPr>
        <w:t>)</w:t>
      </w:r>
      <w:r w:rsidR="00A3607A">
        <w:rPr>
          <w:sz w:val="20"/>
          <w:szCs w:val="20"/>
        </w:rPr>
        <w:t xml:space="preserve"> within Indo-European mythology </w:t>
      </w:r>
      <w:r w:rsidR="007E4ED4">
        <w:rPr>
          <w:sz w:val="20"/>
          <w:szCs w:val="20"/>
        </w:rPr>
        <w:t>as it has strong links to</w:t>
      </w:r>
      <w:r w:rsidR="002D13B3">
        <w:rPr>
          <w:sz w:val="20"/>
          <w:szCs w:val="20"/>
        </w:rPr>
        <w:t xml:space="preserve"> </w:t>
      </w:r>
      <w:r w:rsidR="002D13B3" w:rsidRPr="002D13B3">
        <w:rPr>
          <w:sz w:val="20"/>
          <w:szCs w:val="20"/>
        </w:rPr>
        <w:t>Mycenaean</w:t>
      </w:r>
      <w:r w:rsidR="002D13B3">
        <w:rPr>
          <w:sz w:val="20"/>
          <w:szCs w:val="20"/>
        </w:rPr>
        <w:t xml:space="preserve"> and Mesopotamian culture, religion and mythology.</w:t>
      </w:r>
      <w:r w:rsidR="00780718">
        <w:rPr>
          <w:sz w:val="20"/>
          <w:szCs w:val="20"/>
        </w:rPr>
        <w:t xml:space="preserve"> </w:t>
      </w:r>
      <w:r w:rsidR="005473A6">
        <w:rPr>
          <w:sz w:val="20"/>
          <w:szCs w:val="20"/>
        </w:rPr>
        <w:t>As a result of this Lamashtu becomes an important figure within Greek mythology</w:t>
      </w:r>
      <w:r w:rsidR="007C047B">
        <w:rPr>
          <w:sz w:val="20"/>
          <w:szCs w:val="20"/>
        </w:rPr>
        <w:t xml:space="preserve"> however th</w:t>
      </w:r>
      <w:r w:rsidR="00B53353">
        <w:rPr>
          <w:sz w:val="20"/>
          <w:szCs w:val="20"/>
        </w:rPr>
        <w:t xml:space="preserve">e Mesopotamian understanding of her was </w:t>
      </w:r>
      <w:r w:rsidR="00C15DB3">
        <w:rPr>
          <w:sz w:val="20"/>
          <w:szCs w:val="20"/>
        </w:rPr>
        <w:t xml:space="preserve">liminal. Whilst she may have caused the death of </w:t>
      </w:r>
      <w:r w:rsidR="00AD72C9">
        <w:rPr>
          <w:sz w:val="20"/>
          <w:szCs w:val="20"/>
        </w:rPr>
        <w:t>infants,</w:t>
      </w:r>
      <w:r w:rsidR="00C15DB3">
        <w:rPr>
          <w:sz w:val="20"/>
          <w:szCs w:val="20"/>
        </w:rPr>
        <w:t xml:space="preserve"> she also </w:t>
      </w:r>
      <w:r w:rsidR="00C60A48">
        <w:rPr>
          <w:sz w:val="20"/>
          <w:szCs w:val="20"/>
        </w:rPr>
        <w:t xml:space="preserve">was a </w:t>
      </w:r>
      <w:r w:rsidR="00A11F77">
        <w:rPr>
          <w:sz w:val="20"/>
          <w:szCs w:val="20"/>
        </w:rPr>
        <w:t xml:space="preserve">caregiver and may have represented the mother who struggled with difficulties </w:t>
      </w:r>
      <w:r w:rsidR="004802F3">
        <w:rPr>
          <w:sz w:val="20"/>
          <w:szCs w:val="20"/>
        </w:rPr>
        <w:t>breastfeeding, someone who struggled with postpartum depression or even used as a figure to blame when infants died during birth or in the cradle</w:t>
      </w:r>
      <w:r w:rsidR="00AD72C9">
        <w:rPr>
          <w:sz w:val="20"/>
          <w:szCs w:val="20"/>
        </w:rPr>
        <w:t xml:space="preserve"> </w:t>
      </w:r>
      <w:r w:rsidR="00AD72C9" w:rsidRPr="00AD72C9">
        <w:rPr>
          <w:sz w:val="20"/>
          <w:szCs w:val="20"/>
        </w:rPr>
        <w:t>(Wee</w:t>
      </w:r>
      <w:r w:rsidR="00AD72C9">
        <w:rPr>
          <w:sz w:val="20"/>
          <w:szCs w:val="20"/>
        </w:rPr>
        <w:t>, 2021 p16</w:t>
      </w:r>
      <w:r w:rsidR="00B70C5D" w:rsidRPr="00AD72C9">
        <w:rPr>
          <w:sz w:val="20"/>
          <w:szCs w:val="20"/>
        </w:rPr>
        <w:t>)</w:t>
      </w:r>
      <w:r w:rsidR="00B70C5D">
        <w:rPr>
          <w:sz w:val="20"/>
          <w:szCs w:val="20"/>
        </w:rPr>
        <w:t xml:space="preserve">. This may have been why </w:t>
      </w:r>
      <w:r w:rsidR="00D926A6">
        <w:rPr>
          <w:sz w:val="20"/>
          <w:szCs w:val="20"/>
        </w:rPr>
        <w:t>Hekate played such a strong role between both life and death</w:t>
      </w:r>
      <w:r w:rsidR="00FC17F9">
        <w:rPr>
          <w:sz w:val="20"/>
          <w:szCs w:val="20"/>
        </w:rPr>
        <w:t xml:space="preserve"> </w:t>
      </w:r>
      <w:r w:rsidR="00FC17F9" w:rsidRPr="00FC17F9">
        <w:rPr>
          <w:sz w:val="20"/>
          <w:szCs w:val="20"/>
        </w:rPr>
        <w:t>(Ou</w:t>
      </w:r>
      <w:r w:rsidR="00D502E1">
        <w:rPr>
          <w:sz w:val="20"/>
          <w:szCs w:val="20"/>
        </w:rPr>
        <w:t xml:space="preserve"> 2016 p5</w:t>
      </w:r>
      <w:r w:rsidR="00940A54" w:rsidRPr="00FC17F9">
        <w:rPr>
          <w:sz w:val="20"/>
          <w:szCs w:val="20"/>
        </w:rPr>
        <w:t>),</w:t>
      </w:r>
      <w:r w:rsidR="00D502E1">
        <w:rPr>
          <w:sz w:val="20"/>
          <w:szCs w:val="20"/>
        </w:rPr>
        <w:t xml:space="preserve"> </w:t>
      </w:r>
      <w:r w:rsidR="00D926A6">
        <w:rPr>
          <w:sz w:val="20"/>
          <w:szCs w:val="20"/>
        </w:rPr>
        <w:t>but also why</w:t>
      </w:r>
      <w:r w:rsidR="00D502E1">
        <w:rPr>
          <w:sz w:val="20"/>
          <w:szCs w:val="20"/>
        </w:rPr>
        <w:t xml:space="preserve"> the Gorgons took on another form of Lamashtu</w:t>
      </w:r>
      <w:r w:rsidR="00131CB7">
        <w:rPr>
          <w:sz w:val="20"/>
          <w:szCs w:val="20"/>
        </w:rPr>
        <w:t xml:space="preserve">. Both of these figures represent the double evolution that Lamashtu underwent as mentioned previously. </w:t>
      </w:r>
    </w:p>
    <w:p w14:paraId="0286C9A7" w14:textId="77777777" w:rsidR="00216C7E" w:rsidRDefault="00216C7E" w:rsidP="00AD72C9">
      <w:pPr>
        <w:rPr>
          <w:sz w:val="20"/>
          <w:szCs w:val="20"/>
        </w:rPr>
      </w:pPr>
    </w:p>
    <w:p w14:paraId="5C5D02EC" w14:textId="49F8F59E" w:rsidR="009D37B7" w:rsidRDefault="004D5822" w:rsidP="00AD72C9">
      <w:pPr>
        <w:rPr>
          <w:sz w:val="20"/>
          <w:szCs w:val="20"/>
        </w:rPr>
      </w:pPr>
      <w:r>
        <w:rPr>
          <w:sz w:val="20"/>
          <w:szCs w:val="20"/>
        </w:rPr>
        <w:t>Overall</w:t>
      </w:r>
      <w:r w:rsidR="00205156">
        <w:rPr>
          <w:sz w:val="20"/>
          <w:szCs w:val="20"/>
        </w:rPr>
        <w:t>,</w:t>
      </w:r>
      <w:r>
        <w:rPr>
          <w:sz w:val="20"/>
          <w:szCs w:val="20"/>
        </w:rPr>
        <w:t xml:space="preserve"> there are numerous examples of </w:t>
      </w:r>
      <w:r w:rsidR="00205156">
        <w:rPr>
          <w:sz w:val="20"/>
          <w:szCs w:val="20"/>
        </w:rPr>
        <w:t>cross-cultural</w:t>
      </w:r>
      <w:r>
        <w:rPr>
          <w:sz w:val="20"/>
          <w:szCs w:val="20"/>
        </w:rPr>
        <w:t xml:space="preserve"> influence and the adaption of myth across culture from Mesopotamia to </w:t>
      </w:r>
      <w:r w:rsidR="00F10FF0">
        <w:rPr>
          <w:sz w:val="20"/>
          <w:szCs w:val="20"/>
        </w:rPr>
        <w:t xml:space="preserve">Greece and Persia to Rome. </w:t>
      </w:r>
      <w:r w:rsidR="004B3CCF">
        <w:rPr>
          <w:sz w:val="20"/>
          <w:szCs w:val="20"/>
        </w:rPr>
        <w:t xml:space="preserve">Myths can be adapted </w:t>
      </w:r>
      <w:r w:rsidR="005A54AA">
        <w:rPr>
          <w:sz w:val="20"/>
          <w:szCs w:val="20"/>
        </w:rPr>
        <w:t>because of cultural differences or simply</w:t>
      </w:r>
      <w:r w:rsidR="00DB53BE">
        <w:rPr>
          <w:sz w:val="20"/>
          <w:szCs w:val="20"/>
        </w:rPr>
        <w:t xml:space="preserve"> as natural progression as time passes. </w:t>
      </w:r>
      <w:r w:rsidR="000B50ED">
        <w:rPr>
          <w:sz w:val="20"/>
          <w:szCs w:val="20"/>
        </w:rPr>
        <w:t>Motifs and ic</w:t>
      </w:r>
      <w:r w:rsidR="00FD2417">
        <w:rPr>
          <w:sz w:val="20"/>
          <w:szCs w:val="20"/>
        </w:rPr>
        <w:t xml:space="preserve">onography transference across cultures was very common even if the message within was changed to fit with local culture and beliefs. </w:t>
      </w:r>
      <w:r w:rsidR="00C1382A">
        <w:rPr>
          <w:sz w:val="20"/>
          <w:szCs w:val="20"/>
        </w:rPr>
        <w:t xml:space="preserve">Trade, immigration, and political </w:t>
      </w:r>
      <w:r w:rsidR="005B6BFF">
        <w:rPr>
          <w:sz w:val="20"/>
          <w:szCs w:val="20"/>
        </w:rPr>
        <w:t xml:space="preserve">communications may have aided in the transference of these myths. </w:t>
      </w:r>
      <w:r w:rsidR="005A30A7">
        <w:rPr>
          <w:sz w:val="20"/>
          <w:szCs w:val="20"/>
        </w:rPr>
        <w:t xml:space="preserve">Myths and beliefs would have been adopted independently as well more widespread depending on </w:t>
      </w:r>
      <w:r w:rsidR="00D729B1">
        <w:rPr>
          <w:sz w:val="20"/>
          <w:szCs w:val="20"/>
        </w:rPr>
        <w:t xml:space="preserve">certain aspects. For </w:t>
      </w:r>
      <w:r w:rsidR="00913EC2">
        <w:rPr>
          <w:sz w:val="20"/>
          <w:szCs w:val="20"/>
        </w:rPr>
        <w:t>example,</w:t>
      </w:r>
      <w:r w:rsidR="00D729B1">
        <w:rPr>
          <w:sz w:val="20"/>
          <w:szCs w:val="20"/>
        </w:rPr>
        <w:t xml:space="preserve"> if there was more death during childbirth there may have been a greater adoption of the myth of Lamashtu whereas </w:t>
      </w:r>
      <w:r w:rsidR="00415EAD">
        <w:rPr>
          <w:sz w:val="20"/>
          <w:szCs w:val="20"/>
        </w:rPr>
        <w:t xml:space="preserve">around more </w:t>
      </w:r>
      <w:r w:rsidR="00913EC2">
        <w:rPr>
          <w:sz w:val="20"/>
          <w:szCs w:val="20"/>
        </w:rPr>
        <w:t xml:space="preserve">populated areas in bigger cities or nearer areas of power the myths of Rostam or Odysseus may have been more prevalent. </w:t>
      </w:r>
      <w:r w:rsidR="00F241E8">
        <w:rPr>
          <w:sz w:val="20"/>
          <w:szCs w:val="20"/>
        </w:rPr>
        <w:t xml:space="preserve">Over time these myths would have been adapted and transferred between any cultures which had communications with each over. </w:t>
      </w:r>
    </w:p>
    <w:p w14:paraId="1CF0AC4A" w14:textId="4B8FF55E" w:rsidR="00940A54" w:rsidRDefault="00940A54" w:rsidP="00AD72C9">
      <w:pPr>
        <w:rPr>
          <w:sz w:val="20"/>
          <w:szCs w:val="20"/>
        </w:rPr>
      </w:pPr>
    </w:p>
    <w:p w14:paraId="3A2EE0BF" w14:textId="77777777" w:rsidR="00940A54" w:rsidRPr="00AD72C9" w:rsidRDefault="00940A54" w:rsidP="00AD72C9">
      <w:pPr>
        <w:rPr>
          <w:sz w:val="20"/>
          <w:szCs w:val="20"/>
        </w:rPr>
      </w:pPr>
    </w:p>
    <w:p w14:paraId="542BCAE3" w14:textId="785ADCBE" w:rsidR="004C6F9A" w:rsidRPr="004C6F9A" w:rsidRDefault="004C6F9A" w:rsidP="004C6F9A">
      <w:pPr>
        <w:rPr>
          <w:sz w:val="20"/>
          <w:szCs w:val="20"/>
        </w:rPr>
      </w:pPr>
    </w:p>
    <w:p w14:paraId="340751C3" w14:textId="2F134EEB" w:rsidR="009D5E33" w:rsidRDefault="009D5E33" w:rsidP="009D5E33">
      <w:pPr>
        <w:rPr>
          <w:sz w:val="20"/>
          <w:szCs w:val="20"/>
        </w:rPr>
      </w:pPr>
    </w:p>
    <w:p w14:paraId="1D7AB99D" w14:textId="3723980D" w:rsidR="00D44E27" w:rsidRPr="009D5E33" w:rsidRDefault="00D44E27" w:rsidP="009D5E33">
      <w:pPr>
        <w:rPr>
          <w:sz w:val="20"/>
          <w:szCs w:val="20"/>
        </w:rPr>
      </w:pPr>
    </w:p>
    <w:p w14:paraId="31839976" w14:textId="17D8714C" w:rsidR="00FE7047" w:rsidRPr="002B0D8E" w:rsidRDefault="00FE7047" w:rsidP="002B0D8E">
      <w:pPr>
        <w:rPr>
          <w:sz w:val="20"/>
          <w:szCs w:val="20"/>
        </w:rPr>
      </w:pPr>
    </w:p>
    <w:p w14:paraId="6FB933B0" w14:textId="611F8B5A" w:rsidR="00013231" w:rsidRDefault="00013231" w:rsidP="002B6A21">
      <w:pPr>
        <w:rPr>
          <w:sz w:val="20"/>
          <w:szCs w:val="20"/>
        </w:rPr>
      </w:pPr>
    </w:p>
    <w:p w14:paraId="221D30E7" w14:textId="77777777" w:rsidR="008F1C7E" w:rsidRPr="00D24567" w:rsidRDefault="008F1C7E" w:rsidP="002B6A21">
      <w:pPr>
        <w:rPr>
          <w:sz w:val="20"/>
          <w:szCs w:val="20"/>
        </w:rPr>
      </w:pPr>
    </w:p>
    <w:p w14:paraId="3BD8A087" w14:textId="77777777" w:rsidR="00B634E7" w:rsidRDefault="00B634E7">
      <w:pPr>
        <w:rPr>
          <w:sz w:val="20"/>
          <w:szCs w:val="20"/>
        </w:rPr>
      </w:pPr>
    </w:p>
    <w:p w14:paraId="7B65C337" w14:textId="2B41857E" w:rsidR="00635D8E" w:rsidRPr="00C37975" w:rsidRDefault="001E23DA" w:rsidP="00423AA6">
      <w:pPr>
        <w:rPr>
          <w:b/>
          <w:bCs/>
          <w:sz w:val="16"/>
          <w:szCs w:val="16"/>
          <w:u w:val="single"/>
        </w:rPr>
      </w:pPr>
      <w:r w:rsidRPr="00C37975">
        <w:rPr>
          <w:b/>
          <w:bCs/>
          <w:sz w:val="16"/>
          <w:szCs w:val="16"/>
          <w:u w:val="single"/>
        </w:rPr>
        <w:lastRenderedPageBreak/>
        <w:t>References:</w:t>
      </w:r>
    </w:p>
    <w:p w14:paraId="175BD4A4" w14:textId="77777777" w:rsidR="000E1EAE" w:rsidRPr="00C37975" w:rsidRDefault="000E1EAE" w:rsidP="000E1EAE">
      <w:pPr>
        <w:rPr>
          <w:sz w:val="16"/>
          <w:szCs w:val="16"/>
        </w:rPr>
      </w:pPr>
      <w:r w:rsidRPr="00A3607A">
        <w:rPr>
          <w:sz w:val="16"/>
          <w:szCs w:val="16"/>
        </w:rPr>
        <w:t xml:space="preserve">Boedeker, Deborah. “Hecate: A Transfunctional Goddess in the Theogony?” </w:t>
      </w:r>
      <w:r w:rsidRPr="00A3607A">
        <w:rPr>
          <w:i/>
          <w:iCs/>
          <w:sz w:val="16"/>
          <w:szCs w:val="16"/>
        </w:rPr>
        <w:t>Transactions of the American Philological Association (1974-)</w:t>
      </w:r>
      <w:r w:rsidRPr="00A3607A">
        <w:rPr>
          <w:sz w:val="16"/>
          <w:szCs w:val="16"/>
        </w:rPr>
        <w:t xml:space="preserve">, vol. 113, 1983, pp. 79–93. </w:t>
      </w:r>
      <w:r w:rsidRPr="00A3607A">
        <w:rPr>
          <w:i/>
          <w:iCs/>
          <w:sz w:val="16"/>
          <w:szCs w:val="16"/>
        </w:rPr>
        <w:t>JSTOR</w:t>
      </w:r>
      <w:r w:rsidRPr="00A3607A">
        <w:rPr>
          <w:sz w:val="16"/>
          <w:szCs w:val="16"/>
        </w:rPr>
        <w:t xml:space="preserve">, www.jstor.org/stable/pdf/284004.pdf, </w:t>
      </w:r>
      <w:hyperlink r:id="rId7" w:history="1">
        <w:r w:rsidRPr="00A3607A">
          <w:rPr>
            <w:rStyle w:val="Hyperlink"/>
            <w:sz w:val="16"/>
            <w:szCs w:val="16"/>
          </w:rPr>
          <w:t>https://doi.org/10.2307/284004. Accessed 9 Apr. 2026</w:t>
        </w:r>
      </w:hyperlink>
      <w:r w:rsidRPr="00A3607A">
        <w:rPr>
          <w:sz w:val="16"/>
          <w:szCs w:val="16"/>
        </w:rPr>
        <w:t>.</w:t>
      </w:r>
    </w:p>
    <w:p w14:paraId="454339D7" w14:textId="44B53470" w:rsidR="00C37975" w:rsidRPr="00C37975" w:rsidRDefault="000E1EAE" w:rsidP="000E1EAE">
      <w:pPr>
        <w:rPr>
          <w:sz w:val="16"/>
          <w:szCs w:val="16"/>
        </w:rPr>
      </w:pPr>
      <w:r w:rsidRPr="00C37975">
        <w:rPr>
          <w:sz w:val="16"/>
          <w:szCs w:val="16"/>
        </w:rPr>
        <w:t>“Earthquakes-</w:t>
      </w:r>
      <w:proofErr w:type="gramStart"/>
      <w:r w:rsidRPr="00C37975">
        <w:rPr>
          <w:sz w:val="16"/>
          <w:szCs w:val="16"/>
        </w:rPr>
        <w:t>Hetaera .</w:t>
      </w:r>
      <w:proofErr w:type="gramEnd"/>
      <w:r w:rsidRPr="00C37975">
        <w:rPr>
          <w:sz w:val="16"/>
          <w:szCs w:val="16"/>
        </w:rPr>
        <w:t xml:space="preserve">” </w:t>
      </w:r>
      <w:r w:rsidRPr="00C37975">
        <w:rPr>
          <w:i/>
          <w:iCs/>
          <w:sz w:val="16"/>
          <w:szCs w:val="16"/>
        </w:rPr>
        <w:t xml:space="preserve">THE OXFORD ENCYCLOPEDIA of ANCIENT GREECE and </w:t>
      </w:r>
      <w:proofErr w:type="gramStart"/>
      <w:r w:rsidRPr="00C37975">
        <w:rPr>
          <w:i/>
          <w:iCs/>
          <w:sz w:val="16"/>
          <w:szCs w:val="16"/>
        </w:rPr>
        <w:t xml:space="preserve">ROME </w:t>
      </w:r>
      <w:r w:rsidRPr="00C37975">
        <w:rPr>
          <w:sz w:val="16"/>
          <w:szCs w:val="16"/>
        </w:rPr>
        <w:t>,</w:t>
      </w:r>
      <w:proofErr w:type="gramEnd"/>
      <w:r w:rsidRPr="00C37975">
        <w:rPr>
          <w:sz w:val="16"/>
          <w:szCs w:val="16"/>
        </w:rPr>
        <w:t xml:space="preserve"> Edited by Michael Gagarin and Elaine </w:t>
      </w:r>
      <w:proofErr w:type="gramStart"/>
      <w:r w:rsidRPr="00C37975">
        <w:rPr>
          <w:sz w:val="16"/>
          <w:szCs w:val="16"/>
        </w:rPr>
        <w:t>Fantham ,</w:t>
      </w:r>
      <w:proofErr w:type="gramEnd"/>
      <w:r w:rsidRPr="00C37975">
        <w:rPr>
          <w:sz w:val="16"/>
          <w:szCs w:val="16"/>
        </w:rPr>
        <w:t xml:space="preserve"> OXFORD UNIVERSITY PRESS, 2010, pp. 398–406. </w:t>
      </w:r>
      <w:r w:rsidRPr="00C37975">
        <w:rPr>
          <w:i/>
          <w:iCs/>
          <w:sz w:val="16"/>
          <w:szCs w:val="16"/>
        </w:rPr>
        <w:t>JSTOR</w:t>
      </w:r>
      <w:r w:rsidRPr="00C37975">
        <w:rPr>
          <w:sz w:val="16"/>
          <w:szCs w:val="16"/>
        </w:rPr>
        <w:t>, d1wqtxts1xzle7.cloudfront.net/122549153/Hercules_Dominik_10-libre.pdf?1745847422=&amp;response-content-disposition=inline%3B+filename%3DWilliam_J_Dominik_Hercules_in_Roman_Reli.pdf&amp;Expires=1775482777&amp;Signature=RBgELoL3L6eVfB7mqwu0uRfdBJGWySpiN~rvycEUbmyQcsz7LDezQAtc9Oa968SS~rBR1SQ4xTB5OyfSG4kdb1qbVE4cZ~1fBTG8jxa7S2fJxPvBgwk6WLUUT~~T5xEvolf7akKquXpK9j865lUyNEO7vBU9yFu8MAYeKDJCBRGj5uAMQtxP91sUAsYDlufDri1hROA7sSN3GObQY-x3etlYp9NIeVK8mZGm7sM~Y9rPmaeZqRZkNfzpxHOLgWFNRmTFx78Rr6E9QMfJ2-oQmE~kmN2iwDq2Ax3hKm8-uNbWy1MwiulvWY9nu1qnZWa3GVJLAmSzOw8llR8yr52vww__&amp;Key-Pair-Id=APKAJLOHF5GGSLRBV4ZA. Accessed 6 Apr. 2026.</w:t>
      </w:r>
    </w:p>
    <w:p w14:paraId="22B73743" w14:textId="4583DF8B" w:rsidR="00423AA6" w:rsidRPr="00C37975" w:rsidRDefault="000E1EAE" w:rsidP="005D1B22">
      <w:pPr>
        <w:rPr>
          <w:sz w:val="16"/>
          <w:szCs w:val="16"/>
        </w:rPr>
      </w:pPr>
      <w:proofErr w:type="gramStart"/>
      <w:r w:rsidRPr="00C37975">
        <w:rPr>
          <w:sz w:val="16"/>
          <w:szCs w:val="16"/>
        </w:rPr>
        <w:t>Goonetilleke ,</w:t>
      </w:r>
      <w:proofErr w:type="gramEnd"/>
      <w:r w:rsidRPr="00C37975">
        <w:rPr>
          <w:sz w:val="16"/>
          <w:szCs w:val="16"/>
        </w:rPr>
        <w:t xml:space="preserve"> Enya. “FEMININITY in the ANCIENT near EAST: The Roles of Women as Recipients and Agents of </w:t>
      </w:r>
      <w:proofErr w:type="gramStart"/>
      <w:r w:rsidRPr="00C37975">
        <w:rPr>
          <w:sz w:val="16"/>
          <w:szCs w:val="16"/>
        </w:rPr>
        <w:t>Magic .</w:t>
      </w:r>
      <w:proofErr w:type="gramEnd"/>
      <w:r w:rsidRPr="00C37975">
        <w:rPr>
          <w:sz w:val="16"/>
          <w:szCs w:val="16"/>
        </w:rPr>
        <w:t xml:space="preserve">” </w:t>
      </w:r>
      <w:proofErr w:type="spellStart"/>
      <w:r w:rsidRPr="00C37975">
        <w:rPr>
          <w:i/>
          <w:iCs/>
          <w:sz w:val="16"/>
          <w:szCs w:val="16"/>
        </w:rPr>
        <w:t>Elaínos</w:t>
      </w:r>
      <w:proofErr w:type="spellEnd"/>
      <w:r w:rsidRPr="00C37975">
        <w:rPr>
          <w:i/>
          <w:iCs/>
          <w:sz w:val="16"/>
          <w:szCs w:val="16"/>
        </w:rPr>
        <w:t xml:space="preserve">: Undergraduate Classics </w:t>
      </w:r>
      <w:proofErr w:type="gramStart"/>
      <w:r w:rsidRPr="00C37975">
        <w:rPr>
          <w:i/>
          <w:iCs/>
          <w:sz w:val="16"/>
          <w:szCs w:val="16"/>
        </w:rPr>
        <w:t xml:space="preserve">Journal </w:t>
      </w:r>
      <w:r w:rsidRPr="00C37975">
        <w:rPr>
          <w:sz w:val="16"/>
          <w:szCs w:val="16"/>
        </w:rPr>
        <w:t>,</w:t>
      </w:r>
      <w:proofErr w:type="gramEnd"/>
      <w:r w:rsidRPr="00C37975">
        <w:rPr>
          <w:sz w:val="16"/>
          <w:szCs w:val="16"/>
        </w:rPr>
        <w:t xml:space="preserve"> vol. 1, 2025, pp. 65–71. </w:t>
      </w:r>
      <w:r w:rsidRPr="00C37975">
        <w:rPr>
          <w:i/>
          <w:iCs/>
          <w:sz w:val="16"/>
          <w:szCs w:val="16"/>
        </w:rPr>
        <w:t xml:space="preserve">The Hellenic </w:t>
      </w:r>
      <w:proofErr w:type="spellStart"/>
      <w:r w:rsidRPr="00C37975">
        <w:rPr>
          <w:i/>
          <w:iCs/>
          <w:sz w:val="16"/>
          <w:szCs w:val="16"/>
        </w:rPr>
        <w:t>Iniative</w:t>
      </w:r>
      <w:proofErr w:type="spellEnd"/>
      <w:r w:rsidRPr="00C37975">
        <w:rPr>
          <w:sz w:val="16"/>
          <w:szCs w:val="16"/>
        </w:rPr>
        <w:t>, static1.squarespace.com/static/67be284c733d5c68878841f3/t/694068b2ea4bff643b6a2f22/1765828786418/Elainos+Vol.+1+Spring+2025.pdf#page=67. Accessed 7 Apr. 2026.</w:t>
      </w:r>
    </w:p>
    <w:p w14:paraId="5E25C660" w14:textId="32D83F15" w:rsidR="00C37975" w:rsidRPr="00C37975" w:rsidRDefault="000E1EAE" w:rsidP="000E1EAE">
      <w:pPr>
        <w:rPr>
          <w:sz w:val="16"/>
          <w:szCs w:val="16"/>
        </w:rPr>
      </w:pPr>
      <w:proofErr w:type="spellStart"/>
      <w:proofErr w:type="gramStart"/>
      <w:r w:rsidRPr="00C37975">
        <w:rPr>
          <w:sz w:val="16"/>
          <w:szCs w:val="16"/>
        </w:rPr>
        <w:t>Gresseth</w:t>
      </w:r>
      <w:proofErr w:type="spellEnd"/>
      <w:r w:rsidRPr="00C37975">
        <w:rPr>
          <w:sz w:val="16"/>
          <w:szCs w:val="16"/>
        </w:rPr>
        <w:t xml:space="preserve"> ,</w:t>
      </w:r>
      <w:proofErr w:type="gramEnd"/>
      <w:r w:rsidRPr="00C37975">
        <w:rPr>
          <w:sz w:val="16"/>
          <w:szCs w:val="16"/>
        </w:rPr>
        <w:t xml:space="preserve"> </w:t>
      </w:r>
      <w:proofErr w:type="spellStart"/>
      <w:r w:rsidRPr="00C37975">
        <w:rPr>
          <w:sz w:val="16"/>
          <w:szCs w:val="16"/>
        </w:rPr>
        <w:t>Gerald.K</w:t>
      </w:r>
      <w:proofErr w:type="spellEnd"/>
      <w:r w:rsidRPr="00C37975">
        <w:rPr>
          <w:sz w:val="16"/>
          <w:szCs w:val="16"/>
        </w:rPr>
        <w:t xml:space="preserve">. “The Gilgamesh Epic and Homer .” </w:t>
      </w:r>
      <w:r w:rsidRPr="00C37975">
        <w:rPr>
          <w:i/>
          <w:iCs/>
          <w:sz w:val="16"/>
          <w:szCs w:val="16"/>
        </w:rPr>
        <w:t xml:space="preserve">the Classical Association of the Middle West and South, Inc. (CAMWS) </w:t>
      </w:r>
      <w:r w:rsidRPr="00C37975">
        <w:rPr>
          <w:sz w:val="16"/>
          <w:szCs w:val="16"/>
        </w:rPr>
        <w:t xml:space="preserve">, vol. 70, no. 4, 1975, pp. 1–18, </w:t>
      </w:r>
      <w:hyperlink r:id="rId8" w:history="1">
        <w:r w:rsidRPr="00C37975">
          <w:rPr>
            <w:rStyle w:val="Hyperlink"/>
            <w:sz w:val="16"/>
            <w:szCs w:val="16"/>
          </w:rPr>
          <w:t>www.jstor.org/stable/3295760. Accessed 3 Apr. 2026</w:t>
        </w:r>
      </w:hyperlink>
      <w:r w:rsidRPr="00C37975">
        <w:rPr>
          <w:sz w:val="16"/>
          <w:szCs w:val="16"/>
        </w:rPr>
        <w:t>.</w:t>
      </w:r>
    </w:p>
    <w:p w14:paraId="420402F1" w14:textId="77777777" w:rsidR="00C37975" w:rsidRPr="00C37975" w:rsidRDefault="00C37975" w:rsidP="00C37975">
      <w:pPr>
        <w:rPr>
          <w:sz w:val="16"/>
          <w:szCs w:val="16"/>
        </w:rPr>
      </w:pPr>
      <w:proofErr w:type="gramStart"/>
      <w:r w:rsidRPr="00C37975">
        <w:rPr>
          <w:sz w:val="16"/>
          <w:szCs w:val="16"/>
        </w:rPr>
        <w:t>Kuhrt ,</w:t>
      </w:r>
      <w:proofErr w:type="gramEnd"/>
      <w:r w:rsidRPr="00C37975">
        <w:rPr>
          <w:sz w:val="16"/>
          <w:szCs w:val="16"/>
        </w:rPr>
        <w:t xml:space="preserve"> Amélie. </w:t>
      </w:r>
      <w:r w:rsidRPr="00C37975">
        <w:rPr>
          <w:i/>
          <w:iCs/>
          <w:sz w:val="16"/>
          <w:szCs w:val="16"/>
        </w:rPr>
        <w:t>Greek Contact with the Levant and Mesopotamia in the First Half of the First Millennium BC: A View from the East</w:t>
      </w:r>
      <w:r w:rsidRPr="00C37975">
        <w:rPr>
          <w:sz w:val="16"/>
          <w:szCs w:val="16"/>
        </w:rPr>
        <w:t>. Bar International Series, 2002, pp. 17–26, d1wqtxts1xzle7.cloudfront.net/34145832/02-Kuhrt_Greeks___East-libre.pdf?1404796000=&amp;response-content-disposition=inline%3B+filename%3DGreek_Contact_with_the_Levant_and_Mesopo.pdf&amp;Expires=1775569994&amp;Signature=MS3IeZ8xsyOCfgOrkOsVSR83JjcASBkM9mSPq0PboKXMHurYvmewGbVGwJW~IzHigsFkj~Ru5epmzO2RfDIv8I9vpmQ7vrHtdosSTiZjILjkcV-igYy-qnA-tEHZcNtaEE2Tlbq2dqONFmhgq74znYDkJqk7G0ugONAxV8GVcLkM9EO1~5XZfMWBHw1rhp5U7yKWaVzCis4AfhmOgWd77~vkWH0gWSmWW~kLpYVgK6aLu3JRcUbOZOR7J7s1canFmNTQpD1rUVysQPf5y47yu3nY2AGxy90vTKWagVO0dX747DCB7tffOZPC-8~ZfEipmdemTmS-AKLssasRy0gvPQ__&amp;Key-Pair-Id=APKAJLOHF5GGSLRBV4ZA. Accessed 7 Apr. 2026.</w:t>
      </w:r>
    </w:p>
    <w:p w14:paraId="7E80D791" w14:textId="77777777" w:rsidR="00C37975" w:rsidRPr="00C37975" w:rsidRDefault="00C37975" w:rsidP="00C37975">
      <w:pPr>
        <w:rPr>
          <w:sz w:val="16"/>
          <w:szCs w:val="16"/>
        </w:rPr>
      </w:pPr>
      <w:r w:rsidRPr="00C37975">
        <w:rPr>
          <w:sz w:val="16"/>
          <w:szCs w:val="16"/>
        </w:rPr>
        <w:t xml:space="preserve">Melikian-Chirvani, A.S. “Rostam and Hercules, a Family Resemblance.” </w:t>
      </w:r>
      <w:r w:rsidRPr="00C37975">
        <w:rPr>
          <w:i/>
          <w:iCs/>
          <w:sz w:val="16"/>
          <w:szCs w:val="16"/>
        </w:rPr>
        <w:t>Alexander’s Legacy in the East Studies in Honor of Paul Bernard</w:t>
      </w:r>
      <w:r w:rsidRPr="00C37975">
        <w:rPr>
          <w:sz w:val="16"/>
          <w:szCs w:val="16"/>
        </w:rPr>
        <w:t xml:space="preserve">, vol. 12, 1998, pp. 171–199. </w:t>
      </w:r>
      <w:r w:rsidRPr="00C37975">
        <w:rPr>
          <w:i/>
          <w:iCs/>
          <w:sz w:val="16"/>
          <w:szCs w:val="16"/>
        </w:rPr>
        <w:t>JSTOR</w:t>
      </w:r>
      <w:r w:rsidRPr="00C37975">
        <w:rPr>
          <w:sz w:val="16"/>
          <w:szCs w:val="16"/>
        </w:rPr>
        <w:t>, www.jstor.org.uwtsd.idm.oclc.org/stable/24049102. Accessed 3 Apr. 2026.</w:t>
      </w:r>
    </w:p>
    <w:p w14:paraId="5D0C13B0" w14:textId="77777777" w:rsidR="00C37975" w:rsidRPr="00C37975" w:rsidRDefault="00C37975" w:rsidP="00C37975">
      <w:pPr>
        <w:rPr>
          <w:sz w:val="16"/>
          <w:szCs w:val="16"/>
        </w:rPr>
      </w:pPr>
      <w:proofErr w:type="spellStart"/>
      <w:proofErr w:type="gramStart"/>
      <w:r w:rsidRPr="00C37975">
        <w:rPr>
          <w:sz w:val="16"/>
          <w:szCs w:val="16"/>
        </w:rPr>
        <w:t>Omidsalar</w:t>
      </w:r>
      <w:proofErr w:type="spellEnd"/>
      <w:r w:rsidRPr="00C37975">
        <w:rPr>
          <w:sz w:val="16"/>
          <w:szCs w:val="16"/>
        </w:rPr>
        <w:t xml:space="preserve"> ,</w:t>
      </w:r>
      <w:proofErr w:type="gramEnd"/>
      <w:r w:rsidRPr="00C37975">
        <w:rPr>
          <w:sz w:val="16"/>
          <w:szCs w:val="16"/>
        </w:rPr>
        <w:t xml:space="preserve"> Mahmoud. </w:t>
      </w:r>
      <w:r w:rsidRPr="00C37975">
        <w:rPr>
          <w:i/>
          <w:iCs/>
          <w:sz w:val="16"/>
          <w:szCs w:val="16"/>
        </w:rPr>
        <w:t xml:space="preserve">Rostam’s Seven Trials and the Logic of Epic Narrative in the </w:t>
      </w:r>
      <w:proofErr w:type="spellStart"/>
      <w:proofErr w:type="gramStart"/>
      <w:r w:rsidRPr="00C37975">
        <w:rPr>
          <w:i/>
          <w:iCs/>
          <w:sz w:val="16"/>
          <w:szCs w:val="16"/>
        </w:rPr>
        <w:t>Shāhnāma</w:t>
      </w:r>
      <w:proofErr w:type="spellEnd"/>
      <w:r w:rsidRPr="00C37975">
        <w:rPr>
          <w:i/>
          <w:iCs/>
          <w:sz w:val="16"/>
          <w:szCs w:val="16"/>
        </w:rPr>
        <w:t xml:space="preserve"> </w:t>
      </w:r>
      <w:r w:rsidRPr="00C37975">
        <w:rPr>
          <w:sz w:val="16"/>
          <w:szCs w:val="16"/>
        </w:rPr>
        <w:t>.</w:t>
      </w:r>
      <w:proofErr w:type="gramEnd"/>
      <w:r w:rsidRPr="00C37975">
        <w:rPr>
          <w:sz w:val="16"/>
          <w:szCs w:val="16"/>
        </w:rPr>
        <w:t xml:space="preserve"> By Mahmoud </w:t>
      </w:r>
      <w:proofErr w:type="spellStart"/>
      <w:proofErr w:type="gramStart"/>
      <w:r w:rsidRPr="00C37975">
        <w:rPr>
          <w:sz w:val="16"/>
          <w:szCs w:val="16"/>
        </w:rPr>
        <w:t>Omidsalar</w:t>
      </w:r>
      <w:proofErr w:type="spellEnd"/>
      <w:r w:rsidRPr="00C37975">
        <w:rPr>
          <w:sz w:val="16"/>
          <w:szCs w:val="16"/>
        </w:rPr>
        <w:t xml:space="preserve"> ,</w:t>
      </w:r>
      <w:proofErr w:type="gramEnd"/>
      <w:r w:rsidRPr="00C37975">
        <w:rPr>
          <w:sz w:val="16"/>
          <w:szCs w:val="16"/>
        </w:rPr>
        <w:t xml:space="preserve"> 2nd ed., vol. 60, </w:t>
      </w:r>
      <w:proofErr w:type="spellStart"/>
      <w:r w:rsidRPr="00C37975">
        <w:rPr>
          <w:sz w:val="16"/>
          <w:szCs w:val="16"/>
        </w:rPr>
        <w:t>Nanzan</w:t>
      </w:r>
      <w:proofErr w:type="spellEnd"/>
      <w:r w:rsidRPr="00C37975">
        <w:rPr>
          <w:sz w:val="16"/>
          <w:szCs w:val="16"/>
        </w:rPr>
        <w:t xml:space="preserve"> </w:t>
      </w:r>
      <w:proofErr w:type="gramStart"/>
      <w:r w:rsidRPr="00C37975">
        <w:rPr>
          <w:sz w:val="16"/>
          <w:szCs w:val="16"/>
        </w:rPr>
        <w:t>University ,</w:t>
      </w:r>
      <w:proofErr w:type="gramEnd"/>
      <w:r w:rsidRPr="00C37975">
        <w:rPr>
          <w:sz w:val="16"/>
          <w:szCs w:val="16"/>
        </w:rPr>
        <w:t xml:space="preserve"> 2001, pp. 259–293, www.jstor.org/stable/pdf/1179057.pdf. Accessed 4 Apr. 2026.</w:t>
      </w:r>
    </w:p>
    <w:p w14:paraId="0D2B381E" w14:textId="77777777" w:rsidR="00C37975" w:rsidRPr="00195756" w:rsidRDefault="00C37975" w:rsidP="00C37975">
      <w:pPr>
        <w:rPr>
          <w:sz w:val="16"/>
          <w:szCs w:val="16"/>
        </w:rPr>
      </w:pPr>
      <w:r w:rsidRPr="00195756">
        <w:rPr>
          <w:sz w:val="16"/>
          <w:szCs w:val="16"/>
        </w:rPr>
        <w:t xml:space="preserve">Ou, Adrienne. “The Liminal and Universal: Changing Interpretations of Hekate.” </w:t>
      </w:r>
      <w:r w:rsidRPr="00195756">
        <w:rPr>
          <w:i/>
          <w:iCs/>
          <w:sz w:val="16"/>
          <w:szCs w:val="16"/>
        </w:rPr>
        <w:t>Berkeley Undergraduate Journal of Classics</w:t>
      </w:r>
      <w:r w:rsidRPr="00195756">
        <w:rPr>
          <w:sz w:val="16"/>
          <w:szCs w:val="16"/>
        </w:rPr>
        <w:t xml:space="preserve">, vol. 5, no. 1, 2016, escholarship.org/uc/item/1071z9t4. </w:t>
      </w:r>
      <w:r w:rsidRPr="00C37975">
        <w:rPr>
          <w:sz w:val="16"/>
          <w:szCs w:val="16"/>
        </w:rPr>
        <w:t xml:space="preserve">https://dash.harvard.edu/server/api/core/bitstreams/26958d75-e566-4197-94e6-dac5f12ea57a/content </w:t>
      </w:r>
      <w:r w:rsidRPr="00195756">
        <w:rPr>
          <w:sz w:val="16"/>
          <w:szCs w:val="16"/>
        </w:rPr>
        <w:t>Accessed 9 Apr. 2026.</w:t>
      </w:r>
    </w:p>
    <w:p w14:paraId="5425DEB4" w14:textId="77777777" w:rsidR="00C37975" w:rsidRPr="00E220E3" w:rsidRDefault="00C37975" w:rsidP="00C37975">
      <w:pPr>
        <w:rPr>
          <w:sz w:val="16"/>
          <w:szCs w:val="16"/>
        </w:rPr>
      </w:pPr>
      <w:r w:rsidRPr="00E220E3">
        <w:rPr>
          <w:sz w:val="16"/>
          <w:szCs w:val="16"/>
        </w:rPr>
        <w:t xml:space="preserve">Wee, </w:t>
      </w:r>
      <w:proofErr w:type="spellStart"/>
      <w:r w:rsidRPr="00E220E3">
        <w:rPr>
          <w:sz w:val="16"/>
          <w:szCs w:val="16"/>
        </w:rPr>
        <w:t>John.Z</w:t>
      </w:r>
      <w:proofErr w:type="spellEnd"/>
      <w:r w:rsidRPr="00E220E3">
        <w:rPr>
          <w:sz w:val="16"/>
          <w:szCs w:val="16"/>
        </w:rPr>
        <w:t xml:space="preserve">. </w:t>
      </w:r>
      <w:r w:rsidRPr="00E220E3">
        <w:rPr>
          <w:i/>
          <w:iCs/>
          <w:sz w:val="16"/>
          <w:szCs w:val="16"/>
        </w:rPr>
        <w:t>The Lamashtu Amulet: A Portrait of the Caregiver as a Demoness</w:t>
      </w:r>
      <w:r w:rsidRPr="00E220E3">
        <w:rPr>
          <w:sz w:val="16"/>
          <w:szCs w:val="16"/>
        </w:rPr>
        <w:t xml:space="preserve">. 2021, pp. 1–23. </w:t>
      </w:r>
      <w:r w:rsidRPr="00E220E3">
        <w:rPr>
          <w:i/>
          <w:iCs/>
          <w:sz w:val="16"/>
          <w:szCs w:val="16"/>
        </w:rPr>
        <w:t>Harvard Library</w:t>
      </w:r>
      <w:r w:rsidRPr="00E220E3">
        <w:rPr>
          <w:sz w:val="16"/>
          <w:szCs w:val="16"/>
        </w:rPr>
        <w:t>, dash.harvard.edu/server/api/core/bitstreams/26958d75-e566-4197-94e6-dac5f12ea57a/content. Accessed 9 Apr. 2026.</w:t>
      </w:r>
    </w:p>
    <w:p w14:paraId="3E1B98C4" w14:textId="77777777" w:rsidR="00C37975" w:rsidRPr="00C37975" w:rsidRDefault="00C37975" w:rsidP="00C37975">
      <w:pPr>
        <w:rPr>
          <w:sz w:val="16"/>
          <w:szCs w:val="16"/>
        </w:rPr>
      </w:pPr>
      <w:r w:rsidRPr="00C37975">
        <w:rPr>
          <w:sz w:val="16"/>
          <w:szCs w:val="16"/>
        </w:rPr>
        <w:t xml:space="preserve">West, David Reid. </w:t>
      </w:r>
      <w:r w:rsidRPr="00C37975">
        <w:rPr>
          <w:i/>
          <w:iCs/>
          <w:sz w:val="16"/>
          <w:szCs w:val="16"/>
        </w:rPr>
        <w:t>DAVID REID WEST SOME CULTS of GREEK GODDESSES and FEMALE DAEMONS of ORIENTAL ORIGIN Especially in Relation to the Mythology of Goddesses and Daemons in the Semitic World</w:t>
      </w:r>
      <w:r w:rsidRPr="00C37975">
        <w:rPr>
          <w:sz w:val="16"/>
          <w:szCs w:val="16"/>
        </w:rPr>
        <w:t xml:space="preserve">. 1990. </w:t>
      </w:r>
      <w:hyperlink r:id="rId9" w:history="1">
        <w:r w:rsidRPr="00C37975">
          <w:rPr>
            <w:rStyle w:val="Hyperlink"/>
            <w:sz w:val="16"/>
            <w:szCs w:val="16"/>
          </w:rPr>
          <w:t>https://theses.gla.ac.uk/1263/1/1990westphd.pdf. Accessed 7 Apr. 2026</w:t>
        </w:r>
      </w:hyperlink>
      <w:r w:rsidRPr="00C37975">
        <w:rPr>
          <w:sz w:val="16"/>
          <w:szCs w:val="16"/>
        </w:rPr>
        <w:t>.</w:t>
      </w:r>
    </w:p>
    <w:p w14:paraId="43C07CF5" w14:textId="77777777" w:rsidR="00C37975" w:rsidRPr="00C37975" w:rsidRDefault="00C37975" w:rsidP="00C37975">
      <w:pPr>
        <w:rPr>
          <w:sz w:val="16"/>
          <w:szCs w:val="16"/>
        </w:rPr>
      </w:pPr>
    </w:p>
    <w:p w14:paraId="4A86901B" w14:textId="77777777" w:rsidR="00C37975" w:rsidRPr="00C37975" w:rsidRDefault="00C37975" w:rsidP="00C37975">
      <w:pPr>
        <w:rPr>
          <w:sz w:val="16"/>
          <w:szCs w:val="16"/>
        </w:rPr>
      </w:pPr>
    </w:p>
    <w:p w14:paraId="4BDD7C4D" w14:textId="77777777" w:rsidR="00C37975" w:rsidRPr="00A3607A" w:rsidRDefault="00C37975" w:rsidP="00C37975">
      <w:pPr>
        <w:rPr>
          <w:sz w:val="16"/>
          <w:szCs w:val="16"/>
        </w:rPr>
      </w:pPr>
    </w:p>
    <w:p w14:paraId="1E347227" w14:textId="77777777" w:rsidR="00C37975" w:rsidRPr="00C37975" w:rsidRDefault="00C37975" w:rsidP="00C37975">
      <w:pPr>
        <w:rPr>
          <w:sz w:val="16"/>
          <w:szCs w:val="16"/>
        </w:rPr>
      </w:pPr>
    </w:p>
    <w:p w14:paraId="31AE15A3" w14:textId="77777777" w:rsidR="00C37975" w:rsidRPr="00C37975" w:rsidRDefault="00C37975" w:rsidP="00C37975">
      <w:pPr>
        <w:rPr>
          <w:sz w:val="16"/>
          <w:szCs w:val="16"/>
        </w:rPr>
      </w:pPr>
    </w:p>
    <w:p w14:paraId="0AF05BF2" w14:textId="77777777" w:rsidR="00C37975" w:rsidRPr="000E1EAE" w:rsidRDefault="00C37975" w:rsidP="000E1EAE">
      <w:pPr>
        <w:rPr>
          <w:sz w:val="24"/>
          <w:szCs w:val="24"/>
        </w:rPr>
      </w:pPr>
    </w:p>
    <w:p w14:paraId="34ACDA0C" w14:textId="77777777" w:rsidR="001E23DA" w:rsidRPr="000E1EAE" w:rsidRDefault="001E23DA">
      <w:pPr>
        <w:rPr>
          <w:sz w:val="24"/>
          <w:szCs w:val="24"/>
        </w:rPr>
      </w:pPr>
    </w:p>
    <w:sectPr w:rsidR="001E23DA" w:rsidRPr="000E1EAE">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0B1DE" w14:textId="77777777" w:rsidR="003201D7" w:rsidRDefault="003201D7" w:rsidP="00B4519F">
      <w:pPr>
        <w:spacing w:after="0" w:line="240" w:lineRule="auto"/>
      </w:pPr>
      <w:r>
        <w:separator/>
      </w:r>
    </w:p>
  </w:endnote>
  <w:endnote w:type="continuationSeparator" w:id="0">
    <w:p w14:paraId="45D0DC0C" w14:textId="77777777" w:rsidR="003201D7" w:rsidRDefault="003201D7" w:rsidP="00B451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024D3" w14:textId="77777777" w:rsidR="003201D7" w:rsidRDefault="003201D7" w:rsidP="00B4519F">
      <w:pPr>
        <w:spacing w:after="0" w:line="240" w:lineRule="auto"/>
      </w:pPr>
      <w:r>
        <w:separator/>
      </w:r>
    </w:p>
  </w:footnote>
  <w:footnote w:type="continuationSeparator" w:id="0">
    <w:p w14:paraId="415BB4FD" w14:textId="77777777" w:rsidR="003201D7" w:rsidRDefault="003201D7" w:rsidP="00B451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27432" w14:textId="689A9A61" w:rsidR="00B4519F" w:rsidRDefault="00B4519F" w:rsidP="00B4519F">
    <w:pPr>
      <w:pStyle w:val="Header"/>
      <w:jc w:val="center"/>
      <w:rPr>
        <w:u w:val="single"/>
      </w:rPr>
    </w:pPr>
    <w:r>
      <w:rPr>
        <w:u w:val="single"/>
      </w:rPr>
      <w:t xml:space="preserve">How feasible is it to establish cross-cultural </w:t>
    </w:r>
    <w:r w:rsidR="00997B47">
      <w:rPr>
        <w:u w:val="single"/>
      </w:rPr>
      <w:t>influence</w:t>
    </w:r>
  </w:p>
  <w:p w14:paraId="0D20CEE1" w14:textId="2A64FA48" w:rsidR="00B4519F" w:rsidRPr="00B4519F" w:rsidRDefault="00B4519F" w:rsidP="00B4519F">
    <w:pPr>
      <w:pStyle w:val="Header"/>
      <w:jc w:val="center"/>
      <w:rPr>
        <w:u w:val="single"/>
      </w:rPr>
    </w:pPr>
    <w:r>
      <w:rPr>
        <w:u w:val="single"/>
      </w:rPr>
      <w:t>and the adaption of myth across culture?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19F"/>
    <w:rsid w:val="0000758E"/>
    <w:rsid w:val="00013231"/>
    <w:rsid w:val="000206D3"/>
    <w:rsid w:val="0002330A"/>
    <w:rsid w:val="00024110"/>
    <w:rsid w:val="00060B50"/>
    <w:rsid w:val="000671D3"/>
    <w:rsid w:val="00070004"/>
    <w:rsid w:val="00082F1D"/>
    <w:rsid w:val="00093E0B"/>
    <w:rsid w:val="000A5B82"/>
    <w:rsid w:val="000B50ED"/>
    <w:rsid w:val="000C0D2E"/>
    <w:rsid w:val="000C4180"/>
    <w:rsid w:val="000D1014"/>
    <w:rsid w:val="000D2015"/>
    <w:rsid w:val="000D3874"/>
    <w:rsid w:val="000D4B59"/>
    <w:rsid w:val="000E1EAE"/>
    <w:rsid w:val="000F08DD"/>
    <w:rsid w:val="00107978"/>
    <w:rsid w:val="00113077"/>
    <w:rsid w:val="00114C6D"/>
    <w:rsid w:val="0012309F"/>
    <w:rsid w:val="0012362D"/>
    <w:rsid w:val="00131CB7"/>
    <w:rsid w:val="00142F00"/>
    <w:rsid w:val="00143A17"/>
    <w:rsid w:val="00150E5E"/>
    <w:rsid w:val="00151627"/>
    <w:rsid w:val="0015710F"/>
    <w:rsid w:val="0016572D"/>
    <w:rsid w:val="001905B1"/>
    <w:rsid w:val="00191963"/>
    <w:rsid w:val="00195756"/>
    <w:rsid w:val="001A6BDE"/>
    <w:rsid w:val="001E23DA"/>
    <w:rsid w:val="001E3382"/>
    <w:rsid w:val="00205156"/>
    <w:rsid w:val="002074BE"/>
    <w:rsid w:val="00216C7E"/>
    <w:rsid w:val="002419A9"/>
    <w:rsid w:val="00291BDC"/>
    <w:rsid w:val="00294020"/>
    <w:rsid w:val="002B0D8E"/>
    <w:rsid w:val="002B66AE"/>
    <w:rsid w:val="002B6A21"/>
    <w:rsid w:val="002C0BE9"/>
    <w:rsid w:val="002C321A"/>
    <w:rsid w:val="002D13B3"/>
    <w:rsid w:val="002E68C1"/>
    <w:rsid w:val="002F094F"/>
    <w:rsid w:val="002F0DCC"/>
    <w:rsid w:val="002F5D98"/>
    <w:rsid w:val="00305530"/>
    <w:rsid w:val="003201D7"/>
    <w:rsid w:val="003327BD"/>
    <w:rsid w:val="00350D29"/>
    <w:rsid w:val="00354E47"/>
    <w:rsid w:val="00373903"/>
    <w:rsid w:val="00377F45"/>
    <w:rsid w:val="003C3E4F"/>
    <w:rsid w:val="003E5FBA"/>
    <w:rsid w:val="003E625E"/>
    <w:rsid w:val="003F1D83"/>
    <w:rsid w:val="003F6219"/>
    <w:rsid w:val="003F7668"/>
    <w:rsid w:val="004045F8"/>
    <w:rsid w:val="004137A5"/>
    <w:rsid w:val="00415EAD"/>
    <w:rsid w:val="00423AA6"/>
    <w:rsid w:val="00424799"/>
    <w:rsid w:val="00456B4B"/>
    <w:rsid w:val="00470D41"/>
    <w:rsid w:val="004802F3"/>
    <w:rsid w:val="00484FAD"/>
    <w:rsid w:val="004851B8"/>
    <w:rsid w:val="00490F5C"/>
    <w:rsid w:val="00495802"/>
    <w:rsid w:val="004A0F87"/>
    <w:rsid w:val="004A50A4"/>
    <w:rsid w:val="004B1EF8"/>
    <w:rsid w:val="004B3CCF"/>
    <w:rsid w:val="004C2601"/>
    <w:rsid w:val="004C2F67"/>
    <w:rsid w:val="004C662E"/>
    <w:rsid w:val="004C6F9A"/>
    <w:rsid w:val="004C7CAE"/>
    <w:rsid w:val="004D5822"/>
    <w:rsid w:val="004E0B2D"/>
    <w:rsid w:val="004F5960"/>
    <w:rsid w:val="004F766D"/>
    <w:rsid w:val="0051057E"/>
    <w:rsid w:val="00525F6A"/>
    <w:rsid w:val="00535E91"/>
    <w:rsid w:val="00541B86"/>
    <w:rsid w:val="005467A0"/>
    <w:rsid w:val="00547199"/>
    <w:rsid w:val="005473A6"/>
    <w:rsid w:val="00563CD4"/>
    <w:rsid w:val="00563E01"/>
    <w:rsid w:val="00565C94"/>
    <w:rsid w:val="0057277E"/>
    <w:rsid w:val="00581F4D"/>
    <w:rsid w:val="005860DC"/>
    <w:rsid w:val="00586592"/>
    <w:rsid w:val="00590A3C"/>
    <w:rsid w:val="00594084"/>
    <w:rsid w:val="005A30A7"/>
    <w:rsid w:val="005A54AA"/>
    <w:rsid w:val="005B6BFF"/>
    <w:rsid w:val="005D1B22"/>
    <w:rsid w:val="005D5EF9"/>
    <w:rsid w:val="005D645A"/>
    <w:rsid w:val="005E6E1A"/>
    <w:rsid w:val="005F1822"/>
    <w:rsid w:val="005F2922"/>
    <w:rsid w:val="0060069B"/>
    <w:rsid w:val="006050B7"/>
    <w:rsid w:val="006109B4"/>
    <w:rsid w:val="006147A0"/>
    <w:rsid w:val="006241E1"/>
    <w:rsid w:val="00635D8E"/>
    <w:rsid w:val="006412A6"/>
    <w:rsid w:val="006456B1"/>
    <w:rsid w:val="00646EA3"/>
    <w:rsid w:val="0065680A"/>
    <w:rsid w:val="00660F80"/>
    <w:rsid w:val="006778A3"/>
    <w:rsid w:val="00684AC2"/>
    <w:rsid w:val="00694F3E"/>
    <w:rsid w:val="006A6A1C"/>
    <w:rsid w:val="006C07F2"/>
    <w:rsid w:val="006C72A8"/>
    <w:rsid w:val="006F02D0"/>
    <w:rsid w:val="00710463"/>
    <w:rsid w:val="00722AAC"/>
    <w:rsid w:val="007250A2"/>
    <w:rsid w:val="00730878"/>
    <w:rsid w:val="0074167E"/>
    <w:rsid w:val="00780718"/>
    <w:rsid w:val="00782776"/>
    <w:rsid w:val="007859F2"/>
    <w:rsid w:val="007A4263"/>
    <w:rsid w:val="007B5DEB"/>
    <w:rsid w:val="007B669D"/>
    <w:rsid w:val="007C047B"/>
    <w:rsid w:val="007D3E5A"/>
    <w:rsid w:val="007E4756"/>
    <w:rsid w:val="007E4ED4"/>
    <w:rsid w:val="00803856"/>
    <w:rsid w:val="0081127C"/>
    <w:rsid w:val="00811ED5"/>
    <w:rsid w:val="0082439F"/>
    <w:rsid w:val="0084721F"/>
    <w:rsid w:val="00852479"/>
    <w:rsid w:val="008860A4"/>
    <w:rsid w:val="0089607C"/>
    <w:rsid w:val="008A70FE"/>
    <w:rsid w:val="008A7818"/>
    <w:rsid w:val="008B6418"/>
    <w:rsid w:val="008C08D0"/>
    <w:rsid w:val="008C08DC"/>
    <w:rsid w:val="008C3551"/>
    <w:rsid w:val="008D56C6"/>
    <w:rsid w:val="008E174F"/>
    <w:rsid w:val="008E1764"/>
    <w:rsid w:val="008F187B"/>
    <w:rsid w:val="008F1C7E"/>
    <w:rsid w:val="00907B35"/>
    <w:rsid w:val="0091136D"/>
    <w:rsid w:val="00913616"/>
    <w:rsid w:val="00913EC2"/>
    <w:rsid w:val="00916EE9"/>
    <w:rsid w:val="00924584"/>
    <w:rsid w:val="00940A54"/>
    <w:rsid w:val="00997B47"/>
    <w:rsid w:val="009A35BF"/>
    <w:rsid w:val="009B302C"/>
    <w:rsid w:val="009C4BE7"/>
    <w:rsid w:val="009D37B7"/>
    <w:rsid w:val="009D5E33"/>
    <w:rsid w:val="00A11F77"/>
    <w:rsid w:val="00A23D95"/>
    <w:rsid w:val="00A3607A"/>
    <w:rsid w:val="00A44AA1"/>
    <w:rsid w:val="00A47C97"/>
    <w:rsid w:val="00A71062"/>
    <w:rsid w:val="00A72646"/>
    <w:rsid w:val="00A83F6E"/>
    <w:rsid w:val="00A964EF"/>
    <w:rsid w:val="00AD3D6D"/>
    <w:rsid w:val="00AD6C3A"/>
    <w:rsid w:val="00AD72C9"/>
    <w:rsid w:val="00AE0629"/>
    <w:rsid w:val="00AF301F"/>
    <w:rsid w:val="00B03BA5"/>
    <w:rsid w:val="00B30CA6"/>
    <w:rsid w:val="00B40FF0"/>
    <w:rsid w:val="00B4519F"/>
    <w:rsid w:val="00B50BE7"/>
    <w:rsid w:val="00B53353"/>
    <w:rsid w:val="00B53CDE"/>
    <w:rsid w:val="00B610C7"/>
    <w:rsid w:val="00B634E7"/>
    <w:rsid w:val="00B654B2"/>
    <w:rsid w:val="00B70C5D"/>
    <w:rsid w:val="00BB4479"/>
    <w:rsid w:val="00BE3A4C"/>
    <w:rsid w:val="00C1382A"/>
    <w:rsid w:val="00C15DB3"/>
    <w:rsid w:val="00C31610"/>
    <w:rsid w:val="00C33140"/>
    <w:rsid w:val="00C37975"/>
    <w:rsid w:val="00C37DE4"/>
    <w:rsid w:val="00C436AF"/>
    <w:rsid w:val="00C52953"/>
    <w:rsid w:val="00C54122"/>
    <w:rsid w:val="00C57324"/>
    <w:rsid w:val="00C60A48"/>
    <w:rsid w:val="00C9336C"/>
    <w:rsid w:val="00C95E7B"/>
    <w:rsid w:val="00C97931"/>
    <w:rsid w:val="00CE2068"/>
    <w:rsid w:val="00CE2C16"/>
    <w:rsid w:val="00CF519E"/>
    <w:rsid w:val="00D018DB"/>
    <w:rsid w:val="00D04EB1"/>
    <w:rsid w:val="00D24567"/>
    <w:rsid w:val="00D44E27"/>
    <w:rsid w:val="00D502E1"/>
    <w:rsid w:val="00D53512"/>
    <w:rsid w:val="00D63B9F"/>
    <w:rsid w:val="00D729B1"/>
    <w:rsid w:val="00D732B7"/>
    <w:rsid w:val="00D775AD"/>
    <w:rsid w:val="00D82161"/>
    <w:rsid w:val="00D926A6"/>
    <w:rsid w:val="00D943B4"/>
    <w:rsid w:val="00DA2681"/>
    <w:rsid w:val="00DB353F"/>
    <w:rsid w:val="00DB53BE"/>
    <w:rsid w:val="00DC1958"/>
    <w:rsid w:val="00DC5049"/>
    <w:rsid w:val="00DD5CC0"/>
    <w:rsid w:val="00DD71D5"/>
    <w:rsid w:val="00DF08EF"/>
    <w:rsid w:val="00E02BF6"/>
    <w:rsid w:val="00E04177"/>
    <w:rsid w:val="00E20AAA"/>
    <w:rsid w:val="00E220E3"/>
    <w:rsid w:val="00E41349"/>
    <w:rsid w:val="00E42B08"/>
    <w:rsid w:val="00E439F6"/>
    <w:rsid w:val="00E70B7F"/>
    <w:rsid w:val="00E81F4A"/>
    <w:rsid w:val="00E830DB"/>
    <w:rsid w:val="00E94048"/>
    <w:rsid w:val="00E94C20"/>
    <w:rsid w:val="00EC2BB7"/>
    <w:rsid w:val="00EC6E85"/>
    <w:rsid w:val="00EE4868"/>
    <w:rsid w:val="00EE7982"/>
    <w:rsid w:val="00EF5419"/>
    <w:rsid w:val="00F050FD"/>
    <w:rsid w:val="00F10BD2"/>
    <w:rsid w:val="00F10FF0"/>
    <w:rsid w:val="00F116DF"/>
    <w:rsid w:val="00F228B7"/>
    <w:rsid w:val="00F241E8"/>
    <w:rsid w:val="00F32108"/>
    <w:rsid w:val="00F37DD8"/>
    <w:rsid w:val="00F4130A"/>
    <w:rsid w:val="00F56156"/>
    <w:rsid w:val="00F72277"/>
    <w:rsid w:val="00F910FE"/>
    <w:rsid w:val="00FA5CFA"/>
    <w:rsid w:val="00FB176C"/>
    <w:rsid w:val="00FB35EA"/>
    <w:rsid w:val="00FC17F9"/>
    <w:rsid w:val="00FC7958"/>
    <w:rsid w:val="00FD2417"/>
    <w:rsid w:val="00FE70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81C1E"/>
  <w15:chartTrackingRefBased/>
  <w15:docId w15:val="{7FB2CC3B-E917-4252-B683-D5DCFAFCC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51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1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1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1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1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1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1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1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1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1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1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1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1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1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1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1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1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19F"/>
    <w:rPr>
      <w:rFonts w:eastAsiaTheme="majorEastAsia" w:cstheme="majorBidi"/>
      <w:color w:val="272727" w:themeColor="text1" w:themeTint="D8"/>
    </w:rPr>
  </w:style>
  <w:style w:type="paragraph" w:styleId="Title">
    <w:name w:val="Title"/>
    <w:basedOn w:val="Normal"/>
    <w:next w:val="Normal"/>
    <w:link w:val="TitleChar"/>
    <w:uiPriority w:val="10"/>
    <w:qFormat/>
    <w:rsid w:val="00B451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1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1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1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19F"/>
    <w:pPr>
      <w:spacing w:before="160"/>
      <w:jc w:val="center"/>
    </w:pPr>
    <w:rPr>
      <w:i/>
      <w:iCs/>
      <w:color w:val="404040" w:themeColor="text1" w:themeTint="BF"/>
    </w:rPr>
  </w:style>
  <w:style w:type="character" w:customStyle="1" w:styleId="QuoteChar">
    <w:name w:val="Quote Char"/>
    <w:basedOn w:val="DefaultParagraphFont"/>
    <w:link w:val="Quote"/>
    <w:uiPriority w:val="29"/>
    <w:rsid w:val="00B4519F"/>
    <w:rPr>
      <w:i/>
      <w:iCs/>
      <w:color w:val="404040" w:themeColor="text1" w:themeTint="BF"/>
    </w:rPr>
  </w:style>
  <w:style w:type="paragraph" w:styleId="ListParagraph">
    <w:name w:val="List Paragraph"/>
    <w:basedOn w:val="Normal"/>
    <w:uiPriority w:val="34"/>
    <w:qFormat/>
    <w:rsid w:val="00B4519F"/>
    <w:pPr>
      <w:ind w:left="720"/>
      <w:contextualSpacing/>
    </w:pPr>
  </w:style>
  <w:style w:type="character" w:styleId="IntenseEmphasis">
    <w:name w:val="Intense Emphasis"/>
    <w:basedOn w:val="DefaultParagraphFont"/>
    <w:uiPriority w:val="21"/>
    <w:qFormat/>
    <w:rsid w:val="00B4519F"/>
    <w:rPr>
      <w:i/>
      <w:iCs/>
      <w:color w:val="0F4761" w:themeColor="accent1" w:themeShade="BF"/>
    </w:rPr>
  </w:style>
  <w:style w:type="paragraph" w:styleId="IntenseQuote">
    <w:name w:val="Intense Quote"/>
    <w:basedOn w:val="Normal"/>
    <w:next w:val="Normal"/>
    <w:link w:val="IntenseQuoteChar"/>
    <w:uiPriority w:val="30"/>
    <w:qFormat/>
    <w:rsid w:val="00B451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19F"/>
    <w:rPr>
      <w:i/>
      <w:iCs/>
      <w:color w:val="0F4761" w:themeColor="accent1" w:themeShade="BF"/>
    </w:rPr>
  </w:style>
  <w:style w:type="character" w:styleId="IntenseReference">
    <w:name w:val="Intense Reference"/>
    <w:basedOn w:val="DefaultParagraphFont"/>
    <w:uiPriority w:val="32"/>
    <w:qFormat/>
    <w:rsid w:val="00B4519F"/>
    <w:rPr>
      <w:b/>
      <w:bCs/>
      <w:smallCaps/>
      <w:color w:val="0F4761" w:themeColor="accent1" w:themeShade="BF"/>
      <w:spacing w:val="5"/>
    </w:rPr>
  </w:style>
  <w:style w:type="paragraph" w:styleId="Header">
    <w:name w:val="header"/>
    <w:basedOn w:val="Normal"/>
    <w:link w:val="HeaderChar"/>
    <w:uiPriority w:val="99"/>
    <w:unhideWhenUsed/>
    <w:rsid w:val="00B451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519F"/>
  </w:style>
  <w:style w:type="paragraph" w:styleId="Footer">
    <w:name w:val="footer"/>
    <w:basedOn w:val="Normal"/>
    <w:link w:val="FooterChar"/>
    <w:uiPriority w:val="99"/>
    <w:unhideWhenUsed/>
    <w:rsid w:val="00B451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519F"/>
  </w:style>
  <w:style w:type="character" w:styleId="Hyperlink">
    <w:name w:val="Hyperlink"/>
    <w:basedOn w:val="DefaultParagraphFont"/>
    <w:uiPriority w:val="99"/>
    <w:unhideWhenUsed/>
    <w:rsid w:val="00635D8E"/>
    <w:rPr>
      <w:color w:val="467886" w:themeColor="hyperlink"/>
      <w:u w:val="single"/>
    </w:rPr>
  </w:style>
  <w:style w:type="character" w:styleId="UnresolvedMention">
    <w:name w:val="Unresolved Mention"/>
    <w:basedOn w:val="DefaultParagraphFont"/>
    <w:uiPriority w:val="99"/>
    <w:semiHidden/>
    <w:unhideWhenUsed/>
    <w:rsid w:val="00635D8E"/>
    <w:rPr>
      <w:color w:val="605E5C"/>
      <w:shd w:val="clear" w:color="auto" w:fill="E1DFDD"/>
    </w:rPr>
  </w:style>
  <w:style w:type="paragraph" w:styleId="EndnoteText">
    <w:name w:val="endnote text"/>
    <w:basedOn w:val="Normal"/>
    <w:link w:val="EndnoteTextChar"/>
    <w:uiPriority w:val="99"/>
    <w:semiHidden/>
    <w:unhideWhenUsed/>
    <w:rsid w:val="005A54A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A54AA"/>
    <w:rPr>
      <w:sz w:val="20"/>
      <w:szCs w:val="20"/>
    </w:rPr>
  </w:style>
  <w:style w:type="character" w:styleId="EndnoteReference">
    <w:name w:val="endnote reference"/>
    <w:basedOn w:val="DefaultParagraphFont"/>
    <w:uiPriority w:val="99"/>
    <w:semiHidden/>
    <w:unhideWhenUsed/>
    <w:rsid w:val="005A54A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3295760.%20Accessed%203%20Apr.%202026" TargetMode="External"/><Relationship Id="rId3" Type="http://schemas.openxmlformats.org/officeDocument/2006/relationships/webSettings" Target="webSettings.xml"/><Relationship Id="rId7" Type="http://schemas.openxmlformats.org/officeDocument/2006/relationships/hyperlink" Target="https://doi.org/10.2307/284004.%20Accessed%209%20Apr.%202026"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theses.gla.ac.uk/1263/1/1990westphd.pdf.%20Accessed%207%20Apr.%20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29605</TotalTime>
  <Pages>4</Pages>
  <Words>2402</Words>
  <Characters>13693</Characters>
  <Application>Microsoft Office Word</Application>
  <DocSecurity>0</DocSecurity>
  <Lines>114</Lines>
  <Paragraphs>32</Paragraphs>
  <ScaleCrop>false</ScaleCrop>
  <Company/>
  <LinksUpToDate>false</LinksUpToDate>
  <CharactersWithSpaces>16063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Easton (2404257)</dc:creator>
  <cp:keywords/>
  <dc:description/>
  <cp:lastModifiedBy>Adrian Easton (2404257)</cp:lastModifiedBy>
  <cp:revision>275</cp:revision>
  <dcterms:created xsi:type="dcterms:W3CDTF">2026-03-19T17:19:00Z</dcterms:created>
  <dcterms:modified xsi:type="dcterms:W3CDTF">2026-04-09T09:25:00Z</dcterms:modified>
</cp:coreProperties>
</file>