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487CD" w14:textId="77777777" w:rsidR="00DE23A0" w:rsidRDefault="00DE23A0" w:rsidP="00DE23A0">
      <w:pPr>
        <w:spacing w:line="360" w:lineRule="auto"/>
        <w:rPr>
          <w:rFonts w:ascii="Calibri" w:hAnsi="Calibri" w:cs="Calibri"/>
          <w:sz w:val="22"/>
          <w:szCs w:val="22"/>
        </w:rPr>
      </w:pPr>
    </w:p>
    <w:p w14:paraId="78885E92" w14:textId="2CBB3AED" w:rsidR="00DE23A0" w:rsidRDefault="00735A3A" w:rsidP="00DE23A0">
      <w:pPr>
        <w:spacing w:line="360" w:lineRule="auto"/>
        <w:rPr>
          <w:rFonts w:ascii="Calibri" w:hAnsi="Calibri" w:cs="Calibri"/>
          <w:sz w:val="22"/>
          <w:szCs w:val="22"/>
        </w:rPr>
      </w:pPr>
      <w:r w:rsidRPr="00A406E5">
        <w:rPr>
          <w:rFonts w:ascii="Arial" w:hAnsi="Arial" w:cs="Arial"/>
          <w:noProof/>
        </w:rPr>
        <w:drawing>
          <wp:anchor distT="0" distB="0" distL="114300" distR="114300" simplePos="0" relativeHeight="251659264" behindDoc="0" locked="0" layoutInCell="1" allowOverlap="1" wp14:anchorId="25D06526" wp14:editId="46C52E7B">
            <wp:simplePos x="0" y="0"/>
            <wp:positionH relativeFrom="margin">
              <wp:posOffset>0</wp:posOffset>
            </wp:positionH>
            <wp:positionV relativeFrom="paragraph">
              <wp:posOffset>351790</wp:posOffset>
            </wp:positionV>
            <wp:extent cx="2162175" cy="7239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16217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CB47DD" w14:textId="77777777" w:rsidR="00DE23A0" w:rsidRDefault="00DE23A0" w:rsidP="00DE23A0">
      <w:pPr>
        <w:spacing w:line="360" w:lineRule="auto"/>
        <w:rPr>
          <w:rFonts w:ascii="Calibri" w:hAnsi="Calibri" w:cs="Calibri"/>
          <w:sz w:val="22"/>
          <w:szCs w:val="22"/>
        </w:rPr>
      </w:pPr>
    </w:p>
    <w:p w14:paraId="603C469A" w14:textId="77777777" w:rsidR="00DE23A0" w:rsidRDefault="00DE23A0" w:rsidP="00DE23A0">
      <w:pPr>
        <w:spacing w:line="360" w:lineRule="auto"/>
        <w:rPr>
          <w:rFonts w:ascii="Calibri" w:hAnsi="Calibri" w:cs="Calibri"/>
          <w:sz w:val="22"/>
          <w:szCs w:val="22"/>
        </w:rPr>
      </w:pPr>
    </w:p>
    <w:p w14:paraId="35C8E352" w14:textId="77777777" w:rsidR="00735A3A" w:rsidRDefault="00735A3A" w:rsidP="00DE23A0">
      <w:pPr>
        <w:spacing w:line="360" w:lineRule="auto"/>
        <w:rPr>
          <w:rFonts w:ascii="Calibri" w:hAnsi="Calibri" w:cs="Calibri"/>
          <w:sz w:val="32"/>
          <w:szCs w:val="32"/>
        </w:rPr>
      </w:pPr>
    </w:p>
    <w:p w14:paraId="11D8F18F" w14:textId="77777777" w:rsidR="00735A3A" w:rsidRPr="00DB2E30" w:rsidRDefault="00735A3A" w:rsidP="00DE23A0">
      <w:pPr>
        <w:spacing w:line="360" w:lineRule="auto"/>
        <w:rPr>
          <w:rFonts w:ascii="Calibri" w:hAnsi="Calibri" w:cs="Calibri"/>
          <w:b/>
          <w:bCs/>
          <w:sz w:val="32"/>
          <w:szCs w:val="32"/>
        </w:rPr>
      </w:pPr>
    </w:p>
    <w:p w14:paraId="35BFEA2F" w14:textId="76C58053" w:rsidR="00DE23A0" w:rsidRPr="00DB2E30" w:rsidRDefault="00DE23A0" w:rsidP="00735A3A">
      <w:pPr>
        <w:spacing w:line="360" w:lineRule="auto"/>
        <w:jc w:val="center"/>
        <w:rPr>
          <w:rFonts w:ascii="Calibri" w:hAnsi="Calibri" w:cs="Calibri"/>
          <w:b/>
          <w:bCs/>
          <w:sz w:val="36"/>
          <w:szCs w:val="36"/>
        </w:rPr>
      </w:pPr>
      <w:r w:rsidRPr="00DB2E30">
        <w:rPr>
          <w:rFonts w:ascii="Calibri" w:hAnsi="Calibri" w:cs="Calibri"/>
          <w:b/>
          <w:bCs/>
          <w:sz w:val="36"/>
          <w:szCs w:val="36"/>
        </w:rPr>
        <w:t>An Analysis of BMW’s International Marketing Strategies:</w:t>
      </w:r>
    </w:p>
    <w:p w14:paraId="1E87D888" w14:textId="77777777" w:rsidR="00DE23A0" w:rsidRPr="00DB2E30" w:rsidRDefault="00DE23A0" w:rsidP="00735A3A">
      <w:pPr>
        <w:spacing w:line="360" w:lineRule="auto"/>
        <w:jc w:val="center"/>
        <w:rPr>
          <w:rFonts w:ascii="Calibri" w:hAnsi="Calibri" w:cs="Calibri"/>
          <w:b/>
          <w:bCs/>
          <w:sz w:val="36"/>
          <w:szCs w:val="36"/>
        </w:rPr>
      </w:pPr>
      <w:r w:rsidRPr="00DB2E30">
        <w:rPr>
          <w:rFonts w:ascii="Calibri" w:hAnsi="Calibri" w:cs="Calibri"/>
          <w:b/>
          <w:bCs/>
          <w:sz w:val="36"/>
          <w:szCs w:val="36"/>
        </w:rPr>
        <w:t>A Comparative Study Between the United Kingdom and Germany</w:t>
      </w:r>
    </w:p>
    <w:p w14:paraId="5C8A8982" w14:textId="77777777" w:rsidR="00DE23A0" w:rsidRPr="00DB2E30" w:rsidRDefault="00DE23A0" w:rsidP="00DE23A0">
      <w:pPr>
        <w:spacing w:line="360" w:lineRule="auto"/>
        <w:rPr>
          <w:rFonts w:ascii="Calibri" w:hAnsi="Calibri" w:cs="Calibri"/>
          <w:b/>
          <w:bCs/>
          <w:sz w:val="22"/>
          <w:szCs w:val="22"/>
        </w:rPr>
      </w:pPr>
    </w:p>
    <w:p w14:paraId="0DB82ECF" w14:textId="77777777" w:rsidR="00735A3A" w:rsidRPr="00DB2E30" w:rsidRDefault="00735A3A" w:rsidP="00DE23A0">
      <w:pPr>
        <w:spacing w:line="360" w:lineRule="auto"/>
        <w:rPr>
          <w:rFonts w:ascii="Calibri" w:hAnsi="Calibri" w:cs="Calibri"/>
          <w:b/>
          <w:bCs/>
          <w:sz w:val="32"/>
          <w:szCs w:val="32"/>
        </w:rPr>
      </w:pPr>
    </w:p>
    <w:p w14:paraId="0C4BED99" w14:textId="77777777" w:rsidR="00735A3A" w:rsidRPr="00DB2E30" w:rsidRDefault="00735A3A" w:rsidP="00DE23A0">
      <w:pPr>
        <w:spacing w:line="360" w:lineRule="auto"/>
        <w:rPr>
          <w:rFonts w:ascii="Calibri" w:hAnsi="Calibri" w:cs="Calibri"/>
          <w:b/>
          <w:bCs/>
          <w:sz w:val="32"/>
          <w:szCs w:val="32"/>
        </w:rPr>
      </w:pPr>
    </w:p>
    <w:p w14:paraId="49CA3198" w14:textId="6DE8853A"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Master of Business Administration (International Business)</w:t>
      </w:r>
    </w:p>
    <w:p w14:paraId="6CDD673D" w14:textId="77777777"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Module: LCMB7026 – International Marketing: Principles and Practices</w:t>
      </w:r>
    </w:p>
    <w:p w14:paraId="04CE72E5" w14:textId="77777777"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Student Name: Alexandru Netoi</w:t>
      </w:r>
    </w:p>
    <w:p w14:paraId="7F1A65AC" w14:textId="77777777"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Student ID: 2026780</w:t>
      </w:r>
    </w:p>
    <w:p w14:paraId="32BB7750" w14:textId="77777777"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Lecturer: Taonga Kaonga Sobere-Snithers</w:t>
      </w:r>
    </w:p>
    <w:p w14:paraId="5CDD0D68" w14:textId="4782B9E2"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Date: 1</w:t>
      </w:r>
      <w:r w:rsidR="00735A3A" w:rsidRPr="00DB2E30">
        <w:rPr>
          <w:rFonts w:ascii="Calibri" w:hAnsi="Calibri" w:cs="Calibri"/>
          <w:b/>
          <w:bCs/>
          <w:sz w:val="32"/>
          <w:szCs w:val="32"/>
        </w:rPr>
        <w:t>5</w:t>
      </w:r>
      <w:r w:rsidRPr="00DB2E30">
        <w:rPr>
          <w:rFonts w:ascii="Calibri" w:hAnsi="Calibri" w:cs="Calibri"/>
          <w:b/>
          <w:bCs/>
          <w:sz w:val="32"/>
          <w:szCs w:val="32"/>
        </w:rPr>
        <w:t xml:space="preserve"> November 2025</w:t>
      </w:r>
    </w:p>
    <w:p w14:paraId="749609CE" w14:textId="77777777" w:rsidR="00735A3A" w:rsidRDefault="00735A3A" w:rsidP="00DE23A0">
      <w:pPr>
        <w:spacing w:line="360" w:lineRule="auto"/>
        <w:rPr>
          <w:rFonts w:ascii="Calibri" w:hAnsi="Calibri" w:cs="Calibri"/>
          <w:sz w:val="22"/>
          <w:szCs w:val="22"/>
        </w:rPr>
      </w:pPr>
    </w:p>
    <w:p w14:paraId="641B6E89" w14:textId="121CC3F3"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TABLE OF CONTENTS</w:t>
      </w:r>
    </w:p>
    <w:p w14:paraId="0B6C66F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1.</w:t>
      </w:r>
      <w:r w:rsidRPr="00DE23A0">
        <w:rPr>
          <w:rFonts w:ascii="Calibri" w:hAnsi="Calibri" w:cs="Calibri"/>
          <w:sz w:val="22"/>
          <w:szCs w:val="22"/>
        </w:rPr>
        <w:tab/>
        <w:t>Introduction</w:t>
      </w:r>
    </w:p>
    <w:p w14:paraId="58B712D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2.</w:t>
      </w:r>
      <w:r w:rsidRPr="00DE23A0">
        <w:rPr>
          <w:rFonts w:ascii="Calibri" w:hAnsi="Calibri" w:cs="Calibri"/>
          <w:sz w:val="22"/>
          <w:szCs w:val="22"/>
        </w:rPr>
        <w:tab/>
        <w:t>Brand Overview</w:t>
      </w:r>
    </w:p>
    <w:p w14:paraId="025A4DF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 2.1 BMW in Country A: United Kingdom</w:t>
      </w:r>
    </w:p>
    <w:p w14:paraId="5D6D0B3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 2.2 BMW in Country B: Germany</w:t>
      </w:r>
    </w:p>
    <w:p w14:paraId="3B540FB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3.</w:t>
      </w:r>
      <w:r w:rsidRPr="00DE23A0">
        <w:rPr>
          <w:rFonts w:ascii="Calibri" w:hAnsi="Calibri" w:cs="Calibri"/>
          <w:sz w:val="22"/>
          <w:szCs w:val="22"/>
        </w:rPr>
        <w:tab/>
        <w:t>Socio-Cultural and Macroenvironmental Comparison (PESTLE)</w:t>
      </w:r>
    </w:p>
    <w:p w14:paraId="22EB4B4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 3.1 Political Factors</w:t>
      </w:r>
    </w:p>
    <w:p w14:paraId="37B2AE7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 3.2 Economic Factors</w:t>
      </w:r>
    </w:p>
    <w:p w14:paraId="5CDAF6D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 3.3 Social Factors</w:t>
      </w:r>
    </w:p>
    <w:p w14:paraId="573DB05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 3.4 Technological Factors</w:t>
      </w:r>
    </w:p>
    <w:p w14:paraId="74A2BF9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 3.5 Legal Factors</w:t>
      </w:r>
    </w:p>
    <w:p w14:paraId="229CD05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 3.6 Environmental Factors</w:t>
      </w:r>
    </w:p>
    <w:p w14:paraId="74F21E6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 3.7 PESTLE Summary Table</w:t>
      </w:r>
    </w:p>
    <w:p w14:paraId="078646F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4.</w:t>
      </w:r>
      <w:r w:rsidRPr="00DE23A0">
        <w:rPr>
          <w:rFonts w:ascii="Calibri" w:hAnsi="Calibri" w:cs="Calibri"/>
          <w:sz w:val="22"/>
          <w:szCs w:val="22"/>
        </w:rPr>
        <w:tab/>
        <w:t>Comparison of STP Strategies in Country A and Country B</w:t>
      </w:r>
    </w:p>
    <w:p w14:paraId="455D45E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 4.1 Segmentation</w:t>
      </w:r>
    </w:p>
    <w:p w14:paraId="264E7B8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 4.2 Targeting</w:t>
      </w:r>
    </w:p>
    <w:p w14:paraId="2BE63CD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 4.3 Positioning</w:t>
      </w:r>
    </w:p>
    <w:p w14:paraId="3AB7F60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 4.4 STP Summary Table</w:t>
      </w:r>
    </w:p>
    <w:p w14:paraId="3E66CED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5.</w:t>
      </w:r>
      <w:r w:rsidRPr="00DE23A0">
        <w:rPr>
          <w:rFonts w:ascii="Calibri" w:hAnsi="Calibri" w:cs="Calibri"/>
          <w:sz w:val="22"/>
          <w:szCs w:val="22"/>
        </w:rPr>
        <w:tab/>
        <w:t>Comparison of Marketing Mix (7Ps) Strategies</w:t>
      </w:r>
    </w:p>
    <w:p w14:paraId="091A464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 5.1 Product</w:t>
      </w:r>
    </w:p>
    <w:p w14:paraId="5006FDC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 5.2 Price</w:t>
      </w:r>
    </w:p>
    <w:p w14:paraId="3742183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 5.3 Place</w:t>
      </w:r>
    </w:p>
    <w:p w14:paraId="7DA8429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 5.4 Promotion</w:t>
      </w:r>
    </w:p>
    <w:p w14:paraId="3B1036D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 5.5 People</w:t>
      </w:r>
    </w:p>
    <w:p w14:paraId="7814736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 5.6 Process</w:t>
      </w:r>
    </w:p>
    <w:p w14:paraId="439C111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 5.7 Physical Evidence</w:t>
      </w:r>
    </w:p>
    <w:p w14:paraId="5548246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 5.8 7Ps Summary Table</w:t>
      </w:r>
    </w:p>
    <w:p w14:paraId="4BA8573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6.</w:t>
      </w:r>
      <w:r w:rsidRPr="00DE23A0">
        <w:rPr>
          <w:rFonts w:ascii="Calibri" w:hAnsi="Calibri" w:cs="Calibri"/>
          <w:sz w:val="22"/>
          <w:szCs w:val="22"/>
        </w:rPr>
        <w:tab/>
        <w:t>Evaluation of the Performance of Marketing Strategies</w:t>
      </w:r>
    </w:p>
    <w:p w14:paraId="142762E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 6.1 Market Share and Sales Performance</w:t>
      </w:r>
    </w:p>
    <w:p w14:paraId="460A040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 6.2 Brand Equity and Consumer Perception</w:t>
      </w:r>
    </w:p>
    <w:p w14:paraId="094A08D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 6.3 Digital and Social Media Performance</w:t>
      </w:r>
    </w:p>
    <w:p w14:paraId="7841063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 6.4 Strategic and Financial Outcomes</w:t>
      </w:r>
    </w:p>
    <w:p w14:paraId="7197CF4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7.</w:t>
      </w:r>
      <w:r w:rsidRPr="00DE23A0">
        <w:rPr>
          <w:rFonts w:ascii="Calibri" w:hAnsi="Calibri" w:cs="Calibri"/>
          <w:sz w:val="22"/>
          <w:szCs w:val="22"/>
        </w:rPr>
        <w:tab/>
        <w:t>Evaluation of Marketing Ethics Practices</w:t>
      </w:r>
    </w:p>
    <w:p w14:paraId="67F7E7A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 7.1 Product Ethics</w:t>
      </w:r>
    </w:p>
    <w:p w14:paraId="2C7DE9A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 7.2 Pricing Ethics</w:t>
      </w:r>
    </w:p>
    <w:p w14:paraId="757A51A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 7.3 Promotion Ethics</w:t>
      </w:r>
    </w:p>
    <w:p w14:paraId="709C9D7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 7.4 CSR and Ethical Impact</w:t>
      </w:r>
    </w:p>
    <w:p w14:paraId="4352821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 7.5 Ethical Summary Table</w:t>
      </w:r>
    </w:p>
    <w:p w14:paraId="4F54FF9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8.</w:t>
      </w:r>
      <w:r w:rsidRPr="00DE23A0">
        <w:rPr>
          <w:rFonts w:ascii="Calibri" w:hAnsi="Calibri" w:cs="Calibri"/>
          <w:sz w:val="22"/>
          <w:szCs w:val="22"/>
        </w:rPr>
        <w:tab/>
        <w:t>Recommendations and Conclusion</w:t>
      </w:r>
    </w:p>
    <w:p w14:paraId="0ADF661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9.</w:t>
      </w:r>
      <w:r w:rsidRPr="00DE23A0">
        <w:rPr>
          <w:rFonts w:ascii="Calibri" w:hAnsi="Calibri" w:cs="Calibri"/>
          <w:sz w:val="22"/>
          <w:szCs w:val="22"/>
        </w:rPr>
        <w:tab/>
        <w:t>Reference List</w:t>
      </w:r>
    </w:p>
    <w:p w14:paraId="375CF08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10.</w:t>
      </w:r>
      <w:r w:rsidRPr="00DE23A0">
        <w:rPr>
          <w:rFonts w:ascii="Calibri" w:hAnsi="Calibri" w:cs="Calibri"/>
          <w:sz w:val="22"/>
          <w:szCs w:val="22"/>
        </w:rPr>
        <w:tab/>
        <w:t>Appendix (5 pages)</w:t>
      </w:r>
    </w:p>
    <w:p w14:paraId="03833E6A" w14:textId="77777777" w:rsidR="00DE23A0" w:rsidRPr="00DE23A0" w:rsidRDefault="00DE23A0" w:rsidP="00DE23A0">
      <w:pPr>
        <w:spacing w:line="360" w:lineRule="auto"/>
        <w:rPr>
          <w:rFonts w:ascii="Calibri" w:hAnsi="Calibri" w:cs="Calibri"/>
          <w:sz w:val="22"/>
          <w:szCs w:val="22"/>
        </w:rPr>
      </w:pPr>
    </w:p>
    <w:p w14:paraId="5CFE08CD" w14:textId="77777777" w:rsidR="00DE23A0" w:rsidRPr="00DE23A0" w:rsidRDefault="00DE23A0" w:rsidP="00DE23A0">
      <w:pPr>
        <w:spacing w:line="360" w:lineRule="auto"/>
        <w:rPr>
          <w:rFonts w:ascii="Calibri" w:hAnsi="Calibri" w:cs="Calibri"/>
          <w:sz w:val="22"/>
          <w:szCs w:val="22"/>
        </w:rPr>
      </w:pPr>
    </w:p>
    <w:p w14:paraId="18A48554" w14:textId="77777777" w:rsidR="00DE23A0" w:rsidRPr="00DE23A0" w:rsidRDefault="00DE23A0" w:rsidP="00DE23A0">
      <w:pPr>
        <w:spacing w:line="360" w:lineRule="auto"/>
        <w:rPr>
          <w:rFonts w:ascii="Calibri" w:hAnsi="Calibri" w:cs="Calibri"/>
          <w:sz w:val="22"/>
          <w:szCs w:val="22"/>
        </w:rPr>
      </w:pPr>
    </w:p>
    <w:p w14:paraId="7A9BADB8" w14:textId="77777777" w:rsidR="00DE23A0" w:rsidRPr="00DE23A0" w:rsidRDefault="00DE23A0" w:rsidP="00DE23A0">
      <w:pPr>
        <w:spacing w:line="360" w:lineRule="auto"/>
        <w:rPr>
          <w:rFonts w:ascii="Calibri" w:hAnsi="Calibri" w:cs="Calibri"/>
          <w:sz w:val="22"/>
          <w:szCs w:val="22"/>
        </w:rPr>
      </w:pPr>
    </w:p>
    <w:p w14:paraId="652551B3" w14:textId="77777777" w:rsidR="00735A3A" w:rsidRDefault="00735A3A" w:rsidP="00DE23A0">
      <w:pPr>
        <w:spacing w:line="360" w:lineRule="auto"/>
        <w:rPr>
          <w:rFonts w:ascii="Calibri" w:hAnsi="Calibri" w:cs="Calibri"/>
          <w:sz w:val="22"/>
          <w:szCs w:val="22"/>
        </w:rPr>
      </w:pPr>
    </w:p>
    <w:p w14:paraId="33C51D61" w14:textId="6BA99E28" w:rsidR="00DE23A0" w:rsidRPr="008C06A7" w:rsidRDefault="00DE23A0" w:rsidP="00DE23A0">
      <w:pPr>
        <w:spacing w:line="360" w:lineRule="auto"/>
        <w:rPr>
          <w:rFonts w:ascii="Calibri" w:hAnsi="Calibri" w:cs="Calibri"/>
          <w:b/>
          <w:bCs/>
          <w:sz w:val="32"/>
          <w:szCs w:val="32"/>
        </w:rPr>
      </w:pPr>
      <w:r w:rsidRPr="008C06A7">
        <w:rPr>
          <w:rFonts w:ascii="Calibri" w:hAnsi="Calibri" w:cs="Calibri"/>
          <w:b/>
          <w:bCs/>
          <w:sz w:val="32"/>
          <w:szCs w:val="32"/>
        </w:rPr>
        <w:lastRenderedPageBreak/>
        <w:t>INTRODUCTION</w:t>
      </w:r>
    </w:p>
    <w:p w14:paraId="2C04EA2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international automotive industry has undergone a profound transformation over the past decade, driven by technological innovation, environmental pressures, digitisation, regulatory shifts, and evolving consumer expectations (PwC, 2024). As one of the world’s most globalised industries, automotive manufacturers must continuously adapt their international marketing strategies to remain competitive in diverse markets. Success depends on understanding local cultural preferences, regulatory frameworks, economic conditions, and technological infrastructures, while still maintaining a cohesive global brand identity (Levitt, 1983).</w:t>
      </w:r>
    </w:p>
    <w:p w14:paraId="5396D04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(Bayerische Motoren Werke AG), founded in Munich in 1916, is globally recognised for engineering excellence, performance-oriented design, and technological leadership within the premium automotive segment (BMW Group, 2023). Operating in more than 140 countries with a portfolio that includes BMW, MINI, and Rolls-Royce, the company represents a benchmark for innovation and international marketing effectiveness (BMW Group, 2024). Given the rising prominence of electric vehicles (EVs), digital retail channels, and sustainability expectations, BMW’s ability to balance global standardisation with local adaptation has become increasingly critical (BMW Group, 2024).</w:t>
      </w:r>
    </w:p>
    <w:p w14:paraId="5BC1EB6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report examines BMW’s international marketing strategies in two major markets:</w:t>
      </w:r>
    </w:p>
    <w:p w14:paraId="397152B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Country A: The United Kingdom, one of BMW’s most important foreign markets, and</w:t>
      </w:r>
    </w:p>
    <w:p w14:paraId="4B7F376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Country B: Germany, BMW’s home market and core production and R&amp;D base (BMW Group, 2023).</w:t>
      </w:r>
    </w:p>
    <w:p w14:paraId="6A7E67F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These two countries provide highly contrasting socio-cultural, political, economic, and technological contexts, offering an ideal comparative framework for evaluating international marketing decisions. Germany represents a rational, engineering-led, industrial market with strong domestic brand loyalty</w:t>
      </w:r>
    </w:p>
    <w:p w14:paraId="0E66D23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and high consumer expectations around precision and sustainability (Statista, 2024a). Conversely, the UK is a service-driven, aspirational, digitally advanced market where consumers rely heavily on financing and interpret premium brands as symbols of personal identity and lifestyle expression (Mintel, 2023).</w:t>
      </w:r>
    </w:p>
    <w:p w14:paraId="199A270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Several academic theories support this comparative analysis. PESTLE is used to examine macroenvironmental differences; Hofstede’s cultural dimensions provide insight into social and behavioural distinctions (Hofstede Insights, 2023);  STP (Segmentation, Targeting, Positioning) is applied </w:t>
      </w:r>
      <w:r w:rsidRPr="00DE23A0">
        <w:rPr>
          <w:rFonts w:ascii="Calibri" w:hAnsi="Calibri" w:cs="Calibri"/>
          <w:sz w:val="22"/>
          <w:szCs w:val="22"/>
        </w:rPr>
        <w:lastRenderedPageBreak/>
        <w:t>to assess market selection and positioning strategies; the 7Ps marketing mix highlights how tactical marketing elements are adapted to local needs; and the transnational strategy framework (Bartlett &amp; Ghoshal, 1989) explains how BMW integrates global efficiency with market-specific responsiveness. The report also draws upon Levitt’s (1983) globalisation theory to assess the extent of marketing standardisation and localisation.</w:t>
      </w:r>
    </w:p>
    <w:p w14:paraId="49D8C64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To evaluate the success of BMW’s marketing strategies, the study incorporates annual sales data, market share indicators, brand equity rankings (Kantar BrandZ, 2024), digital engagement metrics, and financial performance (BMW Group, 2024). Ethical considerations are assessed in line with environmental sustainability, transparency, advertising practices, and supply chain responsibility — particularly important in an industry facing scrutiny over emissions, greenwashing, and EV battery sourcing (UK Government, 2024).</w:t>
      </w:r>
    </w:p>
    <w:p w14:paraId="1C3AB61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Finally, the report provides strategic recommendations to strengthen BMW’s international marketing performance across both markets, considering emerging trends in digital mobility, EV demand, and consumer behaviour.</w:t>
      </w:r>
    </w:p>
    <w:p w14:paraId="136810E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Overall, this analysis offers an in-depth, empirically supported evaluation of how BMW navigates two distinct markets through adaptive marketing strategies, reinforcing its position as a leader in the global premium automotive sector.</w:t>
      </w:r>
    </w:p>
    <w:p w14:paraId="1A5C6BFF" w14:textId="77777777" w:rsidR="00DE23A0" w:rsidRPr="00DE23A0" w:rsidRDefault="00DE23A0" w:rsidP="00DE23A0">
      <w:pPr>
        <w:spacing w:line="360" w:lineRule="auto"/>
        <w:rPr>
          <w:rFonts w:ascii="Calibri" w:hAnsi="Calibri" w:cs="Calibri"/>
          <w:sz w:val="22"/>
          <w:szCs w:val="22"/>
        </w:rPr>
      </w:pPr>
    </w:p>
    <w:p w14:paraId="66A7CA76" w14:textId="77777777" w:rsidR="00DE23A0" w:rsidRPr="00DE23A0" w:rsidRDefault="00DE23A0" w:rsidP="00DE23A0">
      <w:pPr>
        <w:spacing w:line="360" w:lineRule="auto"/>
        <w:rPr>
          <w:rFonts w:ascii="Calibri" w:hAnsi="Calibri" w:cs="Calibri"/>
          <w:sz w:val="22"/>
          <w:szCs w:val="22"/>
        </w:rPr>
      </w:pPr>
    </w:p>
    <w:p w14:paraId="4E0EECE1" w14:textId="77777777" w:rsidR="00DE23A0" w:rsidRPr="00DE23A0" w:rsidRDefault="00DE23A0" w:rsidP="00DE23A0">
      <w:pPr>
        <w:spacing w:line="360" w:lineRule="auto"/>
        <w:rPr>
          <w:rFonts w:ascii="Calibri" w:hAnsi="Calibri" w:cs="Calibri"/>
          <w:sz w:val="22"/>
          <w:szCs w:val="22"/>
        </w:rPr>
      </w:pPr>
    </w:p>
    <w:p w14:paraId="2DA24FAD" w14:textId="77777777" w:rsidR="00DE23A0" w:rsidRPr="00DE23A0" w:rsidRDefault="00DE23A0" w:rsidP="00DE23A0">
      <w:pPr>
        <w:spacing w:line="360" w:lineRule="auto"/>
        <w:rPr>
          <w:rFonts w:ascii="Calibri" w:hAnsi="Calibri" w:cs="Calibri"/>
          <w:sz w:val="22"/>
          <w:szCs w:val="22"/>
        </w:rPr>
      </w:pPr>
    </w:p>
    <w:p w14:paraId="46D774D1" w14:textId="77777777" w:rsidR="00DE23A0" w:rsidRPr="00DE23A0" w:rsidRDefault="00DE23A0" w:rsidP="00DE23A0">
      <w:pPr>
        <w:spacing w:line="360" w:lineRule="auto"/>
        <w:rPr>
          <w:rFonts w:ascii="Calibri" w:hAnsi="Calibri" w:cs="Calibri"/>
          <w:sz w:val="22"/>
          <w:szCs w:val="22"/>
        </w:rPr>
      </w:pPr>
    </w:p>
    <w:p w14:paraId="52A94F04" w14:textId="77777777" w:rsidR="00DE23A0" w:rsidRPr="00DE23A0" w:rsidRDefault="00DE23A0" w:rsidP="00DE23A0">
      <w:pPr>
        <w:spacing w:line="360" w:lineRule="auto"/>
        <w:rPr>
          <w:rFonts w:ascii="Calibri" w:hAnsi="Calibri" w:cs="Calibri"/>
          <w:sz w:val="22"/>
          <w:szCs w:val="22"/>
        </w:rPr>
      </w:pPr>
    </w:p>
    <w:p w14:paraId="4449252B" w14:textId="77777777" w:rsidR="00DE23A0" w:rsidRPr="00DE23A0" w:rsidRDefault="00DE23A0" w:rsidP="00DE23A0">
      <w:pPr>
        <w:spacing w:line="360" w:lineRule="auto"/>
        <w:rPr>
          <w:rFonts w:ascii="Calibri" w:hAnsi="Calibri" w:cs="Calibri"/>
          <w:sz w:val="22"/>
          <w:szCs w:val="22"/>
        </w:rPr>
      </w:pPr>
    </w:p>
    <w:p w14:paraId="4523BEDC" w14:textId="77777777" w:rsidR="00DE23A0" w:rsidRPr="00DE23A0" w:rsidRDefault="00DE23A0" w:rsidP="00DE23A0">
      <w:pPr>
        <w:spacing w:line="360" w:lineRule="auto"/>
        <w:rPr>
          <w:rFonts w:ascii="Calibri" w:hAnsi="Calibri" w:cs="Calibri"/>
          <w:sz w:val="22"/>
          <w:szCs w:val="22"/>
        </w:rPr>
      </w:pPr>
    </w:p>
    <w:p w14:paraId="075DC868" w14:textId="77777777" w:rsidR="00DE23A0" w:rsidRPr="00DE23A0" w:rsidRDefault="00DE23A0" w:rsidP="00DE23A0">
      <w:pPr>
        <w:spacing w:line="360" w:lineRule="auto"/>
        <w:rPr>
          <w:rFonts w:ascii="Calibri" w:hAnsi="Calibri" w:cs="Calibri"/>
          <w:sz w:val="22"/>
          <w:szCs w:val="22"/>
        </w:rPr>
      </w:pPr>
    </w:p>
    <w:p w14:paraId="7FCD6AEE" w14:textId="77777777" w:rsidR="00735A3A" w:rsidRDefault="00735A3A" w:rsidP="00DE23A0">
      <w:pPr>
        <w:spacing w:line="360" w:lineRule="auto"/>
        <w:rPr>
          <w:rFonts w:ascii="Calibri" w:hAnsi="Calibri" w:cs="Calibri"/>
          <w:sz w:val="22"/>
          <w:szCs w:val="22"/>
        </w:rPr>
      </w:pPr>
    </w:p>
    <w:p w14:paraId="38D47341" w14:textId="2B9EA284" w:rsidR="00DE23A0" w:rsidRPr="008C06A7" w:rsidRDefault="00DE23A0" w:rsidP="00DE23A0">
      <w:pPr>
        <w:spacing w:line="360" w:lineRule="auto"/>
        <w:rPr>
          <w:rFonts w:ascii="Calibri" w:hAnsi="Calibri" w:cs="Calibri"/>
          <w:b/>
          <w:bCs/>
          <w:sz w:val="32"/>
          <w:szCs w:val="32"/>
        </w:rPr>
      </w:pPr>
      <w:r w:rsidRPr="008C06A7">
        <w:rPr>
          <w:rFonts w:ascii="Calibri" w:hAnsi="Calibri" w:cs="Calibri"/>
          <w:b/>
          <w:bCs/>
          <w:sz w:val="32"/>
          <w:szCs w:val="32"/>
        </w:rPr>
        <w:lastRenderedPageBreak/>
        <w:t>BRAND OVERVIEW</w:t>
      </w:r>
    </w:p>
    <w:p w14:paraId="495654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(Bayerische Motoren Werke AG) is one of the most globally recognised premium automotive manufacturers, known for its strong engineering heritage, cutting-edge innovation, and distinct brand identity encapsulated by the iconic slogan “The Ultimate Driving Machine” (BMW Group, 2023). Headquartered in Munich, Germany, BMW operates across more than 140 countries and maintains a diversified brand portfolio that includes BMW, BMW i (electric mobility division), MINI, and Rolls-Royce. The company has built a reputation for producing high-quality vehicles that integrate advanced performance, safety, comfort, and digital features, appealing to affluent and aspirational consumers worldwide (Mintel, 2023).</w:t>
      </w:r>
    </w:p>
    <w:p w14:paraId="0FFCAAA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business model is characterised by vertical integration, advanced manufacturing capabilities, and a global distribution network that combines authorised dealerships, digital sales platforms, and direct customer engagement channels (BMW Group, 2024). The firm invests heavily in research and development, focusing on electric mobility, autonomous driving, artificial intelligence, sustainable materials, and circular economy principles (BMW Group, 2023). With over €14 billion invested in R&amp;D in 2023 alone, BMW remains one of the most technologically advanced companies in the automotive sector.</w:t>
      </w:r>
    </w:p>
    <w:p w14:paraId="6B2A942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as BMW’s home market, plays a crucial role in its global operations. The country hosts BMW’s main assembly plants, R&amp;D centres, and engineering hubs, which contribute to innovations such as EfficientDynamics, hydrogen mobility research, and next-generation EV battery technologies (BMW Group, 2023). German consumers widely associate the BMW brand with engineering quality, technical superiority, performance reliability, and manufacturing excellence. Competition in Germany is intense, with Mercedes-Benz and Audi serving as key domestic rivals.</w:t>
      </w:r>
    </w:p>
    <w:p w14:paraId="5B82F98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contrast, the United Kingdom is BMW’s fourth-largest global sales market (BMW Group, 2024) and one of its most strategically significant markets for premium vehicles. The UK’s strong demand for luxury cars, growing EV adoption, and digitally engaged consumer base make it a vital arena for BMW’s marketing experimentation and customer-centric innovations (Mintel, 2023). The United Kingdom also hosts the BMW-owned MINI manufacturing plant in Oxford, underscoring BMW’s long-term commitment to the market.</w:t>
      </w:r>
    </w:p>
    <w:p w14:paraId="115EADF3" w14:textId="77777777" w:rsidR="008C06A7" w:rsidRDefault="008C06A7" w:rsidP="00DE23A0">
      <w:pPr>
        <w:spacing w:line="360" w:lineRule="auto"/>
        <w:rPr>
          <w:rFonts w:ascii="Calibri" w:hAnsi="Calibri" w:cs="Calibri"/>
          <w:sz w:val="22"/>
          <w:szCs w:val="22"/>
        </w:rPr>
      </w:pPr>
    </w:p>
    <w:p w14:paraId="4AAAB995" w14:textId="2BF92DCC" w:rsidR="00DE23A0" w:rsidRPr="008C06A7" w:rsidRDefault="00DE23A0" w:rsidP="00DE23A0">
      <w:pPr>
        <w:spacing w:line="360" w:lineRule="auto"/>
        <w:rPr>
          <w:rFonts w:ascii="Calibri" w:hAnsi="Calibri" w:cs="Calibri"/>
          <w:b/>
          <w:bCs/>
          <w:sz w:val="22"/>
          <w:szCs w:val="22"/>
        </w:rPr>
      </w:pPr>
      <w:r w:rsidRPr="00DE23A0">
        <w:rPr>
          <w:rFonts w:ascii="Calibri" w:hAnsi="Calibri" w:cs="Calibri"/>
          <w:sz w:val="22"/>
          <w:szCs w:val="22"/>
        </w:rPr>
        <w:lastRenderedPageBreak/>
        <w:t xml:space="preserve"> </w:t>
      </w:r>
      <w:r w:rsidRPr="008C06A7">
        <w:rPr>
          <w:rFonts w:ascii="Calibri" w:hAnsi="Calibri" w:cs="Calibri"/>
          <w:b/>
          <w:bCs/>
          <w:sz w:val="22"/>
          <w:szCs w:val="22"/>
        </w:rPr>
        <w:t>BMW in Country A: United Kingdom</w:t>
      </w:r>
    </w:p>
    <w:p w14:paraId="129E5C4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has a strong and long-established presence in the UK, with the brand consistently ranking among the top three premium car manufacturers by sales volume (Mintel, 2023). The UK’s premium automotive market is shaped by consumer preference for stylish, aspirational vehicles supported by flexible financing solutions such as PCP (Personal Contract Purchase). As a result, BMW’s offering in the UK emphasises lifestyle appeal, design aesthetics, and aspirational value.</w:t>
      </w:r>
    </w:p>
    <w:p w14:paraId="6047C14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characteristics of BMW’s UK operations include:</w:t>
      </w:r>
    </w:p>
    <w:p w14:paraId="3BCE895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strong retail network of authorised dealerships and digital purchasing platforms (BMW Group, 2024)</w:t>
      </w:r>
    </w:p>
    <w:p w14:paraId="7D77086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adoption of digital channels for car configuration, financing, and virtual showrooms</w:t>
      </w:r>
    </w:p>
    <w:p w14:paraId="5A8A035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large base of young professionals and urban consumers seeking prestige and modern functionality (Kantar BrandZ, 2024).</w:t>
      </w:r>
    </w:p>
    <w:p w14:paraId="7BAE721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Marketing communication that prioritises emotion, individualism, and lifestyle experiences (Hofstede Insights, 2023).</w:t>
      </w:r>
    </w:p>
    <w:p w14:paraId="6E5B24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Growing demand for electric models such as the i4, iX1, and i7 (Statista, 2024b)</w:t>
      </w:r>
    </w:p>
    <w:p w14:paraId="3992898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MINI brand, produced in Oxford, further reinforces the firm's local footprint and enhances brand visibility. Additionally, BMW maintains partnerships with UK cultural and sporting institutions, including Wimbledon and British film and fashion sectors, to strengthen premium brand associations.</w:t>
      </w:r>
    </w:p>
    <w:p w14:paraId="45B2BE9C" w14:textId="77777777" w:rsidR="00DE23A0" w:rsidRPr="00DE23A0" w:rsidRDefault="00DE23A0" w:rsidP="00DE23A0">
      <w:pPr>
        <w:spacing w:line="360" w:lineRule="auto"/>
        <w:rPr>
          <w:rFonts w:ascii="Calibri" w:hAnsi="Calibri" w:cs="Calibri"/>
          <w:sz w:val="22"/>
          <w:szCs w:val="22"/>
        </w:rPr>
      </w:pPr>
    </w:p>
    <w:p w14:paraId="754733D8"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 xml:space="preserve"> BMW in Country B: Germany</w:t>
      </w:r>
    </w:p>
    <w:p w14:paraId="479CE91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remains BMW’s most important market for brand loyalty, technological leadership, and manufacturing excellence (BMW Group, 2023). German consumers are typically rational, detail-oriented, and highly concerned with build quality, safety performance, and engineering reliability (Hofstede Insights, 2023). As a result, BMW’s positioning in Germany emphasises advanced technology, superior drivetrain engineering, and innovation credentials.</w:t>
      </w:r>
    </w:p>
    <w:p w14:paraId="69A8034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characteristics of BMW’s German operations include:</w:t>
      </w:r>
    </w:p>
    <w:p w14:paraId="6D92C3C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Strong domestic production facilities such as Munich, Dingolfing, Leipzig, and Regensburg (BMW Group, 2023).</w:t>
      </w:r>
    </w:p>
    <w:p w14:paraId="326CEB2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market share (8.2% in 2024) with strong sales of models such as the 3 Series, 5 Series, and the electric i4 (Statista, 2024a)</w:t>
      </w:r>
    </w:p>
    <w:p w14:paraId="1787076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Marketing communication that focuses on technical specifications, safety ratings, performance metrics, and engineering superiority</w:t>
      </w:r>
    </w:p>
    <w:p w14:paraId="3232A22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competition from other German luxury brands, which drives continuous product innovation</w:t>
      </w:r>
    </w:p>
    <w:p w14:paraId="5B8469F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mature EV market shaped by government incentives, environmental awareness, and strict regulatory standards (UK Government, 2024).</w:t>
      </w:r>
    </w:p>
    <w:p w14:paraId="01E13B5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Furthermore, BMW’s German operations serve as the innovation centre for the company’s global electric mobility platform (BMW i), hydrogen research initiatives, and circular economy practices. This enables the brand to leverage technological breakthroughs to strengthen its positioning globally, including in markets such as the UK.</w:t>
      </w:r>
    </w:p>
    <w:p w14:paraId="38AE2497" w14:textId="77777777" w:rsidR="00DE23A0" w:rsidRPr="00DE23A0" w:rsidRDefault="00DE23A0" w:rsidP="00DE23A0">
      <w:pPr>
        <w:spacing w:line="360" w:lineRule="auto"/>
        <w:rPr>
          <w:rFonts w:ascii="Calibri" w:hAnsi="Calibri" w:cs="Calibri"/>
          <w:sz w:val="22"/>
          <w:szCs w:val="22"/>
        </w:rPr>
      </w:pPr>
    </w:p>
    <w:p w14:paraId="0BBE803D" w14:textId="77777777" w:rsidR="00DE23A0" w:rsidRPr="00DE23A0" w:rsidRDefault="00DE23A0" w:rsidP="00DE23A0">
      <w:pPr>
        <w:spacing w:line="360" w:lineRule="auto"/>
        <w:rPr>
          <w:rFonts w:ascii="Calibri" w:hAnsi="Calibri" w:cs="Calibri"/>
          <w:sz w:val="22"/>
          <w:szCs w:val="22"/>
        </w:rPr>
      </w:pPr>
    </w:p>
    <w:p w14:paraId="264A644D" w14:textId="77777777" w:rsidR="00DE23A0" w:rsidRPr="00DE23A0" w:rsidRDefault="00DE23A0" w:rsidP="00DE23A0">
      <w:pPr>
        <w:spacing w:line="360" w:lineRule="auto"/>
        <w:rPr>
          <w:rFonts w:ascii="Calibri" w:hAnsi="Calibri" w:cs="Calibri"/>
          <w:sz w:val="22"/>
          <w:szCs w:val="22"/>
        </w:rPr>
      </w:pPr>
    </w:p>
    <w:p w14:paraId="0EF6A409" w14:textId="77777777" w:rsidR="00DE23A0" w:rsidRPr="00DE23A0" w:rsidRDefault="00DE23A0" w:rsidP="00DE23A0">
      <w:pPr>
        <w:spacing w:line="360" w:lineRule="auto"/>
        <w:rPr>
          <w:rFonts w:ascii="Calibri" w:hAnsi="Calibri" w:cs="Calibri"/>
          <w:sz w:val="22"/>
          <w:szCs w:val="22"/>
        </w:rPr>
      </w:pPr>
    </w:p>
    <w:p w14:paraId="26FF9A61" w14:textId="77777777" w:rsidR="00DE23A0" w:rsidRPr="00DE23A0" w:rsidRDefault="00DE23A0" w:rsidP="00DE23A0">
      <w:pPr>
        <w:spacing w:line="360" w:lineRule="auto"/>
        <w:rPr>
          <w:rFonts w:ascii="Calibri" w:hAnsi="Calibri" w:cs="Calibri"/>
          <w:sz w:val="22"/>
          <w:szCs w:val="22"/>
        </w:rPr>
      </w:pPr>
    </w:p>
    <w:p w14:paraId="36D23C0D" w14:textId="77777777" w:rsidR="00DE23A0" w:rsidRPr="00DE23A0" w:rsidRDefault="00DE23A0" w:rsidP="00DE23A0">
      <w:pPr>
        <w:spacing w:line="360" w:lineRule="auto"/>
        <w:rPr>
          <w:rFonts w:ascii="Calibri" w:hAnsi="Calibri" w:cs="Calibri"/>
          <w:sz w:val="22"/>
          <w:szCs w:val="22"/>
        </w:rPr>
      </w:pPr>
    </w:p>
    <w:p w14:paraId="3A569D22" w14:textId="77777777" w:rsidR="00DE23A0" w:rsidRPr="00DE23A0" w:rsidRDefault="00DE23A0" w:rsidP="00DE23A0">
      <w:pPr>
        <w:spacing w:line="360" w:lineRule="auto"/>
        <w:rPr>
          <w:rFonts w:ascii="Calibri" w:hAnsi="Calibri" w:cs="Calibri"/>
          <w:sz w:val="22"/>
          <w:szCs w:val="22"/>
        </w:rPr>
      </w:pPr>
    </w:p>
    <w:p w14:paraId="27D6F619" w14:textId="77777777" w:rsidR="00DE23A0" w:rsidRPr="00DE23A0" w:rsidRDefault="00DE23A0" w:rsidP="00DE23A0">
      <w:pPr>
        <w:spacing w:line="360" w:lineRule="auto"/>
        <w:rPr>
          <w:rFonts w:ascii="Calibri" w:hAnsi="Calibri" w:cs="Calibri"/>
          <w:sz w:val="22"/>
          <w:szCs w:val="22"/>
        </w:rPr>
      </w:pPr>
    </w:p>
    <w:p w14:paraId="7CABE143" w14:textId="77777777" w:rsidR="00DE23A0" w:rsidRPr="00DE23A0" w:rsidRDefault="00DE23A0" w:rsidP="00DE23A0">
      <w:pPr>
        <w:spacing w:line="360" w:lineRule="auto"/>
        <w:rPr>
          <w:rFonts w:ascii="Calibri" w:hAnsi="Calibri" w:cs="Calibri"/>
          <w:sz w:val="22"/>
          <w:szCs w:val="22"/>
        </w:rPr>
      </w:pPr>
    </w:p>
    <w:p w14:paraId="68EDD2C7" w14:textId="77777777" w:rsidR="00DE23A0" w:rsidRPr="00DE23A0" w:rsidRDefault="00DE23A0" w:rsidP="00DE23A0">
      <w:pPr>
        <w:spacing w:line="360" w:lineRule="auto"/>
        <w:rPr>
          <w:rFonts w:ascii="Calibri" w:hAnsi="Calibri" w:cs="Calibri"/>
          <w:sz w:val="22"/>
          <w:szCs w:val="22"/>
        </w:rPr>
      </w:pPr>
    </w:p>
    <w:p w14:paraId="79D1C37A" w14:textId="0428A0D1" w:rsidR="00DE23A0" w:rsidRPr="008C06A7" w:rsidRDefault="00DE23A0" w:rsidP="00DE23A0">
      <w:pPr>
        <w:spacing w:line="360" w:lineRule="auto"/>
        <w:rPr>
          <w:rFonts w:ascii="Calibri" w:hAnsi="Calibri" w:cs="Calibri"/>
          <w:b/>
          <w:bCs/>
          <w:sz w:val="32"/>
          <w:szCs w:val="32"/>
        </w:rPr>
      </w:pPr>
      <w:r w:rsidRPr="008C06A7">
        <w:rPr>
          <w:rFonts w:ascii="Calibri" w:hAnsi="Calibri" w:cs="Calibri"/>
          <w:b/>
          <w:bCs/>
          <w:sz w:val="32"/>
          <w:szCs w:val="32"/>
        </w:rPr>
        <w:lastRenderedPageBreak/>
        <w:t>SOCIO-CULTURAL AND MACROENVIRONMENTAL COMPARISON (PESTLE)</w:t>
      </w:r>
    </w:p>
    <w:p w14:paraId="7F45219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external environment significantly shapes BMW’s marketing strategies across international markets. A PESTLE analysis allows for a structured comparison between Country A (United Kingdom) and Country B (Germany), revealing how political, economic, socio-cultural, technological, legal, and environmental factors influence BMW’s strategic decisions (Levitt, 1983; Hofstede Insights, 2023). This section assesses the macroenvironmental contexts of both markets and highlights their implications for BMW’s marketing approach.</w:t>
      </w:r>
    </w:p>
    <w:p w14:paraId="1A27A5CF" w14:textId="77777777" w:rsidR="00DE23A0" w:rsidRPr="00DE23A0" w:rsidRDefault="00DE23A0" w:rsidP="00DE23A0">
      <w:pPr>
        <w:spacing w:line="360" w:lineRule="auto"/>
        <w:rPr>
          <w:rFonts w:ascii="Calibri" w:hAnsi="Calibri" w:cs="Calibri"/>
          <w:sz w:val="22"/>
          <w:szCs w:val="22"/>
        </w:rPr>
      </w:pPr>
    </w:p>
    <w:p w14:paraId="7E10AFF7"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Political Factors</w:t>
      </w:r>
    </w:p>
    <w:p w14:paraId="613B98A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Country A: United Kingdom</w:t>
      </w:r>
    </w:p>
    <w:p w14:paraId="465C3DA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has experienced political volatility in recent years, primarily due to Brexit. The withdrawal from the EU has resulted in complex trade regulations, supply chain disruptions, currency fluctuations, and uncertainty for automotive manufacturers importing components from Europe (UK Government, 2024). Tariffs, customs procedures, and regulatory divergence create challenges for BMW’s supply chain and retail pricing. Nonetheless, the UK government supports EV adoption through grants, charging infrastructure investments, and long-term net-zero commitments (UK Government, 2024).</w:t>
      </w:r>
    </w:p>
    <w:p w14:paraId="5BB6C4C0" w14:textId="77777777" w:rsidR="00DE23A0" w:rsidRPr="00DE23A0" w:rsidRDefault="00DE23A0" w:rsidP="00DE23A0">
      <w:pPr>
        <w:spacing w:line="360" w:lineRule="auto"/>
        <w:rPr>
          <w:rFonts w:ascii="Calibri" w:hAnsi="Calibri" w:cs="Calibri"/>
          <w:sz w:val="22"/>
          <w:szCs w:val="22"/>
        </w:rPr>
      </w:pPr>
    </w:p>
    <w:p w14:paraId="0DA6EEB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Country B: Germany</w:t>
      </w:r>
    </w:p>
    <w:p w14:paraId="5820AA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offers a politically stable environment supportive of industrial growth and technological innovation (BMW Group, 2023). Government policies strongly favour electric mobility, R&amp;D investment, and green manufacturing, making Germany an ideal location for BMW’s technological and production initiatives. Tax incentives and innovation grants further support BMW’s EV .</w:t>
      </w:r>
    </w:p>
    <w:p w14:paraId="7841E5D9" w14:textId="77777777" w:rsidR="00DE23A0" w:rsidRPr="00DE23A0" w:rsidRDefault="00DE23A0" w:rsidP="00DE23A0">
      <w:pPr>
        <w:spacing w:line="360" w:lineRule="auto"/>
        <w:rPr>
          <w:rFonts w:ascii="Calibri" w:hAnsi="Calibri" w:cs="Calibri"/>
          <w:sz w:val="22"/>
          <w:szCs w:val="22"/>
        </w:rPr>
      </w:pPr>
    </w:p>
    <w:p w14:paraId="131BBEF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2A7959B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 the UK, BMW must maintain flexible supply-chain strategies and adapt pricing to mitigate Brexit-related volatility.</w:t>
      </w:r>
    </w:p>
    <w:p w14:paraId="0C7317A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In Germany, BMW benefits from strong industrial policies that reinforce its leadership in EV and engineering innovation.</w:t>
      </w:r>
    </w:p>
    <w:p w14:paraId="365FEDB0"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 xml:space="preserve"> Economic Factors</w:t>
      </w:r>
    </w:p>
    <w:p w14:paraId="192E485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1F9ADFF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is a large and economically advanced market with a GDP of approximately £2.8 trillion. However, economic fluctuations, inflationary pressures, and rising living costs influence automotive purchase behaviour (Mintel, 2023). UK consumers rely heavily on financing options, making PCP and leasing central to BMW’s business model. The premium segment remains resilient, supported by aspirational consumption patterns.</w:t>
      </w:r>
    </w:p>
    <w:p w14:paraId="138DF75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4855C54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with a GDP of around €4.5 trillion, represents a stable and high-income market, characterised by strong consumer purchasing power and a large engineering-oriented workforce (PwC, 2024). German consumers prioritise long-term value and technical reliability, often purchasing vehicles outright or through structured leasing.</w:t>
      </w:r>
    </w:p>
    <w:p w14:paraId="1D7F03E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2CC4673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marketing must highlight affordability through flexible plans and incentives.</w:t>
      </w:r>
    </w:p>
    <w:p w14:paraId="05B9783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German marketing should emphasise long-term value, quality, and engineering performance.</w:t>
      </w:r>
    </w:p>
    <w:p w14:paraId="37457C6B" w14:textId="77777777" w:rsidR="00DE23A0" w:rsidRPr="00DE23A0" w:rsidRDefault="00DE23A0" w:rsidP="00DE23A0">
      <w:pPr>
        <w:spacing w:line="360" w:lineRule="auto"/>
        <w:rPr>
          <w:rFonts w:ascii="Calibri" w:hAnsi="Calibri" w:cs="Calibri"/>
          <w:sz w:val="22"/>
          <w:szCs w:val="22"/>
        </w:rPr>
      </w:pPr>
    </w:p>
    <w:p w14:paraId="7FC2F5AD" w14:textId="77777777" w:rsidR="00DE23A0" w:rsidRPr="00DE23A0" w:rsidRDefault="00DE23A0" w:rsidP="00DE23A0">
      <w:pPr>
        <w:spacing w:line="360" w:lineRule="auto"/>
        <w:rPr>
          <w:rFonts w:ascii="Calibri" w:hAnsi="Calibri" w:cs="Calibri"/>
          <w:sz w:val="22"/>
          <w:szCs w:val="22"/>
        </w:rPr>
      </w:pPr>
    </w:p>
    <w:p w14:paraId="7557E1C2" w14:textId="77777777" w:rsidR="00DE23A0" w:rsidRPr="00DE23A0" w:rsidRDefault="00DE23A0" w:rsidP="00DE23A0">
      <w:pPr>
        <w:spacing w:line="360" w:lineRule="auto"/>
        <w:rPr>
          <w:rFonts w:ascii="Calibri" w:hAnsi="Calibri" w:cs="Calibri"/>
          <w:sz w:val="22"/>
          <w:szCs w:val="22"/>
        </w:rPr>
      </w:pPr>
    </w:p>
    <w:p w14:paraId="477CCFAE" w14:textId="77777777" w:rsidR="00DE23A0" w:rsidRPr="00DE23A0" w:rsidRDefault="00DE23A0" w:rsidP="00DE23A0">
      <w:pPr>
        <w:spacing w:line="360" w:lineRule="auto"/>
        <w:rPr>
          <w:rFonts w:ascii="Calibri" w:hAnsi="Calibri" w:cs="Calibri"/>
          <w:sz w:val="22"/>
          <w:szCs w:val="22"/>
        </w:rPr>
      </w:pPr>
    </w:p>
    <w:p w14:paraId="1A3817F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Social Factors (Including Hofstede’s Cultural Dimensions)</w:t>
      </w:r>
    </w:p>
    <w:p w14:paraId="74FBF25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(High Individualism, Low Uncertainty Avoidance)</w:t>
      </w:r>
    </w:p>
    <w:p w14:paraId="008DA3E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consumers value individuality, lifestyle expression, and convenience. Premium brands represent personal success and aspiration (Hofstede Insights, 2023). Digital channels, convenience services, and emotional advertising appeal strongly.</w:t>
      </w:r>
    </w:p>
    <w:p w14:paraId="54D52E0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Germany (Lower Individualism, High Uncertainty Avoidance)</w:t>
      </w:r>
    </w:p>
    <w:p w14:paraId="1153B85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consumers prioritise security, durability, and precision. They seek detailed product information and rational justification before purchasing (Hofstede Insights, 2023). Technical demonstrations and engineering-focused communication resonate most.</w:t>
      </w:r>
    </w:p>
    <w:p w14:paraId="53D3687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705CC53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Emphasise lifestyle, identity, and emotional storytelling.</w:t>
      </w:r>
    </w:p>
    <w:p w14:paraId="3207FE6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Germany: Emphasise performance, engineering, safety, and efficiency.</w:t>
      </w:r>
    </w:p>
    <w:p w14:paraId="77B82483" w14:textId="77777777" w:rsidR="00DE23A0" w:rsidRPr="00DE23A0" w:rsidRDefault="00DE23A0" w:rsidP="00DE23A0">
      <w:pPr>
        <w:spacing w:line="360" w:lineRule="auto"/>
        <w:rPr>
          <w:rFonts w:ascii="Calibri" w:hAnsi="Calibri" w:cs="Calibri"/>
          <w:sz w:val="22"/>
          <w:szCs w:val="22"/>
        </w:rPr>
      </w:pPr>
    </w:p>
    <w:p w14:paraId="6E5DA707"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Technological Factors</w:t>
      </w:r>
    </w:p>
    <w:p w14:paraId="19DDB80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69EA6B9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leads in digital retail adoption, with widespread use of virtual showrooms, online car configurators, and remote financing applications (Mintel, 2023). BMW leverages this by offering advanced digital experiences and online-first sales channels.</w:t>
      </w:r>
    </w:p>
    <w:p w14:paraId="612F5C4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70F3B50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leads in automotive engineering technology. BMW’s German operations specialise in EV battery development, AI-based manufacturing systems, and advanced autonomous driving research (BMW Group, 2023).</w:t>
      </w:r>
    </w:p>
    <w:p w14:paraId="5074D84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2D9B37D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operations serve as testing grounds for digital retail innovations.</w:t>
      </w:r>
    </w:p>
    <w:p w14:paraId="36B96D6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German operations underpin BMW’s global technological leadership.</w:t>
      </w:r>
    </w:p>
    <w:p w14:paraId="02A7A4ED"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Legal Factors</w:t>
      </w:r>
    </w:p>
    <w:p w14:paraId="746EBFA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626969BB" w14:textId="77777777" w:rsidR="00735A3A" w:rsidRDefault="00DE23A0" w:rsidP="00DE23A0">
      <w:pPr>
        <w:spacing w:line="360" w:lineRule="auto"/>
        <w:rPr>
          <w:rFonts w:ascii="Calibri" w:hAnsi="Calibri" w:cs="Calibri"/>
          <w:sz w:val="22"/>
          <w:szCs w:val="22"/>
        </w:rPr>
      </w:pPr>
      <w:r w:rsidRPr="00DE23A0">
        <w:rPr>
          <w:rFonts w:ascii="Calibri" w:hAnsi="Calibri" w:cs="Calibri"/>
          <w:sz w:val="22"/>
          <w:szCs w:val="22"/>
        </w:rPr>
        <w:t>Post-Brexit regulatory divergence means BMW must comply with evolving local automotive laws, safety standards, emissions regulations, and advertising rules enforced by bodies such as the Advertising Standards Authority ASA (UK Government, 2024).</w:t>
      </w:r>
    </w:p>
    <w:p w14:paraId="671BDF79" w14:textId="5393A68E"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Germany</w:t>
      </w:r>
    </w:p>
    <w:p w14:paraId="3359003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adheres to stringent EU and national regulations on emissions, data protection (GDPR), safety standards, and environmental compliance (BMW Group, 2023). Automotive advertising must provide factual accuracy, especially regarding sustainability claims.</w:t>
      </w:r>
    </w:p>
    <w:p w14:paraId="786A475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203F12F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requires increased compliance flexibility due to regulatory divergence.</w:t>
      </w:r>
    </w:p>
    <w:p w14:paraId="2EC789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Germany requires strict technical accuracy in all product messaging.</w:t>
      </w:r>
    </w:p>
    <w:p w14:paraId="37F06342" w14:textId="77777777" w:rsidR="00DE23A0" w:rsidRPr="00DE23A0" w:rsidRDefault="00DE23A0" w:rsidP="00DE23A0">
      <w:pPr>
        <w:spacing w:line="360" w:lineRule="auto"/>
        <w:rPr>
          <w:rFonts w:ascii="Calibri" w:hAnsi="Calibri" w:cs="Calibri"/>
          <w:sz w:val="22"/>
          <w:szCs w:val="22"/>
        </w:rPr>
      </w:pPr>
    </w:p>
    <w:p w14:paraId="1C1C9F17"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Environmental Factors</w:t>
      </w:r>
    </w:p>
    <w:p w14:paraId="110FED1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Both countries are committed to reducing carbon emissions, promoting electric mobility, and phasing out traditional combustion engines (UK Government, 2024). Germany targets neutrality by 2045, while the UK plans to ban new diesel and petrol vehicles by 2035. BMW must therefore accelerate its EV strategy and ensure sustainability transparency in both markets (BMW Group, 2024).</w:t>
      </w:r>
    </w:p>
    <w:p w14:paraId="2B07DDA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5.7 PESTLE Summary Table </w:t>
      </w:r>
    </w:p>
    <w:tbl>
      <w:tblPr>
        <w:tblW w:w="0" w:type="auto"/>
        <w:tblCellSpacing w:w="15" w:type="dxa"/>
        <w:tblInd w:w="-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7"/>
        <w:gridCol w:w="2497"/>
        <w:gridCol w:w="2209"/>
        <w:gridCol w:w="3269"/>
      </w:tblGrid>
      <w:tr w:rsidR="00CD5453" w:rsidRPr="00FD298A" w14:paraId="18190FB8" w14:textId="77777777" w:rsidTr="00000181">
        <w:trPr>
          <w:tblHeader/>
          <w:tblCellSpacing w:w="15" w:type="dxa"/>
        </w:trPr>
        <w:tc>
          <w:tcPr>
            <w:tcW w:w="1472" w:type="dxa"/>
            <w:vAlign w:val="center"/>
            <w:hideMark/>
          </w:tcPr>
          <w:p w14:paraId="3DFBBD7F" w14:textId="77777777" w:rsidR="00CD5453" w:rsidRPr="00FD298A" w:rsidRDefault="00CD5453" w:rsidP="00000181">
            <w:pPr>
              <w:spacing w:line="360" w:lineRule="auto"/>
              <w:jc w:val="center"/>
              <w:rPr>
                <w:rFonts w:ascii="Calibri" w:hAnsi="Calibri" w:cs="Calibri"/>
                <w:b/>
                <w:bCs/>
                <w:sz w:val="22"/>
                <w:szCs w:val="22"/>
              </w:rPr>
            </w:pPr>
            <w:r w:rsidRPr="00FD298A">
              <w:rPr>
                <w:rFonts w:ascii="Calibri" w:hAnsi="Calibri" w:cs="Calibri"/>
                <w:b/>
                <w:bCs/>
                <w:sz w:val="22"/>
                <w:szCs w:val="22"/>
              </w:rPr>
              <w:t>PESTLE Factor</w:t>
            </w:r>
          </w:p>
        </w:tc>
        <w:tc>
          <w:tcPr>
            <w:tcW w:w="0" w:type="auto"/>
            <w:vAlign w:val="center"/>
            <w:hideMark/>
          </w:tcPr>
          <w:p w14:paraId="7DA18A00" w14:textId="77777777" w:rsidR="00CD5453" w:rsidRPr="00FD298A" w:rsidRDefault="00CD5453" w:rsidP="00000181">
            <w:pPr>
              <w:spacing w:line="360" w:lineRule="auto"/>
              <w:jc w:val="center"/>
              <w:rPr>
                <w:rFonts w:ascii="Calibri" w:hAnsi="Calibri" w:cs="Calibri"/>
                <w:b/>
                <w:bCs/>
                <w:sz w:val="22"/>
                <w:szCs w:val="22"/>
              </w:rPr>
            </w:pPr>
            <w:r w:rsidRPr="00FD298A">
              <w:rPr>
                <w:rFonts w:ascii="Calibri" w:hAnsi="Calibri" w:cs="Calibri"/>
                <w:b/>
                <w:bCs/>
                <w:sz w:val="22"/>
                <w:szCs w:val="22"/>
              </w:rPr>
              <w:t>Country A: United Kingdom</w:t>
            </w:r>
          </w:p>
        </w:tc>
        <w:tc>
          <w:tcPr>
            <w:tcW w:w="0" w:type="auto"/>
            <w:vAlign w:val="center"/>
            <w:hideMark/>
          </w:tcPr>
          <w:p w14:paraId="39380C2D" w14:textId="77777777" w:rsidR="00CD5453" w:rsidRPr="00FD298A" w:rsidRDefault="00CD5453" w:rsidP="00000181">
            <w:pPr>
              <w:spacing w:line="360" w:lineRule="auto"/>
              <w:jc w:val="center"/>
              <w:rPr>
                <w:rFonts w:ascii="Calibri" w:hAnsi="Calibri" w:cs="Calibri"/>
                <w:b/>
                <w:bCs/>
                <w:sz w:val="22"/>
                <w:szCs w:val="22"/>
              </w:rPr>
            </w:pPr>
            <w:r w:rsidRPr="00FD298A">
              <w:rPr>
                <w:rFonts w:ascii="Calibri" w:hAnsi="Calibri" w:cs="Calibri"/>
                <w:b/>
                <w:bCs/>
                <w:sz w:val="22"/>
                <w:szCs w:val="22"/>
              </w:rPr>
              <w:t>Country B: Germany</w:t>
            </w:r>
          </w:p>
        </w:tc>
        <w:tc>
          <w:tcPr>
            <w:tcW w:w="0" w:type="auto"/>
            <w:vAlign w:val="center"/>
            <w:hideMark/>
          </w:tcPr>
          <w:p w14:paraId="3637DCA9" w14:textId="77777777" w:rsidR="00CD5453" w:rsidRPr="00FD298A" w:rsidRDefault="00CD5453" w:rsidP="00000181">
            <w:pPr>
              <w:spacing w:line="360" w:lineRule="auto"/>
              <w:jc w:val="center"/>
              <w:rPr>
                <w:rFonts w:ascii="Calibri" w:hAnsi="Calibri" w:cs="Calibri"/>
                <w:b/>
                <w:bCs/>
                <w:sz w:val="22"/>
                <w:szCs w:val="22"/>
              </w:rPr>
            </w:pPr>
            <w:r w:rsidRPr="00FD298A">
              <w:rPr>
                <w:rFonts w:ascii="Calibri" w:hAnsi="Calibri" w:cs="Calibri"/>
                <w:b/>
                <w:bCs/>
                <w:sz w:val="22"/>
                <w:szCs w:val="22"/>
              </w:rPr>
              <w:t>Implications for BMW</w:t>
            </w:r>
          </w:p>
        </w:tc>
      </w:tr>
      <w:tr w:rsidR="00CD5453" w:rsidRPr="00FD298A" w14:paraId="132D3070" w14:textId="77777777" w:rsidTr="00000181">
        <w:trPr>
          <w:tblCellSpacing w:w="15" w:type="dxa"/>
        </w:trPr>
        <w:tc>
          <w:tcPr>
            <w:tcW w:w="1472" w:type="dxa"/>
            <w:vAlign w:val="center"/>
            <w:hideMark/>
          </w:tcPr>
          <w:p w14:paraId="147CD4E5"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Political</w:t>
            </w:r>
          </w:p>
        </w:tc>
        <w:tc>
          <w:tcPr>
            <w:tcW w:w="0" w:type="auto"/>
            <w:vAlign w:val="center"/>
            <w:hideMark/>
          </w:tcPr>
          <w:p w14:paraId="140020DF"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Brexit instability</w:t>
            </w:r>
          </w:p>
        </w:tc>
        <w:tc>
          <w:tcPr>
            <w:tcW w:w="0" w:type="auto"/>
            <w:vAlign w:val="center"/>
            <w:hideMark/>
          </w:tcPr>
          <w:p w14:paraId="63F9D005"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Stable industrial policies</w:t>
            </w:r>
          </w:p>
        </w:tc>
        <w:tc>
          <w:tcPr>
            <w:tcW w:w="0" w:type="auto"/>
            <w:vAlign w:val="center"/>
            <w:hideMark/>
          </w:tcPr>
          <w:p w14:paraId="01AE34D3"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Adapt supply chain vs leverage R&amp;D support</w:t>
            </w:r>
          </w:p>
        </w:tc>
      </w:tr>
      <w:tr w:rsidR="00CD5453" w:rsidRPr="00FD298A" w14:paraId="738D9EEA" w14:textId="77777777" w:rsidTr="00000181">
        <w:trPr>
          <w:tblCellSpacing w:w="15" w:type="dxa"/>
        </w:trPr>
        <w:tc>
          <w:tcPr>
            <w:tcW w:w="1472" w:type="dxa"/>
            <w:vAlign w:val="center"/>
            <w:hideMark/>
          </w:tcPr>
          <w:p w14:paraId="47A7EB7E"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Economic</w:t>
            </w:r>
          </w:p>
        </w:tc>
        <w:tc>
          <w:tcPr>
            <w:tcW w:w="0" w:type="auto"/>
            <w:vAlign w:val="center"/>
            <w:hideMark/>
          </w:tcPr>
          <w:p w14:paraId="1002111A"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Financing-driven demand</w:t>
            </w:r>
          </w:p>
        </w:tc>
        <w:tc>
          <w:tcPr>
            <w:tcW w:w="0" w:type="auto"/>
            <w:vAlign w:val="center"/>
            <w:hideMark/>
          </w:tcPr>
          <w:p w14:paraId="3A56BB22"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High purchasing power</w:t>
            </w:r>
          </w:p>
        </w:tc>
        <w:tc>
          <w:tcPr>
            <w:tcW w:w="0" w:type="auto"/>
            <w:vAlign w:val="center"/>
            <w:hideMark/>
          </w:tcPr>
          <w:p w14:paraId="2C55D308"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Promote affordability vs value engineering</w:t>
            </w:r>
          </w:p>
        </w:tc>
      </w:tr>
      <w:tr w:rsidR="00CD5453" w:rsidRPr="00FD298A" w14:paraId="7350F8D6" w14:textId="77777777" w:rsidTr="00000181">
        <w:trPr>
          <w:tblCellSpacing w:w="15" w:type="dxa"/>
        </w:trPr>
        <w:tc>
          <w:tcPr>
            <w:tcW w:w="1472" w:type="dxa"/>
            <w:vAlign w:val="center"/>
            <w:hideMark/>
          </w:tcPr>
          <w:p w14:paraId="1B165C04"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Social</w:t>
            </w:r>
          </w:p>
        </w:tc>
        <w:tc>
          <w:tcPr>
            <w:tcW w:w="0" w:type="auto"/>
            <w:vAlign w:val="center"/>
            <w:hideMark/>
          </w:tcPr>
          <w:p w14:paraId="43D4B33C"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Lifestyle, emotion, individualism</w:t>
            </w:r>
          </w:p>
        </w:tc>
        <w:tc>
          <w:tcPr>
            <w:tcW w:w="0" w:type="auto"/>
            <w:vAlign w:val="center"/>
            <w:hideMark/>
          </w:tcPr>
          <w:p w14:paraId="51ECDDF6"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Rationality, safety, precision</w:t>
            </w:r>
          </w:p>
        </w:tc>
        <w:tc>
          <w:tcPr>
            <w:tcW w:w="0" w:type="auto"/>
            <w:vAlign w:val="center"/>
            <w:hideMark/>
          </w:tcPr>
          <w:p w14:paraId="070C060E"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Emotional ads vs technical ads</w:t>
            </w:r>
          </w:p>
        </w:tc>
      </w:tr>
      <w:tr w:rsidR="00CD5453" w:rsidRPr="00FD298A" w14:paraId="775210AC" w14:textId="77777777" w:rsidTr="00000181">
        <w:trPr>
          <w:tblCellSpacing w:w="15" w:type="dxa"/>
        </w:trPr>
        <w:tc>
          <w:tcPr>
            <w:tcW w:w="1472" w:type="dxa"/>
            <w:vAlign w:val="center"/>
            <w:hideMark/>
          </w:tcPr>
          <w:p w14:paraId="04671AF6"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Technological</w:t>
            </w:r>
          </w:p>
        </w:tc>
        <w:tc>
          <w:tcPr>
            <w:tcW w:w="0" w:type="auto"/>
            <w:vAlign w:val="center"/>
            <w:hideMark/>
          </w:tcPr>
          <w:p w14:paraId="02821488"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Digital retail leadership</w:t>
            </w:r>
          </w:p>
        </w:tc>
        <w:tc>
          <w:tcPr>
            <w:tcW w:w="0" w:type="auto"/>
            <w:vAlign w:val="center"/>
            <w:hideMark/>
          </w:tcPr>
          <w:p w14:paraId="535A4B9E"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Engineering leadership</w:t>
            </w:r>
          </w:p>
        </w:tc>
        <w:tc>
          <w:tcPr>
            <w:tcW w:w="0" w:type="auto"/>
            <w:vAlign w:val="center"/>
            <w:hideMark/>
          </w:tcPr>
          <w:p w14:paraId="4A13DEAB"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UK digital innovation vs German R&amp;D</w:t>
            </w:r>
          </w:p>
        </w:tc>
      </w:tr>
      <w:tr w:rsidR="00CD5453" w:rsidRPr="00FD298A" w14:paraId="283142FB" w14:textId="77777777" w:rsidTr="00000181">
        <w:trPr>
          <w:tblCellSpacing w:w="15" w:type="dxa"/>
        </w:trPr>
        <w:tc>
          <w:tcPr>
            <w:tcW w:w="1472" w:type="dxa"/>
            <w:vAlign w:val="center"/>
            <w:hideMark/>
          </w:tcPr>
          <w:p w14:paraId="22568C6C"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lastRenderedPageBreak/>
              <w:t>Legal</w:t>
            </w:r>
          </w:p>
        </w:tc>
        <w:tc>
          <w:tcPr>
            <w:tcW w:w="0" w:type="auto"/>
            <w:vAlign w:val="center"/>
            <w:hideMark/>
          </w:tcPr>
          <w:p w14:paraId="6D55E179"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ASA standards, post-Brexit rules</w:t>
            </w:r>
          </w:p>
        </w:tc>
        <w:tc>
          <w:tcPr>
            <w:tcW w:w="0" w:type="auto"/>
            <w:vAlign w:val="center"/>
            <w:hideMark/>
          </w:tcPr>
          <w:p w14:paraId="12B7E1C9"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Strict EU standards</w:t>
            </w:r>
          </w:p>
        </w:tc>
        <w:tc>
          <w:tcPr>
            <w:tcW w:w="0" w:type="auto"/>
            <w:vAlign w:val="center"/>
            <w:hideMark/>
          </w:tcPr>
          <w:p w14:paraId="335D9531"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Market-specific compliance needed</w:t>
            </w:r>
          </w:p>
        </w:tc>
      </w:tr>
      <w:tr w:rsidR="00CD5453" w:rsidRPr="00FD298A" w14:paraId="7FB14762" w14:textId="77777777" w:rsidTr="00000181">
        <w:trPr>
          <w:tblCellSpacing w:w="15" w:type="dxa"/>
        </w:trPr>
        <w:tc>
          <w:tcPr>
            <w:tcW w:w="1472" w:type="dxa"/>
            <w:vAlign w:val="center"/>
            <w:hideMark/>
          </w:tcPr>
          <w:p w14:paraId="04E36A48"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Environmental</w:t>
            </w:r>
          </w:p>
        </w:tc>
        <w:tc>
          <w:tcPr>
            <w:tcW w:w="0" w:type="auto"/>
            <w:vAlign w:val="center"/>
            <w:hideMark/>
          </w:tcPr>
          <w:p w14:paraId="2371107E"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ICE ban 2035</w:t>
            </w:r>
          </w:p>
        </w:tc>
        <w:tc>
          <w:tcPr>
            <w:tcW w:w="0" w:type="auto"/>
            <w:vAlign w:val="center"/>
            <w:hideMark/>
          </w:tcPr>
          <w:p w14:paraId="43927E6D"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Sustainability focus</w:t>
            </w:r>
          </w:p>
        </w:tc>
        <w:tc>
          <w:tcPr>
            <w:tcW w:w="0" w:type="auto"/>
            <w:vAlign w:val="center"/>
            <w:hideMark/>
          </w:tcPr>
          <w:p w14:paraId="6608EE77"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Stronger EV positioning required</w:t>
            </w:r>
          </w:p>
        </w:tc>
      </w:tr>
    </w:tbl>
    <w:p w14:paraId="04244C47" w14:textId="77777777" w:rsidR="008A1DB1" w:rsidRDefault="008A1DB1" w:rsidP="00DE23A0">
      <w:pPr>
        <w:spacing w:line="360" w:lineRule="auto"/>
        <w:rPr>
          <w:rFonts w:ascii="Calibri" w:hAnsi="Calibri" w:cs="Calibri"/>
          <w:sz w:val="22"/>
          <w:szCs w:val="22"/>
        </w:rPr>
      </w:pPr>
    </w:p>
    <w:p w14:paraId="5CDF1F64" w14:textId="77777777" w:rsidR="00CD5453" w:rsidRDefault="00CD5453" w:rsidP="00DE23A0">
      <w:pPr>
        <w:spacing w:line="360" w:lineRule="auto"/>
        <w:rPr>
          <w:rFonts w:ascii="Calibri" w:hAnsi="Calibri" w:cs="Calibri"/>
          <w:sz w:val="22"/>
          <w:szCs w:val="22"/>
        </w:rPr>
      </w:pPr>
    </w:p>
    <w:p w14:paraId="5FB80DBE" w14:textId="10EC9945" w:rsidR="00CD5453" w:rsidRDefault="00724B85" w:rsidP="00DE23A0">
      <w:pPr>
        <w:spacing w:line="360" w:lineRule="auto"/>
        <w:rPr>
          <w:rFonts w:ascii="Calibri" w:hAnsi="Calibri" w:cs="Calibri"/>
          <w:sz w:val="22"/>
          <w:szCs w:val="22"/>
        </w:rPr>
      </w:pPr>
      <w:r w:rsidRPr="00724B85">
        <w:rPr>
          <w:rFonts w:ascii="Calibri" w:hAnsi="Calibri" w:cs="Calibri"/>
          <w:sz w:val="22"/>
          <w:szCs w:val="22"/>
        </w:rPr>
        <w:t>Source: Mintel (2023); BMW Group (2023); UK Government (2024); Statista (2024a); PwC (2024).</w:t>
      </w:r>
    </w:p>
    <w:p w14:paraId="5B324405" w14:textId="77777777" w:rsidR="00CD5453" w:rsidRDefault="00CD5453" w:rsidP="00DE23A0">
      <w:pPr>
        <w:spacing w:line="360" w:lineRule="auto"/>
        <w:rPr>
          <w:rFonts w:ascii="Calibri" w:hAnsi="Calibri" w:cs="Calibri"/>
          <w:sz w:val="22"/>
          <w:szCs w:val="22"/>
        </w:rPr>
      </w:pPr>
    </w:p>
    <w:p w14:paraId="6855223C" w14:textId="77777777" w:rsidR="00CD5453" w:rsidRDefault="00CD5453" w:rsidP="00DE23A0">
      <w:pPr>
        <w:spacing w:line="360" w:lineRule="auto"/>
        <w:rPr>
          <w:rFonts w:ascii="Calibri" w:hAnsi="Calibri" w:cs="Calibri"/>
          <w:sz w:val="22"/>
          <w:szCs w:val="22"/>
        </w:rPr>
      </w:pPr>
    </w:p>
    <w:p w14:paraId="53D6018A" w14:textId="77777777" w:rsidR="00CD5453" w:rsidRDefault="00CD5453" w:rsidP="00DE23A0">
      <w:pPr>
        <w:spacing w:line="360" w:lineRule="auto"/>
        <w:rPr>
          <w:rFonts w:ascii="Calibri" w:hAnsi="Calibri" w:cs="Calibri"/>
          <w:sz w:val="22"/>
          <w:szCs w:val="22"/>
        </w:rPr>
      </w:pPr>
    </w:p>
    <w:p w14:paraId="03729C02" w14:textId="77777777" w:rsidR="00CD5453" w:rsidRDefault="00CD5453" w:rsidP="00DE23A0">
      <w:pPr>
        <w:spacing w:line="360" w:lineRule="auto"/>
        <w:rPr>
          <w:rFonts w:ascii="Calibri" w:hAnsi="Calibri" w:cs="Calibri"/>
          <w:sz w:val="22"/>
          <w:szCs w:val="22"/>
        </w:rPr>
      </w:pPr>
    </w:p>
    <w:p w14:paraId="149F856D" w14:textId="77777777" w:rsidR="00CD5453" w:rsidRDefault="00CD5453" w:rsidP="00DE23A0">
      <w:pPr>
        <w:spacing w:line="360" w:lineRule="auto"/>
        <w:rPr>
          <w:rFonts w:ascii="Calibri" w:hAnsi="Calibri" w:cs="Calibri"/>
          <w:sz w:val="22"/>
          <w:szCs w:val="22"/>
        </w:rPr>
      </w:pPr>
    </w:p>
    <w:p w14:paraId="75E6969F" w14:textId="77777777" w:rsidR="00CD5453" w:rsidRDefault="00CD5453" w:rsidP="00DE23A0">
      <w:pPr>
        <w:spacing w:line="360" w:lineRule="auto"/>
        <w:rPr>
          <w:rFonts w:ascii="Calibri" w:hAnsi="Calibri" w:cs="Calibri"/>
          <w:sz w:val="22"/>
          <w:szCs w:val="22"/>
        </w:rPr>
      </w:pPr>
    </w:p>
    <w:p w14:paraId="27F33F60" w14:textId="77777777" w:rsidR="00CD5453" w:rsidRDefault="00CD5453" w:rsidP="00DE23A0">
      <w:pPr>
        <w:spacing w:line="360" w:lineRule="auto"/>
        <w:rPr>
          <w:rFonts w:ascii="Calibri" w:hAnsi="Calibri" w:cs="Calibri"/>
          <w:sz w:val="22"/>
          <w:szCs w:val="22"/>
        </w:rPr>
      </w:pPr>
    </w:p>
    <w:p w14:paraId="711BBC2E" w14:textId="77777777" w:rsidR="00CD5453" w:rsidRDefault="00CD5453" w:rsidP="00DE23A0">
      <w:pPr>
        <w:spacing w:line="360" w:lineRule="auto"/>
        <w:rPr>
          <w:rFonts w:ascii="Calibri" w:hAnsi="Calibri" w:cs="Calibri"/>
          <w:sz w:val="22"/>
          <w:szCs w:val="22"/>
        </w:rPr>
      </w:pPr>
    </w:p>
    <w:p w14:paraId="6E9B57CB" w14:textId="77777777" w:rsidR="00CD5453" w:rsidRDefault="00CD5453" w:rsidP="00DE23A0">
      <w:pPr>
        <w:spacing w:line="360" w:lineRule="auto"/>
        <w:rPr>
          <w:rFonts w:ascii="Calibri" w:hAnsi="Calibri" w:cs="Calibri"/>
          <w:sz w:val="22"/>
          <w:szCs w:val="22"/>
        </w:rPr>
      </w:pPr>
    </w:p>
    <w:p w14:paraId="5B001620" w14:textId="77777777" w:rsidR="00CD5453" w:rsidRDefault="00CD5453" w:rsidP="00DE23A0">
      <w:pPr>
        <w:spacing w:line="360" w:lineRule="auto"/>
        <w:rPr>
          <w:rFonts w:ascii="Calibri" w:hAnsi="Calibri" w:cs="Calibri"/>
          <w:sz w:val="22"/>
          <w:szCs w:val="22"/>
        </w:rPr>
      </w:pPr>
    </w:p>
    <w:p w14:paraId="7E4BE744" w14:textId="77777777" w:rsidR="00CD5453" w:rsidRDefault="00CD5453" w:rsidP="00DE23A0">
      <w:pPr>
        <w:spacing w:line="360" w:lineRule="auto"/>
        <w:rPr>
          <w:rFonts w:ascii="Calibri" w:hAnsi="Calibri" w:cs="Calibri"/>
          <w:sz w:val="22"/>
          <w:szCs w:val="22"/>
        </w:rPr>
      </w:pPr>
    </w:p>
    <w:p w14:paraId="70F63868" w14:textId="77777777" w:rsidR="00CD5453" w:rsidRDefault="00CD5453" w:rsidP="00DE23A0">
      <w:pPr>
        <w:spacing w:line="360" w:lineRule="auto"/>
        <w:rPr>
          <w:rFonts w:ascii="Calibri" w:hAnsi="Calibri" w:cs="Calibri"/>
          <w:sz w:val="22"/>
          <w:szCs w:val="22"/>
        </w:rPr>
      </w:pPr>
    </w:p>
    <w:p w14:paraId="70E16AF2" w14:textId="77777777" w:rsidR="00CD5453" w:rsidRDefault="00CD5453" w:rsidP="00DE23A0">
      <w:pPr>
        <w:spacing w:line="360" w:lineRule="auto"/>
        <w:rPr>
          <w:rFonts w:ascii="Calibri" w:hAnsi="Calibri" w:cs="Calibri"/>
          <w:sz w:val="22"/>
          <w:szCs w:val="22"/>
        </w:rPr>
      </w:pPr>
    </w:p>
    <w:p w14:paraId="6ED458A4" w14:textId="77777777" w:rsidR="00CD5453" w:rsidRDefault="00CD5453" w:rsidP="00DE23A0">
      <w:pPr>
        <w:spacing w:line="360" w:lineRule="auto"/>
        <w:rPr>
          <w:rFonts w:ascii="Calibri" w:hAnsi="Calibri" w:cs="Calibri"/>
          <w:sz w:val="22"/>
          <w:szCs w:val="22"/>
        </w:rPr>
      </w:pPr>
    </w:p>
    <w:p w14:paraId="795217A5" w14:textId="77777777" w:rsidR="00CD5453" w:rsidRDefault="00CD5453" w:rsidP="00DE23A0">
      <w:pPr>
        <w:spacing w:line="360" w:lineRule="auto"/>
        <w:rPr>
          <w:rFonts w:ascii="Calibri" w:hAnsi="Calibri" w:cs="Calibri"/>
          <w:sz w:val="22"/>
          <w:szCs w:val="22"/>
        </w:rPr>
      </w:pPr>
    </w:p>
    <w:p w14:paraId="08D00262" w14:textId="04AD3704" w:rsidR="00DE23A0" w:rsidRPr="008A1DB1" w:rsidRDefault="00DE23A0" w:rsidP="00DE23A0">
      <w:pPr>
        <w:spacing w:line="360" w:lineRule="auto"/>
        <w:rPr>
          <w:rFonts w:ascii="Calibri" w:hAnsi="Calibri" w:cs="Calibri"/>
          <w:b/>
          <w:bCs/>
          <w:sz w:val="32"/>
          <w:szCs w:val="32"/>
        </w:rPr>
      </w:pPr>
      <w:r w:rsidRPr="008A1DB1">
        <w:rPr>
          <w:rFonts w:ascii="Calibri" w:hAnsi="Calibri" w:cs="Calibri"/>
          <w:b/>
          <w:bCs/>
          <w:sz w:val="32"/>
          <w:szCs w:val="32"/>
        </w:rPr>
        <w:lastRenderedPageBreak/>
        <w:t>COMPARISON OF STP STRATEGIES IN COUNTRY A AND COUNTRY B</w:t>
      </w:r>
    </w:p>
    <w:p w14:paraId="2EF80D4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Segmentation, Targeting, and Positioning (STP) framework is central to understanding how BMW adapts its marketing strategies across international markets. BMW’s premium brand identity is globally consistent; however, the way the company segments consumers, identifies target groups, and positions its products varies significantly between the United Kingdom (Country A) and Germany (Country B) (Kantar BrandZ, 2024). These differences reflect local socio-cultural values, economic conditions, and consumer expectations.</w:t>
      </w:r>
    </w:p>
    <w:p w14:paraId="7D21D53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section compares BMW’s STP strategies in the UK and Germany, highlighting similarities, differences, and strategic implications.</w:t>
      </w:r>
    </w:p>
    <w:p w14:paraId="15FDDEA6" w14:textId="77777777" w:rsidR="00DE23A0" w:rsidRPr="00CD5453" w:rsidRDefault="00DE23A0" w:rsidP="00DE23A0">
      <w:pPr>
        <w:spacing w:line="360" w:lineRule="auto"/>
        <w:rPr>
          <w:rFonts w:ascii="Calibri" w:hAnsi="Calibri" w:cs="Calibri"/>
          <w:b/>
          <w:bCs/>
          <w:sz w:val="22"/>
          <w:szCs w:val="22"/>
        </w:rPr>
      </w:pPr>
      <w:r w:rsidRPr="00CD5453">
        <w:rPr>
          <w:rFonts w:ascii="Calibri" w:hAnsi="Calibri" w:cs="Calibri"/>
          <w:b/>
          <w:bCs/>
          <w:sz w:val="22"/>
          <w:szCs w:val="22"/>
        </w:rPr>
        <w:t>Segmentation</w:t>
      </w:r>
    </w:p>
    <w:p w14:paraId="4753525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uses a combination of demographic, psychographic, behavioural, and geographic segmentation to identify suitable consumer groups. While the overall segmentation approach is similar in both countries, the emphasis differs according to local market characteristics.</w:t>
      </w:r>
    </w:p>
    <w:p w14:paraId="628B54E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Country A (United Kingdom)</w:t>
      </w:r>
    </w:p>
    <w:p w14:paraId="16453F0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Segmentation in the UK is strongly centred around psychographic and behavioural factors. UK consumers commonly view premium automotive brands as an extension of their personal identity (Mintel, 2023). As a result, BMW identifies segments that value prestige, lifestyle expression, comfort, advanced digital features, and brand symbolism.</w:t>
      </w:r>
    </w:p>
    <w:p w14:paraId="79905F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UK segmentation characteristics include:</w:t>
      </w:r>
    </w:p>
    <w:p w14:paraId="3299E4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Demographic: professionals aged 25–55, high-income earners, urban dwellers</w:t>
      </w:r>
    </w:p>
    <w:p w14:paraId="54CD0C8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Psychographic: aspirational consumers, status-driven, emotionally motivated</w:t>
      </w:r>
    </w:p>
    <w:p w14:paraId="59673F4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Behavioural: strong reliance on PCP financing, interest in digital retail, preference for convenience</w:t>
      </w:r>
    </w:p>
    <w:p w14:paraId="68F49B7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Geographic: strong demand in metropolitan areas such as London, Manchester, and Birmingham</w:t>
      </w:r>
    </w:p>
    <w:p w14:paraId="0AFD991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segmentation aligns closely with UK cultural traits such as high individualism and the desire for lifestyle differentiation.</w:t>
      </w:r>
    </w:p>
    <w:p w14:paraId="3DE71EA3" w14:textId="77777777" w:rsidR="00DE23A0" w:rsidRPr="00DE23A0" w:rsidRDefault="00DE23A0" w:rsidP="00DE23A0">
      <w:pPr>
        <w:spacing w:line="360" w:lineRule="auto"/>
        <w:rPr>
          <w:rFonts w:ascii="Calibri" w:hAnsi="Calibri" w:cs="Calibri"/>
          <w:sz w:val="22"/>
          <w:szCs w:val="22"/>
        </w:rPr>
      </w:pPr>
    </w:p>
    <w:p w14:paraId="668F22C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Country B (Germany)</w:t>
      </w:r>
    </w:p>
    <w:p w14:paraId="1C36757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segmentation leans strongly toward demographic and behavioural rationality. German consumers emphasise technical performance, engineering reliability, and value for money (Statista, 2024a). They demand detailed product information and prioritise functional attributes over emotional storytelling.</w:t>
      </w:r>
    </w:p>
    <w:p w14:paraId="704597D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German segmentation characteristics include:</w:t>
      </w:r>
    </w:p>
    <w:p w14:paraId="38DF211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Demographic: professionals aged 30–60, engineers, high-income families, fleet buyers</w:t>
      </w:r>
    </w:p>
    <w:p w14:paraId="630577A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Psychographic: rational, quality-oriented, risk-averse</w:t>
      </w:r>
    </w:p>
    <w:p w14:paraId="63CC04A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Behavioural: interest in technical specifications, safety, and efficiency; higher propensity for outright purchase or structured leasing</w:t>
      </w:r>
    </w:p>
    <w:p w14:paraId="24DB635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Geographic: strong demand in Bavaria, Baden-Württemberg, and industrial hubs</w:t>
      </w:r>
    </w:p>
    <w:p w14:paraId="0F7EF74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segmentation reflects Hofstede’s cultural traits of high uncertainty avoidance, stronger long-term orientation, and preference for precision.</w:t>
      </w:r>
    </w:p>
    <w:p w14:paraId="14E1C74C" w14:textId="77777777" w:rsidR="00DE23A0" w:rsidRPr="00DE23A0" w:rsidRDefault="00DE23A0" w:rsidP="00DE23A0">
      <w:pPr>
        <w:spacing w:line="360" w:lineRule="auto"/>
        <w:rPr>
          <w:rFonts w:ascii="Calibri" w:hAnsi="Calibri" w:cs="Calibri"/>
          <w:sz w:val="22"/>
          <w:szCs w:val="22"/>
        </w:rPr>
      </w:pPr>
    </w:p>
    <w:p w14:paraId="34A77A4A" w14:textId="77777777" w:rsidR="00DE23A0" w:rsidRPr="00CD5453" w:rsidRDefault="00DE23A0" w:rsidP="00DE23A0">
      <w:pPr>
        <w:spacing w:line="360" w:lineRule="auto"/>
        <w:rPr>
          <w:rFonts w:ascii="Calibri" w:hAnsi="Calibri" w:cs="Calibri"/>
          <w:b/>
          <w:bCs/>
          <w:sz w:val="22"/>
          <w:szCs w:val="22"/>
        </w:rPr>
      </w:pPr>
      <w:r w:rsidRPr="00CD5453">
        <w:rPr>
          <w:rFonts w:ascii="Calibri" w:hAnsi="Calibri" w:cs="Calibri"/>
          <w:b/>
          <w:bCs/>
          <w:sz w:val="22"/>
          <w:szCs w:val="22"/>
        </w:rPr>
        <w:t>Targeting</w:t>
      </w:r>
    </w:p>
    <w:p w14:paraId="180B2DE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targets affluent, professional consumers in both markets, but the core motivations and communication strategies differ.</w:t>
      </w:r>
    </w:p>
    <w:p w14:paraId="7FEC68D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Targeting in the UK</w:t>
      </w:r>
    </w:p>
    <w:p w14:paraId="2B7E878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primarily targets individuals seeking a prestigious, stylish, and technologically advanced vehicle. These include young professionals and middle-to-upper-income earners who aspire to own a premium brand. BMW also targets digital-first consumers who engage heavily through online platforms.</w:t>
      </w:r>
    </w:p>
    <w:p w14:paraId="3021F8E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Financial accessibility through PCP is central to the UK targeting strategy. Marketing messages frequently highlight low monthly payments, making premium vehicles appear more accessible to aspirational consumers.</w:t>
      </w:r>
    </w:p>
    <w:p w14:paraId="22573606" w14:textId="77777777" w:rsidR="00DE23A0" w:rsidRPr="00DE23A0" w:rsidRDefault="00DE23A0" w:rsidP="00DE23A0">
      <w:pPr>
        <w:spacing w:line="360" w:lineRule="auto"/>
        <w:rPr>
          <w:rFonts w:ascii="Calibri" w:hAnsi="Calibri" w:cs="Calibri"/>
          <w:sz w:val="22"/>
          <w:szCs w:val="22"/>
        </w:rPr>
      </w:pPr>
    </w:p>
    <w:p w14:paraId="06C0582E" w14:textId="77777777" w:rsidR="00DE23A0" w:rsidRPr="00DE23A0" w:rsidRDefault="00DE23A0" w:rsidP="00DE23A0">
      <w:pPr>
        <w:spacing w:line="360" w:lineRule="auto"/>
        <w:rPr>
          <w:rFonts w:ascii="Calibri" w:hAnsi="Calibri" w:cs="Calibri"/>
          <w:sz w:val="22"/>
          <w:szCs w:val="22"/>
        </w:rPr>
      </w:pPr>
    </w:p>
    <w:p w14:paraId="1C03819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Targeting in Germany</w:t>
      </w:r>
    </w:p>
    <w:p w14:paraId="4D8ECC5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BMW targets highly rational, quality-driven consumers and corporate fleet buyers. These customers value engineering reliability, brand heritage, and long-term durability.</w:t>
      </w:r>
    </w:p>
    <w:p w14:paraId="7A4189E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targeting is structured around:</w:t>
      </w:r>
    </w:p>
    <w:p w14:paraId="3F53750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Long-term owners</w:t>
      </w:r>
    </w:p>
    <w:p w14:paraId="7FBC490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enthusiasts</w:t>
      </w:r>
    </w:p>
    <w:p w14:paraId="75499A8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Families seeking safety and durability</w:t>
      </w:r>
    </w:p>
    <w:p w14:paraId="23BB28B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Corporate buyers selecting fleet vehicles for employee mobility</w:t>
      </w:r>
    </w:p>
    <w:p w14:paraId="5E15699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Marketing messages emphasise precision engineering, performance efficiency, and technological advancement.</w:t>
      </w:r>
    </w:p>
    <w:p w14:paraId="76819F46" w14:textId="77777777" w:rsidR="00DE23A0" w:rsidRPr="00DE23A0" w:rsidRDefault="00DE23A0" w:rsidP="00DE23A0">
      <w:pPr>
        <w:spacing w:line="360" w:lineRule="auto"/>
        <w:rPr>
          <w:rFonts w:ascii="Calibri" w:hAnsi="Calibri" w:cs="Calibri"/>
          <w:sz w:val="22"/>
          <w:szCs w:val="22"/>
        </w:rPr>
      </w:pPr>
    </w:p>
    <w:p w14:paraId="65C82834" w14:textId="77777777" w:rsidR="00DE23A0" w:rsidRPr="003260CC" w:rsidRDefault="00DE23A0" w:rsidP="00DE23A0">
      <w:pPr>
        <w:spacing w:line="360" w:lineRule="auto"/>
        <w:rPr>
          <w:rFonts w:ascii="Calibri" w:hAnsi="Calibri" w:cs="Calibri"/>
          <w:b/>
          <w:bCs/>
          <w:sz w:val="22"/>
          <w:szCs w:val="22"/>
        </w:rPr>
      </w:pPr>
      <w:r w:rsidRPr="003260CC">
        <w:rPr>
          <w:rFonts w:ascii="Calibri" w:hAnsi="Calibri" w:cs="Calibri"/>
          <w:b/>
          <w:bCs/>
          <w:sz w:val="22"/>
          <w:szCs w:val="22"/>
        </w:rPr>
        <w:t>Positioning</w:t>
      </w:r>
    </w:p>
    <w:p w14:paraId="4ABB42C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Positioning refers to how BMW differentiates itself within the competitive landscape of each market.</w:t>
      </w:r>
    </w:p>
    <w:p w14:paraId="0CFCED9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Positioning in Country A (United Kingdom)</w:t>
      </w:r>
    </w:p>
    <w:p w14:paraId="5E33568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is positioned as a premium lifestyle brand in the UK, emphasising:</w:t>
      </w:r>
    </w:p>
    <w:p w14:paraId="728C4ED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Emotional appeal</w:t>
      </w:r>
    </w:p>
    <w:p w14:paraId="0BBA66D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Stylish design</w:t>
      </w:r>
    </w:p>
    <w:p w14:paraId="090888B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Driving experience</w:t>
      </w:r>
    </w:p>
    <w:p w14:paraId="2770E3C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Digital innovation</w:t>
      </w:r>
    </w:p>
    <w:p w14:paraId="30DF8F0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Personal expression</w:t>
      </w:r>
    </w:p>
    <w:p w14:paraId="0B7EE6C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advertisements typically show aspirational imagery, urban environments, young professionals, and lifestyle narratives. For example, BMW UK’s campaigns for the i4 frequently include London cityscapes accompanied by lifestyle-focused messages such as “The Future Feels Electric.”</w:t>
      </w:r>
    </w:p>
    <w:p w14:paraId="1E68DF2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This positioning resonates with UK consumers’ desire for individuality and prestige.</w:t>
      </w:r>
    </w:p>
    <w:p w14:paraId="38449F40" w14:textId="77777777" w:rsidR="00DE23A0" w:rsidRPr="00DE23A0" w:rsidRDefault="00DE23A0" w:rsidP="00DE23A0">
      <w:pPr>
        <w:spacing w:line="360" w:lineRule="auto"/>
        <w:rPr>
          <w:rFonts w:ascii="Calibri" w:hAnsi="Calibri" w:cs="Calibri"/>
          <w:sz w:val="22"/>
          <w:szCs w:val="22"/>
        </w:rPr>
      </w:pPr>
    </w:p>
    <w:p w14:paraId="3B9E1EC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Positioning in Country B (Germany)</w:t>
      </w:r>
    </w:p>
    <w:p w14:paraId="3C10CCC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BMW is positioned as a precision-engineered, technologically superior automotive brand. German advertisements emphasise:</w:t>
      </w:r>
    </w:p>
    <w:p w14:paraId="6B8BF4F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Safety</w:t>
      </w:r>
    </w:p>
    <w:p w14:paraId="73423E7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Performance metrics</w:t>
      </w:r>
    </w:p>
    <w:p w14:paraId="4F6329A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 detail</w:t>
      </w:r>
    </w:p>
    <w:p w14:paraId="2A42D8F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Durability</w:t>
      </w:r>
    </w:p>
    <w:p w14:paraId="6189827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Efficiency</w:t>
      </w:r>
    </w:p>
    <w:p w14:paraId="7360200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Germany frequently uses technical demonstrations, drivetrain visualisations, and efficiency charts in its marketing communications. This technical and rational positioning aligns with German market expectations and cultural values</w:t>
      </w:r>
    </w:p>
    <w:p w14:paraId="49B95082" w14:textId="77777777" w:rsidR="00DE23A0" w:rsidRPr="00DE23A0" w:rsidRDefault="00DE23A0" w:rsidP="00DE23A0">
      <w:pPr>
        <w:spacing w:line="360" w:lineRule="auto"/>
        <w:rPr>
          <w:rFonts w:ascii="Calibri" w:hAnsi="Calibri" w:cs="Calibri"/>
          <w:sz w:val="22"/>
          <w:szCs w:val="22"/>
        </w:rPr>
      </w:pPr>
    </w:p>
    <w:p w14:paraId="65526C42" w14:textId="77777777" w:rsidR="00DE23A0" w:rsidRPr="00724B85" w:rsidRDefault="00DE23A0" w:rsidP="00DE23A0">
      <w:pPr>
        <w:spacing w:line="360" w:lineRule="auto"/>
        <w:rPr>
          <w:rFonts w:ascii="Calibri" w:hAnsi="Calibri" w:cs="Calibri"/>
          <w:b/>
          <w:bCs/>
          <w:sz w:val="22"/>
          <w:szCs w:val="22"/>
        </w:rPr>
      </w:pPr>
      <w:r w:rsidRPr="00724B85">
        <w:rPr>
          <w:rFonts w:ascii="Calibri" w:hAnsi="Calibri" w:cs="Calibri"/>
          <w:b/>
          <w:bCs/>
          <w:sz w:val="22"/>
          <w:szCs w:val="22"/>
        </w:rPr>
        <w:t xml:space="preserve">Summary of STP Differences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37"/>
        <w:gridCol w:w="3754"/>
        <w:gridCol w:w="4259"/>
      </w:tblGrid>
      <w:tr w:rsidR="00110BC4" w:rsidRPr="00124567" w14:paraId="74E3DE50" w14:textId="77777777" w:rsidTr="00000181">
        <w:trPr>
          <w:tblHeader/>
          <w:tblCellSpacing w:w="15" w:type="dxa"/>
          <w:jc w:val="center"/>
        </w:trPr>
        <w:tc>
          <w:tcPr>
            <w:tcW w:w="0" w:type="auto"/>
            <w:vAlign w:val="center"/>
            <w:hideMark/>
          </w:tcPr>
          <w:p w14:paraId="2D359DE6" w14:textId="77777777" w:rsidR="00110BC4" w:rsidRPr="00124567" w:rsidRDefault="00110BC4" w:rsidP="00724B85">
            <w:pPr>
              <w:jc w:val="center"/>
              <w:rPr>
                <w:rFonts w:ascii="Calibri" w:hAnsi="Calibri" w:cs="Calibri"/>
                <w:b/>
                <w:bCs/>
                <w:sz w:val="22"/>
                <w:szCs w:val="22"/>
              </w:rPr>
            </w:pPr>
            <w:r w:rsidRPr="00124567">
              <w:rPr>
                <w:rFonts w:ascii="Calibri" w:hAnsi="Calibri" w:cs="Calibri"/>
                <w:b/>
                <w:bCs/>
                <w:sz w:val="22"/>
                <w:szCs w:val="22"/>
              </w:rPr>
              <w:t>STP Element</w:t>
            </w:r>
          </w:p>
        </w:tc>
        <w:tc>
          <w:tcPr>
            <w:tcW w:w="0" w:type="auto"/>
            <w:vAlign w:val="center"/>
            <w:hideMark/>
          </w:tcPr>
          <w:p w14:paraId="7CF740FD" w14:textId="77777777" w:rsidR="00110BC4" w:rsidRPr="00124567" w:rsidRDefault="00110BC4" w:rsidP="00724B85">
            <w:pPr>
              <w:jc w:val="center"/>
              <w:rPr>
                <w:rFonts w:ascii="Calibri" w:hAnsi="Calibri" w:cs="Calibri"/>
                <w:b/>
                <w:bCs/>
                <w:sz w:val="22"/>
                <w:szCs w:val="22"/>
              </w:rPr>
            </w:pPr>
            <w:r w:rsidRPr="00124567">
              <w:rPr>
                <w:rFonts w:ascii="Calibri" w:hAnsi="Calibri" w:cs="Calibri"/>
                <w:b/>
                <w:bCs/>
                <w:sz w:val="22"/>
                <w:szCs w:val="22"/>
              </w:rPr>
              <w:t>United Kingdom (Country A)</w:t>
            </w:r>
          </w:p>
        </w:tc>
        <w:tc>
          <w:tcPr>
            <w:tcW w:w="0" w:type="auto"/>
            <w:vAlign w:val="center"/>
            <w:hideMark/>
          </w:tcPr>
          <w:p w14:paraId="34853235" w14:textId="77777777" w:rsidR="00110BC4" w:rsidRPr="00124567" w:rsidRDefault="00110BC4" w:rsidP="00724B85">
            <w:pPr>
              <w:jc w:val="center"/>
              <w:rPr>
                <w:rFonts w:ascii="Calibri" w:hAnsi="Calibri" w:cs="Calibri"/>
                <w:b/>
                <w:bCs/>
                <w:sz w:val="22"/>
                <w:szCs w:val="22"/>
              </w:rPr>
            </w:pPr>
            <w:r w:rsidRPr="00124567">
              <w:rPr>
                <w:rFonts w:ascii="Calibri" w:hAnsi="Calibri" w:cs="Calibri"/>
                <w:b/>
                <w:bCs/>
                <w:sz w:val="22"/>
                <w:szCs w:val="22"/>
              </w:rPr>
              <w:t>Germany (Country B)</w:t>
            </w:r>
          </w:p>
        </w:tc>
      </w:tr>
      <w:tr w:rsidR="00110BC4" w:rsidRPr="00124567" w14:paraId="329922E6" w14:textId="77777777" w:rsidTr="00000181">
        <w:trPr>
          <w:tblCellSpacing w:w="15" w:type="dxa"/>
          <w:jc w:val="center"/>
        </w:trPr>
        <w:tc>
          <w:tcPr>
            <w:tcW w:w="0" w:type="auto"/>
            <w:vAlign w:val="center"/>
            <w:hideMark/>
          </w:tcPr>
          <w:p w14:paraId="64D492B4"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Segmentation</w:t>
            </w:r>
          </w:p>
        </w:tc>
        <w:tc>
          <w:tcPr>
            <w:tcW w:w="0" w:type="auto"/>
            <w:vAlign w:val="center"/>
            <w:hideMark/>
          </w:tcPr>
          <w:p w14:paraId="4A0CF61B"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Aspirational, emotional, lifestyle-based</w:t>
            </w:r>
            <w:r w:rsidRPr="00FF51E2">
              <w:rPr>
                <w:rFonts w:ascii="Calibri" w:hAnsi="Calibri" w:cs="Calibri"/>
                <w:sz w:val="22"/>
                <w:szCs w:val="22"/>
              </w:rPr>
              <w:t xml:space="preserve"> (Mintel, 2023)</w:t>
            </w:r>
          </w:p>
        </w:tc>
        <w:tc>
          <w:tcPr>
            <w:tcW w:w="0" w:type="auto"/>
            <w:vAlign w:val="center"/>
            <w:hideMark/>
          </w:tcPr>
          <w:p w14:paraId="6E4A472B"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Rational, performance-focused, engineering-based</w:t>
            </w:r>
            <w:r>
              <w:rPr>
                <w:rFonts w:ascii="Calibri" w:hAnsi="Calibri" w:cs="Calibri"/>
                <w:sz w:val="22"/>
                <w:szCs w:val="22"/>
              </w:rPr>
              <w:t xml:space="preserve"> </w:t>
            </w:r>
            <w:r w:rsidRPr="00FF51E2">
              <w:rPr>
                <w:rFonts w:ascii="Calibri" w:hAnsi="Calibri" w:cs="Calibri"/>
                <w:sz w:val="22"/>
                <w:szCs w:val="22"/>
              </w:rPr>
              <w:t>(Statista, 2024a)</w:t>
            </w:r>
          </w:p>
        </w:tc>
      </w:tr>
      <w:tr w:rsidR="00110BC4" w:rsidRPr="00124567" w14:paraId="70B1167D" w14:textId="77777777" w:rsidTr="00000181">
        <w:trPr>
          <w:tblCellSpacing w:w="15" w:type="dxa"/>
          <w:jc w:val="center"/>
        </w:trPr>
        <w:tc>
          <w:tcPr>
            <w:tcW w:w="0" w:type="auto"/>
            <w:vAlign w:val="center"/>
            <w:hideMark/>
          </w:tcPr>
          <w:p w14:paraId="37DCA926"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Targeting</w:t>
            </w:r>
          </w:p>
        </w:tc>
        <w:tc>
          <w:tcPr>
            <w:tcW w:w="0" w:type="auto"/>
            <w:vAlign w:val="center"/>
            <w:hideMark/>
          </w:tcPr>
          <w:p w14:paraId="2751D73F"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Young professionals; digital-first consumers; PCP users</w:t>
            </w:r>
          </w:p>
        </w:tc>
        <w:tc>
          <w:tcPr>
            <w:tcW w:w="0" w:type="auto"/>
            <w:vAlign w:val="center"/>
            <w:hideMark/>
          </w:tcPr>
          <w:p w14:paraId="09BB4775"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Families, professionals, technical enthusiasts, fleet buyers</w:t>
            </w:r>
          </w:p>
        </w:tc>
      </w:tr>
      <w:tr w:rsidR="00110BC4" w:rsidRPr="00124567" w14:paraId="09DE8DE4" w14:textId="77777777" w:rsidTr="00000181">
        <w:trPr>
          <w:tblCellSpacing w:w="15" w:type="dxa"/>
          <w:jc w:val="center"/>
        </w:trPr>
        <w:tc>
          <w:tcPr>
            <w:tcW w:w="0" w:type="auto"/>
            <w:vAlign w:val="center"/>
            <w:hideMark/>
          </w:tcPr>
          <w:p w14:paraId="54B8A216"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Positioning</w:t>
            </w:r>
          </w:p>
        </w:tc>
        <w:tc>
          <w:tcPr>
            <w:tcW w:w="0" w:type="auto"/>
            <w:vAlign w:val="center"/>
            <w:hideMark/>
          </w:tcPr>
          <w:p w14:paraId="4A2EF664"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Premium lifestyle brand emphasising emotion and identity</w:t>
            </w:r>
          </w:p>
        </w:tc>
        <w:tc>
          <w:tcPr>
            <w:tcW w:w="0" w:type="auto"/>
            <w:vAlign w:val="center"/>
            <w:hideMark/>
          </w:tcPr>
          <w:p w14:paraId="06AF305A"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Engineering excellence, technical precision, performance</w:t>
            </w:r>
          </w:p>
        </w:tc>
      </w:tr>
    </w:tbl>
    <w:p w14:paraId="55C318C3" w14:textId="77777777" w:rsidR="00DE23A0" w:rsidRPr="00DE23A0" w:rsidRDefault="00DE23A0" w:rsidP="00DE23A0">
      <w:pPr>
        <w:spacing w:line="360" w:lineRule="auto"/>
        <w:rPr>
          <w:rFonts w:ascii="Calibri" w:hAnsi="Calibri" w:cs="Calibri"/>
          <w:sz w:val="22"/>
          <w:szCs w:val="22"/>
        </w:rPr>
      </w:pPr>
    </w:p>
    <w:p w14:paraId="3899C5BC" w14:textId="77777777" w:rsidR="00DE23A0" w:rsidRPr="00DE23A0" w:rsidRDefault="00DE23A0" w:rsidP="00DE23A0">
      <w:pPr>
        <w:spacing w:line="360" w:lineRule="auto"/>
        <w:rPr>
          <w:rFonts w:ascii="Calibri" w:hAnsi="Calibri" w:cs="Calibri"/>
          <w:sz w:val="22"/>
          <w:szCs w:val="22"/>
        </w:rPr>
      </w:pPr>
    </w:p>
    <w:p w14:paraId="0285EF1C" w14:textId="3A2BC53C" w:rsidR="00110BC4" w:rsidRDefault="00724B85" w:rsidP="00DE23A0">
      <w:pPr>
        <w:spacing w:line="360" w:lineRule="auto"/>
        <w:rPr>
          <w:rFonts w:ascii="Calibri" w:hAnsi="Calibri" w:cs="Calibri"/>
          <w:sz w:val="22"/>
          <w:szCs w:val="22"/>
        </w:rPr>
      </w:pPr>
      <w:r w:rsidRPr="00724B85">
        <w:rPr>
          <w:rFonts w:ascii="Calibri" w:hAnsi="Calibri" w:cs="Calibri"/>
          <w:sz w:val="22"/>
          <w:szCs w:val="22"/>
        </w:rPr>
        <w:t>Source: Mintel (2023); Statista (2024a); Hofstede Insights (2023); Kantar BrandZ (2024).</w:t>
      </w:r>
    </w:p>
    <w:p w14:paraId="7DBA2244" w14:textId="6450958B" w:rsidR="00DE23A0" w:rsidRPr="00110BC4" w:rsidRDefault="00DE23A0" w:rsidP="00DE23A0">
      <w:pPr>
        <w:spacing w:line="360" w:lineRule="auto"/>
        <w:rPr>
          <w:rFonts w:ascii="Calibri" w:hAnsi="Calibri" w:cs="Calibri"/>
          <w:b/>
          <w:bCs/>
          <w:sz w:val="32"/>
          <w:szCs w:val="32"/>
        </w:rPr>
      </w:pPr>
      <w:r w:rsidRPr="00110BC4">
        <w:rPr>
          <w:rFonts w:ascii="Calibri" w:hAnsi="Calibri" w:cs="Calibri"/>
          <w:b/>
          <w:bCs/>
          <w:sz w:val="32"/>
          <w:szCs w:val="32"/>
        </w:rPr>
        <w:lastRenderedPageBreak/>
        <w:t xml:space="preserve">COMPARISON OF </w:t>
      </w:r>
      <w:r w:rsidR="00110BC4" w:rsidRPr="00110BC4">
        <w:rPr>
          <w:rFonts w:ascii="Calibri" w:hAnsi="Calibri" w:cs="Calibri"/>
          <w:b/>
          <w:bCs/>
          <w:sz w:val="32"/>
          <w:szCs w:val="32"/>
        </w:rPr>
        <w:t>MARKETING</w:t>
      </w:r>
      <w:r w:rsidRPr="00110BC4">
        <w:rPr>
          <w:rFonts w:ascii="Calibri" w:hAnsi="Calibri" w:cs="Calibri"/>
          <w:b/>
          <w:bCs/>
          <w:sz w:val="32"/>
          <w:szCs w:val="32"/>
        </w:rPr>
        <w:t xml:space="preserve"> MIX (7Ps)</w:t>
      </w:r>
    </w:p>
    <w:p w14:paraId="68C195B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7Ps marketing mix (Product, Price, Place, Promotion, People, Process, and Physical Evidence) provides a comprehensive framework for analysing how BMW adapts its tactical marketing strategies across Country A (UK) and Country B (Germany). Although BMW maintains a consistent global brand identity, local market conditions influence the degree of adaptation in product offerings, pricing, distribution channels, and promotional activities.</w:t>
      </w:r>
    </w:p>
    <w:p w14:paraId="6598A567" w14:textId="77777777" w:rsidR="00DE23A0" w:rsidRPr="00DE23A0" w:rsidRDefault="00DE23A0" w:rsidP="00DE23A0">
      <w:pPr>
        <w:spacing w:line="360" w:lineRule="auto"/>
        <w:rPr>
          <w:rFonts w:ascii="Calibri" w:hAnsi="Calibri" w:cs="Calibri"/>
          <w:sz w:val="22"/>
          <w:szCs w:val="22"/>
        </w:rPr>
      </w:pPr>
    </w:p>
    <w:p w14:paraId="2C0E5528" w14:textId="77777777" w:rsidR="00DE23A0" w:rsidRPr="00110BC4" w:rsidRDefault="00DE23A0" w:rsidP="00DE23A0">
      <w:pPr>
        <w:spacing w:line="360" w:lineRule="auto"/>
        <w:rPr>
          <w:rFonts w:ascii="Calibri" w:hAnsi="Calibri" w:cs="Calibri"/>
          <w:b/>
          <w:bCs/>
          <w:sz w:val="22"/>
          <w:szCs w:val="22"/>
        </w:rPr>
      </w:pPr>
      <w:r w:rsidRPr="00110BC4">
        <w:rPr>
          <w:rFonts w:ascii="Calibri" w:hAnsi="Calibri" w:cs="Calibri"/>
          <w:b/>
          <w:bCs/>
          <w:sz w:val="22"/>
          <w:szCs w:val="22"/>
        </w:rPr>
        <w:t>Product Strategy</w:t>
      </w:r>
    </w:p>
    <w:p w14:paraId="3CE5B93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maintains a globally standardised product portfolio, yet alters configurations, features, and marketing emphasis based on local market needs.</w:t>
      </w:r>
    </w:p>
    <w:p w14:paraId="53FF837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(Country A)</w:t>
      </w:r>
    </w:p>
    <w:p w14:paraId="0C6267B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consumers favour expressive designs, technology-rich interiors, and vehicles that complement an aspirational lifestyle.</w:t>
      </w:r>
    </w:p>
    <w:p w14:paraId="3630720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Notable product characteristics:</w:t>
      </w:r>
    </w:p>
    <w:p w14:paraId="7B942F8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demand for compact and mid-size models (1 Series, X1, 3 Series)</w:t>
      </w:r>
    </w:p>
    <w:p w14:paraId="7EEFD02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interest in electric vehicles (i4, iX1)</w:t>
      </w:r>
    </w:p>
    <w:p w14:paraId="5110D23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Enhanced infotainment features and digital connectivity</w:t>
      </w:r>
    </w:p>
    <w:p w14:paraId="0D5D596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Customisation packages aligned with lifestyle preferences</w:t>
      </w:r>
    </w:p>
    <w:p w14:paraId="513C957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promotional materials often highlight luxury interiors, digital dashboards, and environmental credentials.</w:t>
      </w:r>
    </w:p>
    <w:p w14:paraId="1C3E1101" w14:textId="77777777" w:rsidR="00DE23A0" w:rsidRPr="00DE23A0" w:rsidRDefault="00DE23A0" w:rsidP="00DE23A0">
      <w:pPr>
        <w:spacing w:line="360" w:lineRule="auto"/>
        <w:rPr>
          <w:rFonts w:ascii="Calibri" w:hAnsi="Calibri" w:cs="Calibri"/>
          <w:sz w:val="22"/>
          <w:szCs w:val="22"/>
        </w:rPr>
      </w:pPr>
    </w:p>
    <w:p w14:paraId="141F1DF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(Country B)</w:t>
      </w:r>
    </w:p>
    <w:p w14:paraId="08CE6FD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consumers prefer vehicles with technical upgrades, performance enhancements, and superior engineering.</w:t>
      </w:r>
    </w:p>
    <w:p w14:paraId="72A476E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Notable product characteristics:</w:t>
      </w:r>
    </w:p>
    <w:p w14:paraId="2A7224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High demand for 3 Series, 5 Series, and performance-oriented models</w:t>
      </w:r>
    </w:p>
    <w:p w14:paraId="77ED5A5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Greater emphasis on technical features, safety, and efficiency</w:t>
      </w:r>
    </w:p>
    <w:p w14:paraId="67AED00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EV adoption driven by environmental regulation and incentives</w:t>
      </w:r>
    </w:p>
    <w:p w14:paraId="386EBCD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Consumers frequently choose factory options related to performance and safety</w:t>
      </w:r>
    </w:p>
    <w:p w14:paraId="0B501F7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Product messaging in Germany focuses on drivetrain engineering, torque, efficiency, and innovation.</w:t>
      </w:r>
    </w:p>
    <w:p w14:paraId="1BD4B08A" w14:textId="77777777" w:rsidR="00DE23A0" w:rsidRPr="00DE23A0" w:rsidRDefault="00DE23A0" w:rsidP="00DE23A0">
      <w:pPr>
        <w:spacing w:line="360" w:lineRule="auto"/>
        <w:rPr>
          <w:rFonts w:ascii="Calibri" w:hAnsi="Calibri" w:cs="Calibri"/>
          <w:sz w:val="22"/>
          <w:szCs w:val="22"/>
        </w:rPr>
      </w:pPr>
    </w:p>
    <w:p w14:paraId="49856577" w14:textId="77777777" w:rsidR="00DE23A0" w:rsidRPr="00110BC4" w:rsidRDefault="00DE23A0" w:rsidP="00DE23A0">
      <w:pPr>
        <w:spacing w:line="360" w:lineRule="auto"/>
        <w:rPr>
          <w:rFonts w:ascii="Calibri" w:hAnsi="Calibri" w:cs="Calibri"/>
          <w:b/>
          <w:bCs/>
          <w:sz w:val="22"/>
          <w:szCs w:val="22"/>
        </w:rPr>
      </w:pPr>
      <w:r w:rsidRPr="00110BC4">
        <w:rPr>
          <w:rFonts w:ascii="Calibri" w:hAnsi="Calibri" w:cs="Calibri"/>
          <w:b/>
          <w:bCs/>
          <w:sz w:val="22"/>
          <w:szCs w:val="22"/>
        </w:rPr>
        <w:t>Pricing Strategy</w:t>
      </w:r>
    </w:p>
    <w:p w14:paraId="1D925D1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uses market-based pricing with adaptations based on economic conditions, competition, and consumer purchasing behaviour.</w:t>
      </w:r>
    </w:p>
    <w:p w14:paraId="1309696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Price comparison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4"/>
        <w:gridCol w:w="1479"/>
        <w:gridCol w:w="2065"/>
      </w:tblGrid>
      <w:tr w:rsidR="00F55663" w:rsidRPr="002636BA" w14:paraId="312A02EB" w14:textId="77777777" w:rsidTr="00C31C42">
        <w:trPr>
          <w:tblHeader/>
          <w:tblCellSpacing w:w="15" w:type="dxa"/>
          <w:jc w:val="center"/>
        </w:trPr>
        <w:tc>
          <w:tcPr>
            <w:tcW w:w="2189" w:type="dxa"/>
            <w:vAlign w:val="center"/>
            <w:hideMark/>
          </w:tcPr>
          <w:p w14:paraId="6883CCCD" w14:textId="77777777" w:rsidR="00F55663" w:rsidRPr="002636BA" w:rsidRDefault="00F55663" w:rsidP="00C31C42">
            <w:pPr>
              <w:spacing w:line="360" w:lineRule="auto"/>
              <w:jc w:val="center"/>
              <w:rPr>
                <w:rFonts w:ascii="Calibri" w:hAnsi="Calibri" w:cs="Calibri"/>
                <w:b/>
                <w:bCs/>
                <w:sz w:val="22"/>
                <w:szCs w:val="22"/>
              </w:rPr>
            </w:pPr>
            <w:r w:rsidRPr="002636BA">
              <w:rPr>
                <w:rFonts w:ascii="Calibri" w:hAnsi="Calibri" w:cs="Calibri"/>
                <w:b/>
                <w:bCs/>
                <w:sz w:val="22"/>
                <w:szCs w:val="22"/>
              </w:rPr>
              <w:t>Model</w:t>
            </w:r>
          </w:p>
        </w:tc>
        <w:tc>
          <w:tcPr>
            <w:tcW w:w="0" w:type="auto"/>
            <w:vAlign w:val="center"/>
            <w:hideMark/>
          </w:tcPr>
          <w:p w14:paraId="2354C624" w14:textId="77777777" w:rsidR="00F55663" w:rsidRPr="002636BA" w:rsidRDefault="00F55663" w:rsidP="00C31C42">
            <w:pPr>
              <w:spacing w:line="360" w:lineRule="auto"/>
              <w:jc w:val="center"/>
              <w:rPr>
                <w:rFonts w:ascii="Calibri" w:hAnsi="Calibri" w:cs="Calibri"/>
                <w:b/>
                <w:bCs/>
                <w:sz w:val="22"/>
                <w:szCs w:val="22"/>
              </w:rPr>
            </w:pPr>
            <w:r w:rsidRPr="002636BA">
              <w:rPr>
                <w:rFonts w:ascii="Calibri" w:hAnsi="Calibri" w:cs="Calibri"/>
                <w:b/>
                <w:bCs/>
                <w:sz w:val="22"/>
                <w:szCs w:val="22"/>
              </w:rPr>
              <w:t>UK Price (2024)</w:t>
            </w:r>
          </w:p>
        </w:tc>
        <w:tc>
          <w:tcPr>
            <w:tcW w:w="0" w:type="auto"/>
            <w:vAlign w:val="center"/>
            <w:hideMark/>
          </w:tcPr>
          <w:p w14:paraId="06421B9D" w14:textId="77777777" w:rsidR="00F55663" w:rsidRPr="002636BA" w:rsidRDefault="00F55663" w:rsidP="00C31C42">
            <w:pPr>
              <w:spacing w:line="360" w:lineRule="auto"/>
              <w:jc w:val="center"/>
              <w:rPr>
                <w:rFonts w:ascii="Calibri" w:hAnsi="Calibri" w:cs="Calibri"/>
                <w:b/>
                <w:bCs/>
                <w:sz w:val="22"/>
                <w:szCs w:val="22"/>
              </w:rPr>
            </w:pPr>
            <w:r w:rsidRPr="002636BA">
              <w:rPr>
                <w:rFonts w:ascii="Calibri" w:hAnsi="Calibri" w:cs="Calibri"/>
                <w:b/>
                <w:bCs/>
                <w:sz w:val="22"/>
                <w:szCs w:val="22"/>
              </w:rPr>
              <w:t>Germany Price (2024)</w:t>
            </w:r>
          </w:p>
        </w:tc>
      </w:tr>
      <w:tr w:rsidR="00F55663" w:rsidRPr="002636BA" w14:paraId="200FBF2D" w14:textId="77777777" w:rsidTr="00C31C42">
        <w:trPr>
          <w:tblCellSpacing w:w="15" w:type="dxa"/>
          <w:jc w:val="center"/>
        </w:trPr>
        <w:tc>
          <w:tcPr>
            <w:tcW w:w="2189" w:type="dxa"/>
            <w:vAlign w:val="center"/>
            <w:hideMark/>
          </w:tcPr>
          <w:p w14:paraId="33BEC3A5"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BMW 320i</w:t>
            </w:r>
          </w:p>
        </w:tc>
        <w:tc>
          <w:tcPr>
            <w:tcW w:w="0" w:type="auto"/>
            <w:vAlign w:val="center"/>
            <w:hideMark/>
          </w:tcPr>
          <w:p w14:paraId="3864555A"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£38,000</w:t>
            </w:r>
          </w:p>
        </w:tc>
        <w:tc>
          <w:tcPr>
            <w:tcW w:w="0" w:type="auto"/>
            <w:vAlign w:val="center"/>
            <w:hideMark/>
          </w:tcPr>
          <w:p w14:paraId="7C2B3150"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€45,900</w:t>
            </w:r>
          </w:p>
        </w:tc>
      </w:tr>
      <w:tr w:rsidR="00F55663" w:rsidRPr="002636BA" w14:paraId="206999CF" w14:textId="77777777" w:rsidTr="00C31C42">
        <w:trPr>
          <w:tblCellSpacing w:w="15" w:type="dxa"/>
          <w:jc w:val="center"/>
        </w:trPr>
        <w:tc>
          <w:tcPr>
            <w:tcW w:w="2189" w:type="dxa"/>
            <w:vAlign w:val="center"/>
            <w:hideMark/>
          </w:tcPr>
          <w:p w14:paraId="1725F798"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BMW i4 eDrive40</w:t>
            </w:r>
          </w:p>
        </w:tc>
        <w:tc>
          <w:tcPr>
            <w:tcW w:w="0" w:type="auto"/>
            <w:vAlign w:val="center"/>
            <w:hideMark/>
          </w:tcPr>
          <w:p w14:paraId="26983852"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£50,755</w:t>
            </w:r>
          </w:p>
        </w:tc>
        <w:tc>
          <w:tcPr>
            <w:tcW w:w="0" w:type="auto"/>
            <w:vAlign w:val="center"/>
            <w:hideMark/>
          </w:tcPr>
          <w:p w14:paraId="38B55ACF"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€56,500</w:t>
            </w:r>
          </w:p>
        </w:tc>
      </w:tr>
      <w:tr w:rsidR="00F55663" w:rsidRPr="002636BA" w14:paraId="2DA12C09" w14:textId="77777777" w:rsidTr="00C31C42">
        <w:trPr>
          <w:tblCellSpacing w:w="15" w:type="dxa"/>
          <w:jc w:val="center"/>
        </w:trPr>
        <w:tc>
          <w:tcPr>
            <w:tcW w:w="2189" w:type="dxa"/>
            <w:vAlign w:val="center"/>
            <w:hideMark/>
          </w:tcPr>
          <w:p w14:paraId="0E3E4F2D"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BMW X1</w:t>
            </w:r>
          </w:p>
        </w:tc>
        <w:tc>
          <w:tcPr>
            <w:tcW w:w="0" w:type="auto"/>
            <w:vAlign w:val="center"/>
            <w:hideMark/>
          </w:tcPr>
          <w:p w14:paraId="077034F0"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£35,000</w:t>
            </w:r>
          </w:p>
        </w:tc>
        <w:tc>
          <w:tcPr>
            <w:tcW w:w="0" w:type="auto"/>
            <w:vAlign w:val="center"/>
            <w:hideMark/>
          </w:tcPr>
          <w:p w14:paraId="76AB8884"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€42,100</w:t>
            </w:r>
          </w:p>
        </w:tc>
      </w:tr>
    </w:tbl>
    <w:p w14:paraId="034903D4" w14:textId="77777777" w:rsidR="00DE23A0" w:rsidRPr="00DE23A0" w:rsidRDefault="00DE23A0" w:rsidP="00C31C42">
      <w:pPr>
        <w:spacing w:line="360" w:lineRule="auto"/>
        <w:jc w:val="center"/>
        <w:rPr>
          <w:rFonts w:ascii="Calibri" w:hAnsi="Calibri" w:cs="Calibri"/>
          <w:sz w:val="22"/>
          <w:szCs w:val="22"/>
        </w:rPr>
      </w:pPr>
    </w:p>
    <w:p w14:paraId="232497F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(Country A)</w:t>
      </w:r>
    </w:p>
    <w:p w14:paraId="4DE677D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Prices in the UK are strategically aligned with financing models. PCP reduces the psychological barrier to premium vehicle ownership. BMW emphasises “affordable monthly payments,” reflecting UK behavioural preferences.</w:t>
      </w:r>
    </w:p>
    <w:p w14:paraId="1D90117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(Country B)</w:t>
      </w:r>
    </w:p>
    <w:p w14:paraId="3AFA584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prices are higher due to local taxes and demand for advanced features. Customers emphasise value and technical superiority rather than monthly affordability.</w:t>
      </w:r>
    </w:p>
    <w:p w14:paraId="311933B2" w14:textId="77777777" w:rsidR="00DE23A0" w:rsidRPr="00DE23A0" w:rsidRDefault="00DE23A0" w:rsidP="00DE23A0">
      <w:pPr>
        <w:spacing w:line="360" w:lineRule="auto"/>
        <w:rPr>
          <w:rFonts w:ascii="Calibri" w:hAnsi="Calibri" w:cs="Calibri"/>
          <w:sz w:val="22"/>
          <w:szCs w:val="22"/>
        </w:rPr>
      </w:pPr>
    </w:p>
    <w:p w14:paraId="2EE10B55" w14:textId="77777777" w:rsidR="00DE23A0" w:rsidRPr="00DE23A0" w:rsidRDefault="00DE23A0" w:rsidP="00DE23A0">
      <w:pPr>
        <w:spacing w:line="360" w:lineRule="auto"/>
        <w:rPr>
          <w:rFonts w:ascii="Calibri" w:hAnsi="Calibri" w:cs="Calibri"/>
          <w:sz w:val="22"/>
          <w:szCs w:val="22"/>
        </w:rPr>
      </w:pPr>
    </w:p>
    <w:p w14:paraId="0A7C834A" w14:textId="77777777" w:rsidR="00DE23A0" w:rsidRPr="00DE23A0" w:rsidRDefault="00DE23A0" w:rsidP="00DE23A0">
      <w:pPr>
        <w:spacing w:line="360" w:lineRule="auto"/>
        <w:rPr>
          <w:rFonts w:ascii="Calibri" w:hAnsi="Calibri" w:cs="Calibri"/>
          <w:sz w:val="22"/>
          <w:szCs w:val="22"/>
        </w:rPr>
      </w:pPr>
    </w:p>
    <w:p w14:paraId="65C56554" w14:textId="77777777" w:rsidR="00DE23A0" w:rsidRPr="00F55663" w:rsidRDefault="00DE23A0" w:rsidP="00DE23A0">
      <w:pPr>
        <w:spacing w:line="360" w:lineRule="auto"/>
        <w:rPr>
          <w:rFonts w:ascii="Calibri" w:hAnsi="Calibri" w:cs="Calibri"/>
          <w:b/>
          <w:bCs/>
          <w:sz w:val="22"/>
          <w:szCs w:val="22"/>
        </w:rPr>
      </w:pPr>
      <w:r w:rsidRPr="00F55663">
        <w:rPr>
          <w:rFonts w:ascii="Calibri" w:hAnsi="Calibri" w:cs="Calibri"/>
          <w:b/>
          <w:bCs/>
          <w:sz w:val="22"/>
          <w:szCs w:val="22"/>
        </w:rPr>
        <w:t>Place (Distribution) Strategy</w:t>
      </w:r>
    </w:p>
    <w:p w14:paraId="60CD313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3AE6D65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leverages:</w:t>
      </w:r>
    </w:p>
    <w:p w14:paraId="44B89D2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digital platforms</w:t>
      </w:r>
    </w:p>
    <w:p w14:paraId="7971655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Virtual showrooms</w:t>
      </w:r>
    </w:p>
    <w:p w14:paraId="0E4A813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Click-and-buy options</w:t>
      </w:r>
    </w:p>
    <w:p w14:paraId="5B4C127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nationwide dealer network</w:t>
      </w:r>
    </w:p>
    <w:p w14:paraId="106E3AC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market is highly digital, with over 70% of consumers using online tools before purchase.</w:t>
      </w:r>
    </w:p>
    <w:p w14:paraId="6FD09C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310F240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relies more on:</w:t>
      </w:r>
    </w:p>
    <w:p w14:paraId="2CE4D24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Traditional dealerships</w:t>
      </w:r>
    </w:p>
    <w:p w14:paraId="6163525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demonstration centres</w:t>
      </w:r>
    </w:p>
    <w:p w14:paraId="3A5BCDE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Performance test tracks</w:t>
      </w:r>
    </w:p>
    <w:p w14:paraId="6EF78E2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Engineering-focused customer experiences</w:t>
      </w:r>
    </w:p>
    <w:p w14:paraId="2A1664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Digital channels are used but supplemented by extensive in-person consultation.</w:t>
      </w:r>
    </w:p>
    <w:p w14:paraId="3817DB8E" w14:textId="77777777" w:rsidR="00DE23A0" w:rsidRPr="00DE23A0" w:rsidRDefault="00DE23A0" w:rsidP="00DE23A0">
      <w:pPr>
        <w:spacing w:line="360" w:lineRule="auto"/>
        <w:rPr>
          <w:rFonts w:ascii="Calibri" w:hAnsi="Calibri" w:cs="Calibri"/>
          <w:sz w:val="22"/>
          <w:szCs w:val="22"/>
        </w:rPr>
      </w:pPr>
    </w:p>
    <w:p w14:paraId="064E9947" w14:textId="77777777" w:rsidR="00DE23A0" w:rsidRPr="00F55663" w:rsidRDefault="00DE23A0" w:rsidP="00DE23A0">
      <w:pPr>
        <w:spacing w:line="360" w:lineRule="auto"/>
        <w:rPr>
          <w:rFonts w:ascii="Calibri" w:hAnsi="Calibri" w:cs="Calibri"/>
          <w:b/>
          <w:bCs/>
          <w:sz w:val="22"/>
          <w:szCs w:val="22"/>
        </w:rPr>
      </w:pPr>
      <w:r w:rsidRPr="00F55663">
        <w:rPr>
          <w:rFonts w:ascii="Calibri" w:hAnsi="Calibri" w:cs="Calibri"/>
          <w:b/>
          <w:bCs/>
          <w:sz w:val="22"/>
          <w:szCs w:val="22"/>
        </w:rPr>
        <w:t>Promotion Strategy</w:t>
      </w:r>
    </w:p>
    <w:p w14:paraId="105ADF3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Promotional strategies differ significantly:</w:t>
      </w:r>
    </w:p>
    <w:p w14:paraId="0932BB3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(Emotional + Lifestyle)</w:t>
      </w:r>
    </w:p>
    <w:p w14:paraId="7A46071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UK campaigns prioritise:</w:t>
      </w:r>
    </w:p>
    <w:p w14:paraId="6B8A3DA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Aspirational imagery</w:t>
      </w:r>
    </w:p>
    <w:p w14:paraId="316C93F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Urban lifestyle scenes</w:t>
      </w:r>
    </w:p>
    <w:p w14:paraId="2D75A2F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Digital influencers</w:t>
      </w:r>
    </w:p>
    <w:p w14:paraId="14FA43C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Sponsorships (Wimbledon, art &amp; fashion events)</w:t>
      </w:r>
    </w:p>
    <w:p w14:paraId="60065BB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Messages emphasise identity, freedom, design, and prestige.</w:t>
      </w:r>
    </w:p>
    <w:p w14:paraId="6EFA61E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(Technical + Rational)</w:t>
      </w:r>
    </w:p>
    <w:p w14:paraId="168C0CD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Germany campaigns highlight:</w:t>
      </w:r>
    </w:p>
    <w:p w14:paraId="15D4F65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animations</w:t>
      </w:r>
    </w:p>
    <w:p w14:paraId="25FBFC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Safety testing</w:t>
      </w:r>
    </w:p>
    <w:p w14:paraId="4F25606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Performance metrics</w:t>
      </w:r>
    </w:p>
    <w:p w14:paraId="67EF6D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 reliability</w:t>
      </w:r>
    </w:p>
    <w:p w14:paraId="6750BE5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Messages focus on efficiency, safety, and precision.</w:t>
      </w:r>
    </w:p>
    <w:p w14:paraId="1FA3575E" w14:textId="77777777" w:rsidR="00DE23A0" w:rsidRPr="00DE23A0" w:rsidRDefault="00DE23A0" w:rsidP="00DE23A0">
      <w:pPr>
        <w:spacing w:line="360" w:lineRule="auto"/>
        <w:rPr>
          <w:rFonts w:ascii="Calibri" w:hAnsi="Calibri" w:cs="Calibri"/>
          <w:sz w:val="22"/>
          <w:szCs w:val="22"/>
        </w:rPr>
      </w:pPr>
    </w:p>
    <w:p w14:paraId="585B6E5D" w14:textId="502A8A2E" w:rsidR="00DE23A0" w:rsidRPr="00F55663" w:rsidRDefault="00F55663" w:rsidP="00DE23A0">
      <w:pPr>
        <w:spacing w:line="360" w:lineRule="auto"/>
        <w:rPr>
          <w:rFonts w:ascii="Calibri" w:hAnsi="Calibri" w:cs="Calibri"/>
          <w:b/>
          <w:bCs/>
          <w:sz w:val="22"/>
          <w:szCs w:val="22"/>
        </w:rPr>
      </w:pPr>
      <w:r w:rsidRPr="00F55663">
        <w:rPr>
          <w:rFonts w:ascii="Calibri" w:hAnsi="Calibri" w:cs="Calibri"/>
          <w:b/>
          <w:bCs/>
          <w:sz w:val="22"/>
          <w:szCs w:val="22"/>
        </w:rPr>
        <w:t>People’s</w:t>
      </w:r>
      <w:r w:rsidR="00DE23A0" w:rsidRPr="00F55663">
        <w:rPr>
          <w:rFonts w:ascii="Calibri" w:hAnsi="Calibri" w:cs="Calibri"/>
          <w:b/>
          <w:bCs/>
          <w:sz w:val="22"/>
          <w:szCs w:val="22"/>
        </w:rPr>
        <w:t xml:space="preserve"> Strategy</w:t>
      </w:r>
    </w:p>
    <w:p w14:paraId="46A5CEF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staff, dealership employees, and customer service teams are central to brand experience.</w:t>
      </w:r>
    </w:p>
    <w:p w14:paraId="6202744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w:t>
      </w:r>
    </w:p>
    <w:p w14:paraId="1333ED1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Staff are trained to provide lifestyle guidance, digital support, and finance explanations.</w:t>
      </w:r>
    </w:p>
    <w:p w14:paraId="4A1B334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108B96F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Staff are trained to provide technical expertise, detailed product knowledge, and engineering-focused consultation.</w:t>
      </w:r>
    </w:p>
    <w:p w14:paraId="562B6FF3" w14:textId="77777777" w:rsidR="00DE23A0" w:rsidRPr="00DE23A0" w:rsidRDefault="00DE23A0" w:rsidP="00DE23A0">
      <w:pPr>
        <w:spacing w:line="360" w:lineRule="auto"/>
        <w:rPr>
          <w:rFonts w:ascii="Calibri" w:hAnsi="Calibri" w:cs="Calibri"/>
          <w:sz w:val="22"/>
          <w:szCs w:val="22"/>
        </w:rPr>
      </w:pPr>
    </w:p>
    <w:p w14:paraId="5B729E8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Process Strategy</w:t>
      </w:r>
    </w:p>
    <w:p w14:paraId="5738BEC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36FB4C9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process prioritises convenience and speed.</w:t>
      </w:r>
    </w:p>
    <w:p w14:paraId="61B6A34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Examples:</w:t>
      </w:r>
    </w:p>
    <w:p w14:paraId="36A209B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Online finance approval</w:t>
      </w:r>
    </w:p>
    <w:p w14:paraId="015BC38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Virtual test drives</w:t>
      </w:r>
    </w:p>
    <w:p w14:paraId="3868797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Home delivery options</w:t>
      </w:r>
    </w:p>
    <w:p w14:paraId="1B08B442" w14:textId="77777777" w:rsidR="00DE23A0" w:rsidRPr="00DE23A0" w:rsidRDefault="00DE23A0" w:rsidP="00DE23A0">
      <w:pPr>
        <w:spacing w:line="360" w:lineRule="auto"/>
        <w:rPr>
          <w:rFonts w:ascii="Calibri" w:hAnsi="Calibri" w:cs="Calibri"/>
          <w:sz w:val="22"/>
          <w:szCs w:val="22"/>
        </w:rPr>
      </w:pPr>
    </w:p>
    <w:p w14:paraId="37F807B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414DCD9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process prioritises thoroughness and accuracy.</w:t>
      </w:r>
    </w:p>
    <w:p w14:paraId="60D5750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Examples:</w:t>
      </w:r>
    </w:p>
    <w:p w14:paraId="77F7261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Longer consultation times</w:t>
      </w:r>
    </w:p>
    <w:p w14:paraId="5F7E3CE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demonstrations</w:t>
      </w:r>
    </w:p>
    <w:p w14:paraId="08F3CC2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In-depth vehicle configuration sessions</w:t>
      </w:r>
    </w:p>
    <w:p w14:paraId="0BEACFC7" w14:textId="77777777" w:rsidR="00DE23A0" w:rsidRPr="00DE23A0" w:rsidRDefault="00DE23A0" w:rsidP="00DE23A0">
      <w:pPr>
        <w:spacing w:line="360" w:lineRule="auto"/>
        <w:rPr>
          <w:rFonts w:ascii="Calibri" w:hAnsi="Calibri" w:cs="Calibri"/>
          <w:sz w:val="22"/>
          <w:szCs w:val="22"/>
        </w:rPr>
      </w:pPr>
    </w:p>
    <w:p w14:paraId="4A31CB33" w14:textId="77777777" w:rsidR="00DE23A0" w:rsidRPr="00F55663" w:rsidRDefault="00DE23A0" w:rsidP="00DE23A0">
      <w:pPr>
        <w:spacing w:line="360" w:lineRule="auto"/>
        <w:rPr>
          <w:rFonts w:ascii="Calibri" w:hAnsi="Calibri" w:cs="Calibri"/>
          <w:b/>
          <w:bCs/>
          <w:sz w:val="22"/>
          <w:szCs w:val="22"/>
        </w:rPr>
      </w:pPr>
      <w:r w:rsidRPr="00F55663">
        <w:rPr>
          <w:rFonts w:ascii="Calibri" w:hAnsi="Calibri" w:cs="Calibri"/>
          <w:b/>
          <w:bCs/>
          <w:sz w:val="22"/>
          <w:szCs w:val="22"/>
        </w:rPr>
        <w:t>Physical Evidence</w:t>
      </w:r>
    </w:p>
    <w:p w14:paraId="734D4F6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77ECD1A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Dealerships and retail outlets emphasise luxury aesthetics, digital screens, and lifestyle cues.</w:t>
      </w:r>
    </w:p>
    <w:p w14:paraId="5333D16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05F53F4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Dealerships emphasise engineering displays, technical equipment, and transparent workshops.</w:t>
      </w:r>
    </w:p>
    <w:p w14:paraId="2C884421" w14:textId="77777777" w:rsidR="00DE23A0" w:rsidRPr="00DE23A0" w:rsidRDefault="00DE23A0" w:rsidP="00DE23A0">
      <w:pPr>
        <w:spacing w:line="360" w:lineRule="auto"/>
        <w:rPr>
          <w:rFonts w:ascii="Calibri" w:hAnsi="Calibri" w:cs="Calibri"/>
          <w:sz w:val="22"/>
          <w:szCs w:val="22"/>
        </w:rPr>
      </w:pPr>
    </w:p>
    <w:p w14:paraId="02AA8394" w14:textId="77777777" w:rsidR="00DE23A0" w:rsidRPr="00DE23A0" w:rsidRDefault="00DE23A0" w:rsidP="00DE23A0">
      <w:pPr>
        <w:spacing w:line="360" w:lineRule="auto"/>
        <w:rPr>
          <w:rFonts w:ascii="Calibri" w:hAnsi="Calibri" w:cs="Calibri"/>
          <w:sz w:val="22"/>
          <w:szCs w:val="22"/>
        </w:rPr>
      </w:pPr>
    </w:p>
    <w:p w14:paraId="62867338" w14:textId="77777777" w:rsidR="00DE23A0" w:rsidRPr="00DE23A0" w:rsidRDefault="00DE23A0" w:rsidP="00DE23A0">
      <w:pPr>
        <w:spacing w:line="360" w:lineRule="auto"/>
        <w:rPr>
          <w:rFonts w:ascii="Calibri" w:hAnsi="Calibri" w:cs="Calibri"/>
          <w:sz w:val="22"/>
          <w:szCs w:val="22"/>
        </w:rPr>
      </w:pPr>
    </w:p>
    <w:p w14:paraId="5AFF1CDC" w14:textId="77777777" w:rsidR="00DE23A0" w:rsidRPr="00DE23A0" w:rsidRDefault="00DE23A0" w:rsidP="00DE23A0">
      <w:pPr>
        <w:spacing w:line="360" w:lineRule="auto"/>
        <w:rPr>
          <w:rFonts w:ascii="Calibri" w:hAnsi="Calibri" w:cs="Calibri"/>
          <w:sz w:val="22"/>
          <w:szCs w:val="22"/>
        </w:rPr>
      </w:pPr>
    </w:p>
    <w:p w14:paraId="08031BE3" w14:textId="77777777" w:rsidR="00DE23A0" w:rsidRPr="00DE23A0" w:rsidRDefault="00DE23A0" w:rsidP="00DE23A0">
      <w:pPr>
        <w:spacing w:line="360" w:lineRule="auto"/>
        <w:rPr>
          <w:rFonts w:ascii="Calibri" w:hAnsi="Calibri" w:cs="Calibri"/>
          <w:sz w:val="22"/>
          <w:szCs w:val="22"/>
        </w:rPr>
      </w:pPr>
    </w:p>
    <w:p w14:paraId="7A517F85" w14:textId="77777777" w:rsidR="00DE23A0" w:rsidRPr="00DE23A0" w:rsidRDefault="00DE23A0" w:rsidP="00DE23A0">
      <w:pPr>
        <w:spacing w:line="360" w:lineRule="auto"/>
        <w:rPr>
          <w:rFonts w:ascii="Calibri" w:hAnsi="Calibri" w:cs="Calibri"/>
          <w:sz w:val="22"/>
          <w:szCs w:val="22"/>
        </w:rPr>
      </w:pPr>
    </w:p>
    <w:p w14:paraId="23960A07" w14:textId="77777777" w:rsidR="00DE23A0" w:rsidRPr="00DE23A0" w:rsidRDefault="00DE23A0" w:rsidP="00DE23A0">
      <w:pPr>
        <w:spacing w:line="360" w:lineRule="auto"/>
        <w:rPr>
          <w:rFonts w:ascii="Calibri" w:hAnsi="Calibri" w:cs="Calibri"/>
          <w:sz w:val="22"/>
          <w:szCs w:val="22"/>
        </w:rPr>
      </w:pPr>
    </w:p>
    <w:p w14:paraId="4E0B79FF" w14:textId="77777777" w:rsidR="00DE23A0" w:rsidRPr="00DE23A0" w:rsidRDefault="00DE23A0" w:rsidP="00DE23A0">
      <w:pPr>
        <w:spacing w:line="360" w:lineRule="auto"/>
        <w:rPr>
          <w:rFonts w:ascii="Calibri" w:hAnsi="Calibri" w:cs="Calibri"/>
          <w:sz w:val="22"/>
          <w:szCs w:val="22"/>
        </w:rPr>
      </w:pPr>
    </w:p>
    <w:p w14:paraId="2954021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Summary of 7Ps Differences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7"/>
        <w:gridCol w:w="1901"/>
        <w:gridCol w:w="2282"/>
      </w:tblGrid>
      <w:tr w:rsidR="00D816F6" w:rsidRPr="002636BA" w14:paraId="71BE4AF3" w14:textId="77777777" w:rsidTr="00000181">
        <w:trPr>
          <w:tblHeader/>
          <w:tblCellSpacing w:w="15" w:type="dxa"/>
          <w:jc w:val="center"/>
        </w:trPr>
        <w:tc>
          <w:tcPr>
            <w:tcW w:w="0" w:type="auto"/>
            <w:vAlign w:val="center"/>
            <w:hideMark/>
          </w:tcPr>
          <w:p w14:paraId="65FDB4E9" w14:textId="77777777" w:rsidR="00D816F6" w:rsidRPr="002636BA" w:rsidRDefault="00D816F6" w:rsidP="00000181">
            <w:pPr>
              <w:spacing w:line="360" w:lineRule="auto"/>
              <w:rPr>
                <w:rFonts w:ascii="Calibri" w:hAnsi="Calibri" w:cs="Calibri"/>
                <w:b/>
                <w:bCs/>
                <w:sz w:val="22"/>
                <w:szCs w:val="22"/>
              </w:rPr>
            </w:pPr>
            <w:r w:rsidRPr="002636BA">
              <w:rPr>
                <w:rFonts w:ascii="Calibri" w:hAnsi="Calibri" w:cs="Calibri"/>
                <w:b/>
                <w:bCs/>
                <w:sz w:val="22"/>
                <w:szCs w:val="22"/>
              </w:rPr>
              <w:t>Marketing Mix</w:t>
            </w:r>
          </w:p>
        </w:tc>
        <w:tc>
          <w:tcPr>
            <w:tcW w:w="0" w:type="auto"/>
            <w:vAlign w:val="center"/>
            <w:hideMark/>
          </w:tcPr>
          <w:p w14:paraId="51122ABB" w14:textId="77777777" w:rsidR="00D816F6" w:rsidRPr="002636BA" w:rsidRDefault="00D816F6" w:rsidP="00000181">
            <w:pPr>
              <w:spacing w:line="360" w:lineRule="auto"/>
              <w:rPr>
                <w:rFonts w:ascii="Calibri" w:hAnsi="Calibri" w:cs="Calibri"/>
                <w:b/>
                <w:bCs/>
                <w:sz w:val="22"/>
                <w:szCs w:val="22"/>
              </w:rPr>
            </w:pPr>
            <w:r w:rsidRPr="002636BA">
              <w:rPr>
                <w:rFonts w:ascii="Calibri" w:hAnsi="Calibri" w:cs="Calibri"/>
                <w:b/>
                <w:bCs/>
                <w:sz w:val="22"/>
                <w:szCs w:val="22"/>
              </w:rPr>
              <w:t>United Kingdom</w:t>
            </w:r>
          </w:p>
        </w:tc>
        <w:tc>
          <w:tcPr>
            <w:tcW w:w="0" w:type="auto"/>
            <w:vAlign w:val="center"/>
            <w:hideMark/>
          </w:tcPr>
          <w:p w14:paraId="40FE2AD7" w14:textId="77777777" w:rsidR="00D816F6" w:rsidRPr="002636BA" w:rsidRDefault="00D816F6" w:rsidP="00000181">
            <w:pPr>
              <w:spacing w:line="360" w:lineRule="auto"/>
              <w:rPr>
                <w:rFonts w:ascii="Calibri" w:hAnsi="Calibri" w:cs="Calibri"/>
                <w:b/>
                <w:bCs/>
                <w:sz w:val="22"/>
                <w:szCs w:val="22"/>
              </w:rPr>
            </w:pPr>
            <w:r w:rsidRPr="002636BA">
              <w:rPr>
                <w:rFonts w:ascii="Calibri" w:hAnsi="Calibri" w:cs="Calibri"/>
                <w:b/>
                <w:bCs/>
                <w:sz w:val="22"/>
                <w:szCs w:val="22"/>
              </w:rPr>
              <w:t>Germany</w:t>
            </w:r>
          </w:p>
        </w:tc>
      </w:tr>
      <w:tr w:rsidR="00D816F6" w:rsidRPr="002636BA" w14:paraId="78E514C4" w14:textId="77777777" w:rsidTr="00000181">
        <w:trPr>
          <w:tblCellSpacing w:w="15" w:type="dxa"/>
          <w:jc w:val="center"/>
        </w:trPr>
        <w:tc>
          <w:tcPr>
            <w:tcW w:w="0" w:type="auto"/>
            <w:vAlign w:val="center"/>
            <w:hideMark/>
          </w:tcPr>
          <w:p w14:paraId="2C4E4C1B"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Product</w:t>
            </w:r>
          </w:p>
        </w:tc>
        <w:tc>
          <w:tcPr>
            <w:tcW w:w="0" w:type="auto"/>
            <w:vAlign w:val="center"/>
            <w:hideMark/>
          </w:tcPr>
          <w:p w14:paraId="52CA7D27"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Lifestyle orientation</w:t>
            </w:r>
          </w:p>
        </w:tc>
        <w:tc>
          <w:tcPr>
            <w:tcW w:w="0" w:type="auto"/>
            <w:vAlign w:val="center"/>
            <w:hideMark/>
          </w:tcPr>
          <w:p w14:paraId="3D3016BD"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Engineering orientation</w:t>
            </w:r>
          </w:p>
        </w:tc>
      </w:tr>
      <w:tr w:rsidR="00D816F6" w:rsidRPr="002636BA" w14:paraId="15518831" w14:textId="77777777" w:rsidTr="00000181">
        <w:trPr>
          <w:tblCellSpacing w:w="15" w:type="dxa"/>
          <w:jc w:val="center"/>
        </w:trPr>
        <w:tc>
          <w:tcPr>
            <w:tcW w:w="0" w:type="auto"/>
            <w:vAlign w:val="center"/>
            <w:hideMark/>
          </w:tcPr>
          <w:p w14:paraId="075AA7AE"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Price</w:t>
            </w:r>
          </w:p>
        </w:tc>
        <w:tc>
          <w:tcPr>
            <w:tcW w:w="0" w:type="auto"/>
            <w:vAlign w:val="center"/>
            <w:hideMark/>
          </w:tcPr>
          <w:p w14:paraId="3BDF7715"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PCP-focused</w:t>
            </w:r>
          </w:p>
        </w:tc>
        <w:tc>
          <w:tcPr>
            <w:tcW w:w="0" w:type="auto"/>
            <w:vAlign w:val="center"/>
            <w:hideMark/>
          </w:tcPr>
          <w:p w14:paraId="06E8354D"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Value &amp; feature-focused</w:t>
            </w:r>
          </w:p>
        </w:tc>
      </w:tr>
      <w:tr w:rsidR="00D816F6" w:rsidRPr="002636BA" w14:paraId="7F4D0D6C" w14:textId="77777777" w:rsidTr="00000181">
        <w:trPr>
          <w:tblCellSpacing w:w="15" w:type="dxa"/>
          <w:jc w:val="center"/>
        </w:trPr>
        <w:tc>
          <w:tcPr>
            <w:tcW w:w="0" w:type="auto"/>
            <w:vAlign w:val="center"/>
            <w:hideMark/>
          </w:tcPr>
          <w:p w14:paraId="73E282A2"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Place</w:t>
            </w:r>
          </w:p>
        </w:tc>
        <w:tc>
          <w:tcPr>
            <w:tcW w:w="0" w:type="auto"/>
            <w:vAlign w:val="center"/>
            <w:hideMark/>
          </w:tcPr>
          <w:p w14:paraId="53BA81F4"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Highly digital</w:t>
            </w:r>
          </w:p>
        </w:tc>
        <w:tc>
          <w:tcPr>
            <w:tcW w:w="0" w:type="auto"/>
            <w:vAlign w:val="center"/>
            <w:hideMark/>
          </w:tcPr>
          <w:p w14:paraId="35184648"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Hybrid traditional-digital</w:t>
            </w:r>
          </w:p>
        </w:tc>
      </w:tr>
      <w:tr w:rsidR="00D816F6" w:rsidRPr="002636BA" w14:paraId="11D0B144" w14:textId="77777777" w:rsidTr="00000181">
        <w:trPr>
          <w:tblCellSpacing w:w="15" w:type="dxa"/>
          <w:jc w:val="center"/>
        </w:trPr>
        <w:tc>
          <w:tcPr>
            <w:tcW w:w="0" w:type="auto"/>
            <w:vAlign w:val="center"/>
            <w:hideMark/>
          </w:tcPr>
          <w:p w14:paraId="4A08DD32"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Promotion</w:t>
            </w:r>
          </w:p>
        </w:tc>
        <w:tc>
          <w:tcPr>
            <w:tcW w:w="0" w:type="auto"/>
            <w:vAlign w:val="center"/>
            <w:hideMark/>
          </w:tcPr>
          <w:p w14:paraId="511AB5D5"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Emotional, lifestyle</w:t>
            </w:r>
          </w:p>
        </w:tc>
        <w:tc>
          <w:tcPr>
            <w:tcW w:w="0" w:type="auto"/>
            <w:vAlign w:val="center"/>
            <w:hideMark/>
          </w:tcPr>
          <w:p w14:paraId="08BE9116"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Technical, rational</w:t>
            </w:r>
          </w:p>
        </w:tc>
      </w:tr>
      <w:tr w:rsidR="00D816F6" w:rsidRPr="002636BA" w14:paraId="544B3C48" w14:textId="77777777" w:rsidTr="00000181">
        <w:trPr>
          <w:tblCellSpacing w:w="15" w:type="dxa"/>
          <w:jc w:val="center"/>
        </w:trPr>
        <w:tc>
          <w:tcPr>
            <w:tcW w:w="0" w:type="auto"/>
            <w:vAlign w:val="center"/>
            <w:hideMark/>
          </w:tcPr>
          <w:p w14:paraId="0E2D40FE"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People</w:t>
            </w:r>
          </w:p>
        </w:tc>
        <w:tc>
          <w:tcPr>
            <w:tcW w:w="0" w:type="auto"/>
            <w:vAlign w:val="center"/>
            <w:hideMark/>
          </w:tcPr>
          <w:p w14:paraId="79230818"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Lifestyle advisors</w:t>
            </w:r>
          </w:p>
        </w:tc>
        <w:tc>
          <w:tcPr>
            <w:tcW w:w="0" w:type="auto"/>
            <w:vAlign w:val="center"/>
            <w:hideMark/>
          </w:tcPr>
          <w:p w14:paraId="4FFA66EC"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Technical consultants</w:t>
            </w:r>
          </w:p>
        </w:tc>
      </w:tr>
      <w:tr w:rsidR="00D816F6" w:rsidRPr="002636BA" w14:paraId="48BDEEF4" w14:textId="77777777" w:rsidTr="00000181">
        <w:trPr>
          <w:tblCellSpacing w:w="15" w:type="dxa"/>
          <w:jc w:val="center"/>
        </w:trPr>
        <w:tc>
          <w:tcPr>
            <w:tcW w:w="0" w:type="auto"/>
            <w:vAlign w:val="center"/>
            <w:hideMark/>
          </w:tcPr>
          <w:p w14:paraId="65547A1C"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Process</w:t>
            </w:r>
          </w:p>
        </w:tc>
        <w:tc>
          <w:tcPr>
            <w:tcW w:w="0" w:type="auto"/>
            <w:vAlign w:val="center"/>
            <w:hideMark/>
          </w:tcPr>
          <w:p w14:paraId="74DD69D9"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Convenience-driven</w:t>
            </w:r>
          </w:p>
        </w:tc>
        <w:tc>
          <w:tcPr>
            <w:tcW w:w="0" w:type="auto"/>
            <w:vAlign w:val="center"/>
            <w:hideMark/>
          </w:tcPr>
          <w:p w14:paraId="6D329653"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Detail-oriented</w:t>
            </w:r>
          </w:p>
        </w:tc>
      </w:tr>
      <w:tr w:rsidR="00D816F6" w:rsidRPr="002636BA" w14:paraId="277D8F26" w14:textId="77777777" w:rsidTr="00000181">
        <w:trPr>
          <w:tblCellSpacing w:w="15" w:type="dxa"/>
          <w:jc w:val="center"/>
        </w:trPr>
        <w:tc>
          <w:tcPr>
            <w:tcW w:w="0" w:type="auto"/>
            <w:vAlign w:val="center"/>
            <w:hideMark/>
          </w:tcPr>
          <w:p w14:paraId="3984E9C5"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Physical Evidence</w:t>
            </w:r>
          </w:p>
        </w:tc>
        <w:tc>
          <w:tcPr>
            <w:tcW w:w="0" w:type="auto"/>
            <w:vAlign w:val="center"/>
            <w:hideMark/>
          </w:tcPr>
          <w:p w14:paraId="3B091052"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Luxurious &amp; modern</w:t>
            </w:r>
          </w:p>
        </w:tc>
        <w:tc>
          <w:tcPr>
            <w:tcW w:w="0" w:type="auto"/>
            <w:vAlign w:val="center"/>
            <w:hideMark/>
          </w:tcPr>
          <w:p w14:paraId="65C3E6E3"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Technical &amp; structured</w:t>
            </w:r>
          </w:p>
        </w:tc>
      </w:tr>
    </w:tbl>
    <w:p w14:paraId="00C22E98" w14:textId="77777777" w:rsidR="00DE23A0" w:rsidRPr="00DE23A0" w:rsidRDefault="00DE23A0" w:rsidP="00DE23A0">
      <w:pPr>
        <w:spacing w:line="360" w:lineRule="auto"/>
        <w:rPr>
          <w:rFonts w:ascii="Calibri" w:hAnsi="Calibri" w:cs="Calibri"/>
          <w:sz w:val="22"/>
          <w:szCs w:val="22"/>
        </w:rPr>
      </w:pPr>
    </w:p>
    <w:p w14:paraId="3482386A" w14:textId="5FCDCA83" w:rsidR="00DE23A0" w:rsidRPr="00DE23A0" w:rsidRDefault="008340F2" w:rsidP="00DE23A0">
      <w:pPr>
        <w:spacing w:line="360" w:lineRule="auto"/>
        <w:rPr>
          <w:rFonts w:ascii="Calibri" w:hAnsi="Calibri" w:cs="Calibri"/>
          <w:sz w:val="22"/>
          <w:szCs w:val="22"/>
        </w:rPr>
      </w:pPr>
      <w:r w:rsidRPr="008340F2">
        <w:rPr>
          <w:rFonts w:ascii="Calibri" w:hAnsi="Calibri" w:cs="Calibri"/>
          <w:sz w:val="22"/>
          <w:szCs w:val="22"/>
        </w:rPr>
        <w:t>Sources: BMW Group (2024); Mintel (2023); Statista (2024a); BMW UK Website (2024); BMW Germany Website (2024).</w:t>
      </w:r>
    </w:p>
    <w:p w14:paraId="02BB0105" w14:textId="77777777" w:rsidR="00DE23A0" w:rsidRPr="00DE23A0" w:rsidRDefault="00DE23A0" w:rsidP="00DE23A0">
      <w:pPr>
        <w:spacing w:line="360" w:lineRule="auto"/>
        <w:rPr>
          <w:rFonts w:ascii="Calibri" w:hAnsi="Calibri" w:cs="Calibri"/>
          <w:sz w:val="22"/>
          <w:szCs w:val="22"/>
        </w:rPr>
      </w:pPr>
    </w:p>
    <w:p w14:paraId="5B22D8DF" w14:textId="77777777" w:rsidR="00DE23A0" w:rsidRPr="00DE23A0" w:rsidRDefault="00DE23A0" w:rsidP="00DE23A0">
      <w:pPr>
        <w:spacing w:line="360" w:lineRule="auto"/>
        <w:rPr>
          <w:rFonts w:ascii="Calibri" w:hAnsi="Calibri" w:cs="Calibri"/>
          <w:sz w:val="22"/>
          <w:szCs w:val="22"/>
        </w:rPr>
      </w:pPr>
    </w:p>
    <w:p w14:paraId="62E6C01C" w14:textId="77777777" w:rsidR="00DE23A0" w:rsidRPr="00DE23A0" w:rsidRDefault="00DE23A0" w:rsidP="00DE23A0">
      <w:pPr>
        <w:spacing w:line="360" w:lineRule="auto"/>
        <w:rPr>
          <w:rFonts w:ascii="Calibri" w:hAnsi="Calibri" w:cs="Calibri"/>
          <w:sz w:val="22"/>
          <w:szCs w:val="22"/>
        </w:rPr>
      </w:pPr>
    </w:p>
    <w:p w14:paraId="4964EA35" w14:textId="77777777" w:rsidR="00DE23A0" w:rsidRPr="00DE23A0" w:rsidRDefault="00DE23A0" w:rsidP="00DE23A0">
      <w:pPr>
        <w:spacing w:line="360" w:lineRule="auto"/>
        <w:rPr>
          <w:rFonts w:ascii="Calibri" w:hAnsi="Calibri" w:cs="Calibri"/>
          <w:sz w:val="22"/>
          <w:szCs w:val="22"/>
        </w:rPr>
      </w:pPr>
    </w:p>
    <w:p w14:paraId="3F79CCA5" w14:textId="77777777" w:rsidR="00DE23A0" w:rsidRPr="00DE23A0" w:rsidRDefault="00DE23A0" w:rsidP="00DE23A0">
      <w:pPr>
        <w:spacing w:line="360" w:lineRule="auto"/>
        <w:rPr>
          <w:rFonts w:ascii="Calibri" w:hAnsi="Calibri" w:cs="Calibri"/>
          <w:sz w:val="22"/>
          <w:szCs w:val="22"/>
        </w:rPr>
      </w:pPr>
    </w:p>
    <w:p w14:paraId="3EACA42B" w14:textId="77777777" w:rsidR="00DE23A0" w:rsidRPr="00DE23A0" w:rsidRDefault="00DE23A0" w:rsidP="00DE23A0">
      <w:pPr>
        <w:spacing w:line="360" w:lineRule="auto"/>
        <w:rPr>
          <w:rFonts w:ascii="Calibri" w:hAnsi="Calibri" w:cs="Calibri"/>
          <w:sz w:val="22"/>
          <w:szCs w:val="22"/>
        </w:rPr>
      </w:pPr>
    </w:p>
    <w:p w14:paraId="0022D161" w14:textId="77777777" w:rsidR="00DE23A0" w:rsidRPr="00DE23A0" w:rsidRDefault="00DE23A0" w:rsidP="00DE23A0">
      <w:pPr>
        <w:spacing w:line="360" w:lineRule="auto"/>
        <w:rPr>
          <w:rFonts w:ascii="Calibri" w:hAnsi="Calibri" w:cs="Calibri"/>
          <w:sz w:val="22"/>
          <w:szCs w:val="22"/>
        </w:rPr>
      </w:pPr>
    </w:p>
    <w:p w14:paraId="52C71BDA" w14:textId="77777777" w:rsidR="00DE23A0" w:rsidRPr="00DE23A0" w:rsidRDefault="00DE23A0" w:rsidP="00DE23A0">
      <w:pPr>
        <w:spacing w:line="360" w:lineRule="auto"/>
        <w:rPr>
          <w:rFonts w:ascii="Calibri" w:hAnsi="Calibri" w:cs="Calibri"/>
          <w:sz w:val="22"/>
          <w:szCs w:val="22"/>
        </w:rPr>
      </w:pPr>
    </w:p>
    <w:p w14:paraId="62617D3B" w14:textId="77777777" w:rsidR="008340F2" w:rsidRDefault="008340F2" w:rsidP="00DE23A0">
      <w:pPr>
        <w:spacing w:line="360" w:lineRule="auto"/>
        <w:rPr>
          <w:rFonts w:ascii="Calibri" w:hAnsi="Calibri" w:cs="Calibri"/>
          <w:sz w:val="22"/>
          <w:szCs w:val="22"/>
        </w:rPr>
      </w:pPr>
    </w:p>
    <w:p w14:paraId="7BA9C5D7" w14:textId="2D34EC7F" w:rsidR="00DE23A0" w:rsidRPr="00D816F6" w:rsidRDefault="00D816F6" w:rsidP="00DE23A0">
      <w:pPr>
        <w:spacing w:line="360" w:lineRule="auto"/>
        <w:rPr>
          <w:rFonts w:ascii="Calibri" w:hAnsi="Calibri" w:cs="Calibri"/>
          <w:b/>
          <w:bCs/>
          <w:sz w:val="32"/>
          <w:szCs w:val="32"/>
        </w:rPr>
      </w:pPr>
      <w:r w:rsidRPr="00D816F6">
        <w:rPr>
          <w:rFonts w:ascii="Calibri" w:hAnsi="Calibri" w:cs="Calibri"/>
          <w:b/>
          <w:bCs/>
          <w:sz w:val="32"/>
          <w:szCs w:val="32"/>
        </w:rPr>
        <w:lastRenderedPageBreak/>
        <w:t xml:space="preserve">EVALUATION </w:t>
      </w:r>
      <w:r w:rsidR="00DE23A0" w:rsidRPr="00D816F6">
        <w:rPr>
          <w:rFonts w:ascii="Calibri" w:hAnsi="Calibri" w:cs="Calibri"/>
          <w:b/>
          <w:bCs/>
          <w:sz w:val="32"/>
          <w:szCs w:val="32"/>
        </w:rPr>
        <w:t>OF THE PERFORMANCE OF MARKETING STRATEGIES</w:t>
      </w:r>
    </w:p>
    <w:p w14:paraId="3B17C4AA" w14:textId="77777777" w:rsidR="00DE23A0" w:rsidRPr="00DE23A0" w:rsidRDefault="00DE23A0" w:rsidP="00DE23A0">
      <w:pPr>
        <w:spacing w:line="360" w:lineRule="auto"/>
        <w:rPr>
          <w:rFonts w:ascii="Calibri" w:hAnsi="Calibri" w:cs="Calibri"/>
          <w:sz w:val="22"/>
          <w:szCs w:val="22"/>
        </w:rPr>
      </w:pPr>
    </w:p>
    <w:p w14:paraId="19E0757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Evaluating the effectiveness of BMW’s marketing strategies in the United Kingdom (Country A) and Germany (Country B) requires an assessment of market share performance, sales growth, brand equity, digital engagement, and alignment with consumer expectations (BMW Group, 2023; BMW Group, 2024). Both markets play a critical role in BMW’s global footprint, but their performance outcomes differ due to contrasting cultural values, economic conditions, and competitive landscapes.</w:t>
      </w:r>
    </w:p>
    <w:p w14:paraId="5307298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ability to standardise global brand identity while adapting marketing elements such as messaging, positioning, and pricing has contributed significantly to its success in both the UK and Germany (Levitt, 1983). However, each market presents unique strengths and challenges that influence overall performance.</w:t>
      </w:r>
    </w:p>
    <w:p w14:paraId="54D1DF76" w14:textId="77777777" w:rsidR="00DE23A0" w:rsidRPr="00DE23A0" w:rsidRDefault="00DE23A0" w:rsidP="00DE23A0">
      <w:pPr>
        <w:spacing w:line="360" w:lineRule="auto"/>
        <w:rPr>
          <w:rFonts w:ascii="Calibri" w:hAnsi="Calibri" w:cs="Calibri"/>
          <w:sz w:val="22"/>
          <w:szCs w:val="22"/>
        </w:rPr>
      </w:pPr>
    </w:p>
    <w:p w14:paraId="12769886" w14:textId="77777777" w:rsidR="00DE23A0" w:rsidRPr="00D816F6" w:rsidRDefault="00DE23A0" w:rsidP="00DE23A0">
      <w:pPr>
        <w:spacing w:line="360" w:lineRule="auto"/>
        <w:rPr>
          <w:rFonts w:ascii="Calibri" w:hAnsi="Calibri" w:cs="Calibri"/>
          <w:b/>
          <w:bCs/>
          <w:sz w:val="22"/>
          <w:szCs w:val="22"/>
        </w:rPr>
      </w:pPr>
      <w:r w:rsidRPr="00D816F6">
        <w:rPr>
          <w:rFonts w:ascii="Calibri" w:hAnsi="Calibri" w:cs="Calibri"/>
          <w:b/>
          <w:bCs/>
          <w:sz w:val="22"/>
          <w:szCs w:val="22"/>
        </w:rPr>
        <w:t>Market Share and Sales Performance</w:t>
      </w:r>
    </w:p>
    <w:p w14:paraId="6AC5FA4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(Country A)</w:t>
      </w:r>
    </w:p>
    <w:p w14:paraId="48209A4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is BMW’s fourth-largest global market and one of its most profitable international regions. According to BMW’s annual report (BMW Group, 2024), the brand achieves approximately 7% market share in the UK automotive market, consistently performing as one of the top three premium marques.</w:t>
      </w:r>
    </w:p>
    <w:p w14:paraId="25CBF0C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performance in the UK is underpinned by:</w:t>
      </w:r>
    </w:p>
    <w:p w14:paraId="1BE20C9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demand for premium compact and mid-size models 1 Series, 3 Series, X1 (Mintel, 2023)</w:t>
      </w:r>
    </w:p>
    <w:p w14:paraId="4A08E89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Rapidly growing interest in electric models such as the i4, iX1, and i7 (Statista, 2024b).</w:t>
      </w:r>
    </w:p>
    <w:p w14:paraId="52CF175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adoption of Personal Contract Purchase (PCP), which makes premium cars financially accessible</w:t>
      </w:r>
    </w:p>
    <w:p w14:paraId="6DBF001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High digital engagement, with a significant percentage of consumers using online tools for configuration and purchasing (BMW Group, 2024)</w:t>
      </w:r>
    </w:p>
    <w:p w14:paraId="5373D8A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The UK market’s emphasis on lifestyle expression and design aligns strongly with BMW’s emotionally driven promotional strategy. The introduction of hybrid and EV models further strengthens BMW’s presence in an environmentally conscious market.</w:t>
      </w:r>
    </w:p>
    <w:p w14:paraId="1E4C998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Overall, BMW’s marketing strategy in the UK is highly successful, particularly due to its combination of aspirational branding and flexible financial solutions.</w:t>
      </w:r>
    </w:p>
    <w:p w14:paraId="7BA99ADD" w14:textId="77777777" w:rsidR="00DE23A0" w:rsidRPr="00DE23A0" w:rsidRDefault="00DE23A0" w:rsidP="00DE23A0">
      <w:pPr>
        <w:spacing w:line="360" w:lineRule="auto"/>
        <w:rPr>
          <w:rFonts w:ascii="Calibri" w:hAnsi="Calibri" w:cs="Calibri"/>
          <w:sz w:val="22"/>
          <w:szCs w:val="22"/>
        </w:rPr>
      </w:pPr>
    </w:p>
    <w:p w14:paraId="34A7088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(Country B)</w:t>
      </w:r>
    </w:p>
    <w:p w14:paraId="06FFAAD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is BMW’s home market and accounts for a significant share of its global sales. With an 8.2% market share (Statista, 2024a), BMW competes closely with Mercedes-Benz and Audi, forming the German premium automotive triad. The brand’s strong local performance is attributed to its reputation for engineering excellence, technological innovation, and manufacturing quality.</w:t>
      </w:r>
    </w:p>
    <w:p w14:paraId="194ACF7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drivers of BMW’s strong performance in Germany include:</w:t>
      </w:r>
    </w:p>
    <w:p w14:paraId="66066A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domestic loyalty towards premium German brands</w:t>
      </w:r>
    </w:p>
    <w:p w14:paraId="1F2E32D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demand for engineering-focused models such as the 3 Series and 5 Series</w:t>
      </w:r>
    </w:p>
    <w:p w14:paraId="4A6128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mature EV market with strong federal incentives</w:t>
      </w:r>
    </w:p>
    <w:p w14:paraId="0C48E6F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Domestic trust in BMW’s safety, durability, and technical reliability</w:t>
      </w:r>
    </w:p>
    <w:p w14:paraId="63D240F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fleet sales due to corporate company car programmes</w:t>
      </w:r>
    </w:p>
    <w:p w14:paraId="1413216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Germany’s highly rational consumer base responds effectively to BMW’s technical and performance-oriented marketing strategy. Product features, drivetrain efficiency, safety enhancements, and performance metrics are central to BMW’s communication in Germany — and these themes resonate strongly with consumers.</w:t>
      </w:r>
    </w:p>
    <w:p w14:paraId="3CF4D51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performance in Germany can therefore be classified as very successful, driven by the brand’s heritage and the alignment between product features and consumer expectations.</w:t>
      </w:r>
    </w:p>
    <w:p w14:paraId="17A0A6EF" w14:textId="77777777" w:rsidR="00DE23A0" w:rsidRPr="00DE23A0" w:rsidRDefault="00DE23A0" w:rsidP="00DE23A0">
      <w:pPr>
        <w:spacing w:line="360" w:lineRule="auto"/>
        <w:rPr>
          <w:rFonts w:ascii="Calibri" w:hAnsi="Calibri" w:cs="Calibri"/>
          <w:sz w:val="22"/>
          <w:szCs w:val="22"/>
        </w:rPr>
      </w:pPr>
    </w:p>
    <w:p w14:paraId="5669195E" w14:textId="77777777" w:rsidR="00D816F6" w:rsidRDefault="00D816F6" w:rsidP="00DE23A0">
      <w:pPr>
        <w:spacing w:line="360" w:lineRule="auto"/>
        <w:rPr>
          <w:rFonts w:ascii="Calibri" w:hAnsi="Calibri" w:cs="Calibri"/>
          <w:b/>
          <w:bCs/>
          <w:sz w:val="22"/>
          <w:szCs w:val="22"/>
        </w:rPr>
      </w:pPr>
    </w:p>
    <w:p w14:paraId="09EAF589" w14:textId="77777777" w:rsidR="00D816F6" w:rsidRDefault="00D816F6" w:rsidP="00DE23A0">
      <w:pPr>
        <w:spacing w:line="360" w:lineRule="auto"/>
        <w:rPr>
          <w:rFonts w:ascii="Calibri" w:hAnsi="Calibri" w:cs="Calibri"/>
          <w:b/>
          <w:bCs/>
          <w:sz w:val="22"/>
          <w:szCs w:val="22"/>
        </w:rPr>
      </w:pPr>
    </w:p>
    <w:p w14:paraId="0930D9CC" w14:textId="18FF018B" w:rsidR="00DE23A0" w:rsidRPr="00D816F6" w:rsidRDefault="00DE23A0" w:rsidP="00DE23A0">
      <w:pPr>
        <w:spacing w:line="360" w:lineRule="auto"/>
        <w:rPr>
          <w:rFonts w:ascii="Calibri" w:hAnsi="Calibri" w:cs="Calibri"/>
          <w:b/>
          <w:bCs/>
          <w:sz w:val="22"/>
          <w:szCs w:val="22"/>
        </w:rPr>
      </w:pPr>
      <w:r w:rsidRPr="00D816F6">
        <w:rPr>
          <w:rFonts w:ascii="Calibri" w:hAnsi="Calibri" w:cs="Calibri"/>
          <w:b/>
          <w:bCs/>
          <w:sz w:val="22"/>
          <w:szCs w:val="22"/>
        </w:rPr>
        <w:lastRenderedPageBreak/>
        <w:t>Brand Equity and Consumer Perception</w:t>
      </w:r>
    </w:p>
    <w:p w14:paraId="322018B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1460E16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enjoys strong brand equity in the UK, frequently ranking within the top premium automotive brands for brand awareness, desirability, and perceived quality (Kantar BrandZ, 2024). Kantar BrandZ reports consistent improvements in BMW’s brand strength due to its blend of lifestyle appeal, digital integration, and technological innovation.</w:t>
      </w:r>
    </w:p>
    <w:p w14:paraId="63B3D36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is widely perceived as:</w:t>
      </w:r>
    </w:p>
    <w:p w14:paraId="04C11B7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Prestigious</w:t>
      </w:r>
    </w:p>
    <w:p w14:paraId="7F4754E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Stylish</w:t>
      </w:r>
    </w:p>
    <w:p w14:paraId="6E92313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Technologically advanced</w:t>
      </w:r>
    </w:p>
    <w:p w14:paraId="7976BD1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Environmentally progressive</w:t>
      </w:r>
    </w:p>
    <w:p w14:paraId="5B41A29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consumers often interpret BMW as a symbol of success and personal achievement, supporting the effectiveness of emotional and lifestyle-oriented advertising.</w:t>
      </w:r>
    </w:p>
    <w:p w14:paraId="0006E5A8" w14:textId="77777777" w:rsidR="00DE23A0" w:rsidRPr="00DE23A0" w:rsidRDefault="00DE23A0" w:rsidP="00DE23A0">
      <w:pPr>
        <w:spacing w:line="360" w:lineRule="auto"/>
        <w:rPr>
          <w:rFonts w:ascii="Calibri" w:hAnsi="Calibri" w:cs="Calibri"/>
          <w:sz w:val="22"/>
          <w:szCs w:val="22"/>
        </w:rPr>
      </w:pPr>
    </w:p>
    <w:p w14:paraId="23A5020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0C4A74A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BMW’s brand equity is tied closely to its engineering pedigree, representing:</w:t>
      </w:r>
    </w:p>
    <w:p w14:paraId="1F6AB43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Manufacturing excellence</w:t>
      </w:r>
    </w:p>
    <w:p w14:paraId="5B9071A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Precision and performance</w:t>
      </w:r>
    </w:p>
    <w:p w14:paraId="4F640A8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Reliability and safety</w:t>
      </w:r>
    </w:p>
    <w:p w14:paraId="4BF58DA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Technological superiority (BMW Group, 2023).</w:t>
      </w:r>
    </w:p>
    <w:p w14:paraId="26471B2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consumers trust BMW’s technical capabilities, which reinforces the brand’s long-standing reputation in its home market. BMW’s position as a leader in EV and hybrid powertrains enhances this perception further.</w:t>
      </w:r>
    </w:p>
    <w:p w14:paraId="10E878F7" w14:textId="77777777" w:rsidR="00DE23A0" w:rsidRPr="00DE23A0" w:rsidRDefault="00DE23A0" w:rsidP="00DE23A0">
      <w:pPr>
        <w:spacing w:line="360" w:lineRule="auto"/>
        <w:rPr>
          <w:rFonts w:ascii="Calibri" w:hAnsi="Calibri" w:cs="Calibri"/>
          <w:sz w:val="22"/>
          <w:szCs w:val="22"/>
        </w:rPr>
      </w:pPr>
    </w:p>
    <w:p w14:paraId="6FDE9336" w14:textId="77777777" w:rsidR="00D816F6" w:rsidRDefault="00D816F6" w:rsidP="00DE23A0">
      <w:pPr>
        <w:spacing w:line="360" w:lineRule="auto"/>
        <w:rPr>
          <w:rFonts w:ascii="Calibri" w:hAnsi="Calibri" w:cs="Calibri"/>
          <w:sz w:val="22"/>
          <w:szCs w:val="22"/>
        </w:rPr>
      </w:pPr>
    </w:p>
    <w:p w14:paraId="41754325" w14:textId="15DA398D" w:rsidR="00DE23A0" w:rsidRPr="00D816F6" w:rsidRDefault="00DE23A0" w:rsidP="00DE23A0">
      <w:pPr>
        <w:spacing w:line="360" w:lineRule="auto"/>
        <w:rPr>
          <w:rFonts w:ascii="Calibri" w:hAnsi="Calibri" w:cs="Calibri"/>
          <w:b/>
          <w:bCs/>
          <w:sz w:val="22"/>
          <w:szCs w:val="22"/>
        </w:rPr>
      </w:pPr>
      <w:r w:rsidRPr="00D816F6">
        <w:rPr>
          <w:rFonts w:ascii="Calibri" w:hAnsi="Calibri" w:cs="Calibri"/>
          <w:b/>
          <w:bCs/>
          <w:sz w:val="22"/>
          <w:szCs w:val="22"/>
        </w:rPr>
        <w:lastRenderedPageBreak/>
        <w:t>Digital and Social Media Performance</w:t>
      </w:r>
    </w:p>
    <w:p w14:paraId="4A9DAAB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1DAC461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UK’s digital presence is exceptionally strong, leveraging social media, influencers, and online configurators. Instagram and YouTube campaigns frequently showcase urban lifestyles, test-drive experiences, and electric vehicle benefits. BMW UK’s digital-first strategy aligns with the market’s high adoption of online research and purchasing.</w:t>
      </w:r>
    </w:p>
    <w:p w14:paraId="7509BEF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Engagement is driven by:</w:t>
      </w:r>
    </w:p>
    <w:p w14:paraId="11F0D99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Influencer partnerships</w:t>
      </w:r>
    </w:p>
    <w:p w14:paraId="5FD7214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Digital storytelling</w:t>
      </w:r>
    </w:p>
    <w:p w14:paraId="5B24BB4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User-generated content</w:t>
      </w:r>
    </w:p>
    <w:p w14:paraId="2B321AE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Virtual showrooms and AR experiences (BMW Group, 2024).</w:t>
      </w:r>
    </w:p>
    <w:p w14:paraId="3C3F67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contributes significantly to consumer interest and lead generation.</w:t>
      </w:r>
    </w:p>
    <w:p w14:paraId="677A8FC0" w14:textId="77777777" w:rsidR="00DE23A0" w:rsidRPr="00DE23A0" w:rsidRDefault="00DE23A0" w:rsidP="00DE23A0">
      <w:pPr>
        <w:spacing w:line="360" w:lineRule="auto"/>
        <w:rPr>
          <w:rFonts w:ascii="Calibri" w:hAnsi="Calibri" w:cs="Calibri"/>
          <w:sz w:val="22"/>
          <w:szCs w:val="22"/>
        </w:rPr>
      </w:pPr>
    </w:p>
    <w:p w14:paraId="63E9A26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1508013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Germany’s digital performance is strong but takes a more technical orientation. Social media content focuses on engineering processes, safety demonstrations, and technological innovations. German consumers prefer factual, informative content rather than lifestyle-driven advertising.</w:t>
      </w:r>
    </w:p>
    <w:p w14:paraId="6F24675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Thus, BMW successfully aligns its digital communication approach with local cultural expectations.</w:t>
      </w:r>
    </w:p>
    <w:p w14:paraId="629E2B55" w14:textId="77777777" w:rsidR="00DE23A0" w:rsidRPr="00DE23A0" w:rsidRDefault="00DE23A0" w:rsidP="00DE23A0">
      <w:pPr>
        <w:spacing w:line="360" w:lineRule="auto"/>
        <w:rPr>
          <w:rFonts w:ascii="Calibri" w:hAnsi="Calibri" w:cs="Calibri"/>
          <w:sz w:val="22"/>
          <w:szCs w:val="22"/>
        </w:rPr>
      </w:pPr>
    </w:p>
    <w:p w14:paraId="68F13FE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Strategic and Financial Outcomes</w:t>
      </w:r>
    </w:p>
    <w:p w14:paraId="0A2D93E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Overall, BMW’s strategic outcomes in both markets demonstrate high effectiveness:</w:t>
      </w:r>
    </w:p>
    <w:p w14:paraId="1190D37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 Key Outcomes</w:t>
      </w:r>
    </w:p>
    <w:p w14:paraId="7C0DA3C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Stable market share approx. 7% (BMW Group, 2024).</w:t>
      </w:r>
    </w:p>
    <w:p w14:paraId="32509C1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Growth in EV sales (Statista, 2024b).</w:t>
      </w:r>
    </w:p>
    <w:p w14:paraId="59815BB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High PCP adoption (Mintel, 2023).</w:t>
      </w:r>
    </w:p>
    <w:p w14:paraId="52A7BC1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digital engagement</w:t>
      </w:r>
    </w:p>
    <w:p w14:paraId="07E7A4F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Positive brand equity growth</w:t>
      </w:r>
    </w:p>
    <w:p w14:paraId="5CAF31D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 Key Outcomes</w:t>
      </w:r>
    </w:p>
    <w:p w14:paraId="4818478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loyalty from domestic consumers</w:t>
      </w:r>
    </w:p>
    <w:p w14:paraId="667D870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Competitive advantage in engineering perception</w:t>
      </w:r>
    </w:p>
    <w:p w14:paraId="78B2B23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EV uptake supported by government incentives</w:t>
      </w:r>
    </w:p>
    <w:p w14:paraId="7A6D016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Continuous technological leadership</w:t>
      </w:r>
    </w:p>
    <w:p w14:paraId="42DB1F6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High-value fleet sales</w:t>
      </w:r>
    </w:p>
    <w:p w14:paraId="6B4FEC82" w14:textId="77777777" w:rsidR="00DE23A0" w:rsidRPr="00DE23A0" w:rsidRDefault="00DE23A0" w:rsidP="00DE23A0">
      <w:pPr>
        <w:spacing w:line="360" w:lineRule="auto"/>
        <w:rPr>
          <w:rFonts w:ascii="Calibri" w:hAnsi="Calibri" w:cs="Calibri"/>
          <w:sz w:val="22"/>
          <w:szCs w:val="22"/>
        </w:rPr>
      </w:pPr>
    </w:p>
    <w:p w14:paraId="7431255E" w14:textId="77777777" w:rsidR="00DE23A0" w:rsidRPr="005C2A93" w:rsidRDefault="00DE23A0" w:rsidP="00DE23A0">
      <w:pPr>
        <w:spacing w:line="360" w:lineRule="auto"/>
        <w:rPr>
          <w:rFonts w:ascii="Calibri" w:hAnsi="Calibri" w:cs="Calibri"/>
          <w:b/>
          <w:bCs/>
          <w:sz w:val="22"/>
          <w:szCs w:val="22"/>
        </w:rPr>
      </w:pPr>
      <w:r w:rsidRPr="005C2A93">
        <w:rPr>
          <w:rFonts w:ascii="Calibri" w:hAnsi="Calibri" w:cs="Calibri"/>
          <w:b/>
          <w:bCs/>
          <w:sz w:val="22"/>
          <w:szCs w:val="22"/>
        </w:rPr>
        <w:t>Evaluation Summary</w:t>
      </w:r>
    </w:p>
    <w:p w14:paraId="1C7387F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marketing strategies in the UK and Germany are both successful, but for different reasons:</w:t>
      </w:r>
    </w:p>
    <w:p w14:paraId="1733586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 the UK, success comes from emotional branding, affordability through financing, and strong digital marketing.</w:t>
      </w:r>
    </w:p>
    <w:p w14:paraId="27D3738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 Germany, success is driven by technical credibility, rational product communication, and brand heritage.</w:t>
      </w:r>
    </w:p>
    <w:p w14:paraId="76041BD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demonstrates a strong ability to adapt to contrasting consumer behaviours while maintaining a unified global identity. This balance between global standardisation and local adaptation is central to the brand’s sustained success.</w:t>
      </w:r>
    </w:p>
    <w:p w14:paraId="16AE1055" w14:textId="77777777" w:rsidR="00DE23A0" w:rsidRPr="00DE23A0" w:rsidRDefault="00DE23A0" w:rsidP="00DE23A0">
      <w:pPr>
        <w:spacing w:line="360" w:lineRule="auto"/>
        <w:rPr>
          <w:rFonts w:ascii="Calibri" w:hAnsi="Calibri" w:cs="Calibri"/>
          <w:sz w:val="22"/>
          <w:szCs w:val="22"/>
        </w:rPr>
      </w:pPr>
    </w:p>
    <w:p w14:paraId="2EB549F2" w14:textId="77777777" w:rsidR="00DE23A0" w:rsidRPr="00DE23A0" w:rsidRDefault="00DE23A0" w:rsidP="00DE23A0">
      <w:pPr>
        <w:spacing w:line="360" w:lineRule="auto"/>
        <w:rPr>
          <w:rFonts w:ascii="Calibri" w:hAnsi="Calibri" w:cs="Calibri"/>
          <w:sz w:val="22"/>
          <w:szCs w:val="22"/>
        </w:rPr>
      </w:pPr>
    </w:p>
    <w:p w14:paraId="7BE2A42C" w14:textId="77777777" w:rsidR="00DE23A0" w:rsidRPr="00DE23A0" w:rsidRDefault="00DE23A0" w:rsidP="00DE23A0">
      <w:pPr>
        <w:spacing w:line="360" w:lineRule="auto"/>
        <w:rPr>
          <w:rFonts w:ascii="Calibri" w:hAnsi="Calibri" w:cs="Calibri"/>
          <w:sz w:val="22"/>
          <w:szCs w:val="22"/>
        </w:rPr>
      </w:pPr>
    </w:p>
    <w:p w14:paraId="40C13554" w14:textId="77777777" w:rsidR="00DE23A0" w:rsidRPr="00DE23A0" w:rsidRDefault="00DE23A0" w:rsidP="00DE23A0">
      <w:pPr>
        <w:spacing w:line="360" w:lineRule="auto"/>
        <w:rPr>
          <w:rFonts w:ascii="Calibri" w:hAnsi="Calibri" w:cs="Calibri"/>
          <w:sz w:val="22"/>
          <w:szCs w:val="22"/>
        </w:rPr>
      </w:pPr>
    </w:p>
    <w:p w14:paraId="0853A212" w14:textId="77777777" w:rsidR="005C2A93" w:rsidRDefault="005C2A93" w:rsidP="00DE23A0">
      <w:pPr>
        <w:spacing w:line="360" w:lineRule="auto"/>
        <w:rPr>
          <w:rFonts w:ascii="Calibri" w:hAnsi="Calibri" w:cs="Calibri"/>
          <w:sz w:val="22"/>
          <w:szCs w:val="22"/>
        </w:rPr>
      </w:pPr>
    </w:p>
    <w:p w14:paraId="17D12EB0" w14:textId="377B17FA" w:rsidR="00DE23A0" w:rsidRPr="005C2A93" w:rsidRDefault="00DE23A0" w:rsidP="00DE23A0">
      <w:pPr>
        <w:spacing w:line="360" w:lineRule="auto"/>
        <w:rPr>
          <w:rFonts w:ascii="Calibri" w:hAnsi="Calibri" w:cs="Calibri"/>
          <w:b/>
          <w:bCs/>
          <w:sz w:val="32"/>
          <w:szCs w:val="32"/>
        </w:rPr>
      </w:pPr>
      <w:r w:rsidRPr="005C2A93">
        <w:rPr>
          <w:rFonts w:ascii="Calibri" w:hAnsi="Calibri" w:cs="Calibri"/>
          <w:b/>
          <w:bCs/>
          <w:sz w:val="32"/>
          <w:szCs w:val="32"/>
        </w:rPr>
        <w:lastRenderedPageBreak/>
        <w:t>EVALUATION OF MARKETING ETHICS PRACTICE</w:t>
      </w:r>
    </w:p>
    <w:p w14:paraId="4EF8D1A8" w14:textId="77777777" w:rsidR="00DE23A0" w:rsidRPr="00DE23A0" w:rsidRDefault="00DE23A0" w:rsidP="00DE23A0">
      <w:pPr>
        <w:spacing w:line="360" w:lineRule="auto"/>
        <w:rPr>
          <w:rFonts w:ascii="Calibri" w:hAnsi="Calibri" w:cs="Calibri"/>
          <w:sz w:val="22"/>
          <w:szCs w:val="22"/>
        </w:rPr>
      </w:pPr>
    </w:p>
    <w:p w14:paraId="3A8FEAF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Ethical marketing practices are increasingly important in the automotive sector, driven by consumer expectations, regulatory pressures, and environmental concerns (UK Government, 2024).</w:t>
      </w:r>
    </w:p>
    <w:p w14:paraId="3E35731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 This section evaluates BMW’s ethical performance in both the UK and Germany, specifically in relation to the marketing mix (product, price, and promotion), as required by the assignment brief.</w:t>
      </w:r>
    </w:p>
    <w:p w14:paraId="238C70FA" w14:textId="77777777" w:rsidR="00DE23A0" w:rsidRPr="00DE23A0" w:rsidRDefault="00DE23A0" w:rsidP="00DE23A0">
      <w:pPr>
        <w:spacing w:line="360" w:lineRule="auto"/>
        <w:rPr>
          <w:rFonts w:ascii="Calibri" w:hAnsi="Calibri" w:cs="Calibri"/>
          <w:sz w:val="22"/>
          <w:szCs w:val="22"/>
        </w:rPr>
      </w:pPr>
    </w:p>
    <w:p w14:paraId="5DD6EED3" w14:textId="77777777" w:rsidR="00DE23A0" w:rsidRPr="005C2A93" w:rsidRDefault="00DE23A0" w:rsidP="00DE23A0">
      <w:pPr>
        <w:spacing w:line="360" w:lineRule="auto"/>
        <w:rPr>
          <w:rFonts w:ascii="Calibri" w:hAnsi="Calibri" w:cs="Calibri"/>
          <w:b/>
          <w:bCs/>
          <w:sz w:val="22"/>
          <w:szCs w:val="22"/>
        </w:rPr>
      </w:pPr>
      <w:r w:rsidRPr="005C2A93">
        <w:rPr>
          <w:rFonts w:ascii="Calibri" w:hAnsi="Calibri" w:cs="Calibri"/>
          <w:b/>
          <w:bCs/>
          <w:sz w:val="22"/>
          <w:szCs w:val="22"/>
        </w:rPr>
        <w:t>Product Ethics</w:t>
      </w:r>
    </w:p>
    <w:p w14:paraId="199503D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Environmental Sustainability &amp; EV Transparency</w:t>
      </w:r>
    </w:p>
    <w:p w14:paraId="04C1649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positions itself as a leader in sustainable mobility through its i-Series electric vehicles. However, ethical concerns have been raised over the sourcing of raw materials used in EV battery production, particularly cobalt and lithium (BMW Group, 2024). Environmental groups argue that BMW must enhance transparency in its supply chain and ensure responsible sourcing practices.</w:t>
      </w:r>
    </w:p>
    <w:p w14:paraId="0A3CB6A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Additionally, plug-in hybrid cars (PHEVs) have faced criticism across Europe for overstating real-world fuel efficiency. While BMW complies with WLTP testing standards, ethical marketing requires clearer communication around real-world energy consumption.</w:t>
      </w:r>
    </w:p>
    <w:p w14:paraId="56379DD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2EAF79B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regulators enforce strict requirements on environmental claims. BMW’s technical emphasis reduces the risk of overstated sustainability claims, but must still ensure factual accuracy.</w:t>
      </w:r>
    </w:p>
    <w:p w14:paraId="1CDDC3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02B49E9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consumers are more likely to interpret sustainability claims aspirationally. This increases the risk of accusations of “greenwashing” if marketing focuses too heavily on emotional sustainability narratives.</w:t>
      </w:r>
    </w:p>
    <w:p w14:paraId="663422D3" w14:textId="77777777" w:rsidR="00DE23A0" w:rsidRPr="00DE23A0" w:rsidRDefault="00DE23A0" w:rsidP="00DE23A0">
      <w:pPr>
        <w:spacing w:line="360" w:lineRule="auto"/>
        <w:rPr>
          <w:rFonts w:ascii="Calibri" w:hAnsi="Calibri" w:cs="Calibri"/>
          <w:sz w:val="22"/>
          <w:szCs w:val="22"/>
        </w:rPr>
      </w:pPr>
    </w:p>
    <w:p w14:paraId="6224278F" w14:textId="77777777" w:rsidR="005C2A93" w:rsidRDefault="005C2A93" w:rsidP="00DE23A0">
      <w:pPr>
        <w:spacing w:line="360" w:lineRule="auto"/>
        <w:rPr>
          <w:rFonts w:ascii="Calibri" w:hAnsi="Calibri" w:cs="Calibri"/>
          <w:b/>
          <w:bCs/>
          <w:sz w:val="22"/>
          <w:szCs w:val="22"/>
        </w:rPr>
      </w:pPr>
    </w:p>
    <w:p w14:paraId="67E8C370" w14:textId="77777777" w:rsidR="005C2A93" w:rsidRDefault="005C2A93" w:rsidP="00DE23A0">
      <w:pPr>
        <w:spacing w:line="360" w:lineRule="auto"/>
        <w:rPr>
          <w:rFonts w:ascii="Calibri" w:hAnsi="Calibri" w:cs="Calibri"/>
          <w:b/>
          <w:bCs/>
          <w:sz w:val="22"/>
          <w:szCs w:val="22"/>
        </w:rPr>
      </w:pPr>
    </w:p>
    <w:p w14:paraId="7928E60C" w14:textId="200E83F3" w:rsidR="00DE23A0" w:rsidRPr="005C2A93" w:rsidRDefault="00DE23A0" w:rsidP="00DE23A0">
      <w:pPr>
        <w:spacing w:line="360" w:lineRule="auto"/>
        <w:rPr>
          <w:rFonts w:ascii="Calibri" w:hAnsi="Calibri" w:cs="Calibri"/>
          <w:b/>
          <w:bCs/>
          <w:sz w:val="22"/>
          <w:szCs w:val="22"/>
        </w:rPr>
      </w:pPr>
      <w:r w:rsidRPr="005C2A93">
        <w:rPr>
          <w:rFonts w:ascii="Calibri" w:hAnsi="Calibri" w:cs="Calibri"/>
          <w:b/>
          <w:bCs/>
          <w:sz w:val="22"/>
          <w:szCs w:val="22"/>
        </w:rPr>
        <w:lastRenderedPageBreak/>
        <w:t>Pricing Ethics</w:t>
      </w:r>
    </w:p>
    <w:p w14:paraId="310E52B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Pricing Transparency in the UK</w:t>
      </w:r>
    </w:p>
    <w:p w14:paraId="0D8745B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reliance on PCP financing raises ethical considerations. PCP makes premium vehicles more accessible, but critics argue that long-term affordability is unclear. Consumers often underestimate total payment amount or residual value commitments.</w:t>
      </w:r>
    </w:p>
    <w:p w14:paraId="198A492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Ethical pricing requires:</w:t>
      </w:r>
    </w:p>
    <w:p w14:paraId="69256EE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Clear disclosure of total cost of ownership</w:t>
      </w:r>
    </w:p>
    <w:p w14:paraId="5C1C78E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Transparent explanation of balloon payments</w:t>
      </w:r>
    </w:p>
    <w:p w14:paraId="4B57C9E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Honest representation of affordability</w:t>
      </w:r>
    </w:p>
    <w:p w14:paraId="01E895E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Pricing in Germany</w:t>
      </w:r>
    </w:p>
    <w:p w14:paraId="52CB9E9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buyers are less reliant on PCP, reducing pricing ethics risks. However, high costs of performance upgrades raise questions about fairness and accessibility.</w:t>
      </w:r>
    </w:p>
    <w:p w14:paraId="68905210" w14:textId="77777777" w:rsidR="00DE23A0" w:rsidRPr="00DE23A0" w:rsidRDefault="00DE23A0" w:rsidP="00DE23A0">
      <w:pPr>
        <w:spacing w:line="360" w:lineRule="auto"/>
        <w:rPr>
          <w:rFonts w:ascii="Calibri" w:hAnsi="Calibri" w:cs="Calibri"/>
          <w:sz w:val="22"/>
          <w:szCs w:val="22"/>
        </w:rPr>
      </w:pPr>
    </w:p>
    <w:p w14:paraId="03A911A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Promotion Ethics</w:t>
      </w:r>
    </w:p>
    <w:p w14:paraId="0817AF8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Promotion in the UK</w:t>
      </w:r>
    </w:p>
    <w:p w14:paraId="0FB4AE4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UK uses emotional, lifestyle-driven campaigns. While effective, emotionally charged advertising can risk exaggeration, especially around sustainability. The UK Advertising Standards Authority (ASA) has previously investigated automotive environmental claims, making transparency essential.</w:t>
      </w:r>
    </w:p>
    <w:p w14:paraId="218F698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Promotion in Germany</w:t>
      </w:r>
    </w:p>
    <w:p w14:paraId="15D1658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Germany relies on technical advertising. Ethical risks arise if performance claims are overly technical or potentially misleading. However, compliance with German advertising law ensures high accuracy (BMW Group, 2023).</w:t>
      </w:r>
    </w:p>
    <w:p w14:paraId="1D307F9A" w14:textId="77777777" w:rsidR="00DE23A0" w:rsidRPr="00DE23A0" w:rsidRDefault="00DE23A0" w:rsidP="00DE23A0">
      <w:pPr>
        <w:spacing w:line="360" w:lineRule="auto"/>
        <w:rPr>
          <w:rFonts w:ascii="Calibri" w:hAnsi="Calibri" w:cs="Calibri"/>
          <w:sz w:val="22"/>
          <w:szCs w:val="22"/>
        </w:rPr>
      </w:pPr>
    </w:p>
    <w:p w14:paraId="689BFA1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CSR and Ethical Responsibility</w:t>
      </w:r>
    </w:p>
    <w:p w14:paraId="42D5C7E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demonstrates strong CSR commitments, including:</w:t>
      </w:r>
    </w:p>
    <w:p w14:paraId="1E61CAD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Investment in circular economy principles (recycling, remanufacturing)</w:t>
      </w:r>
    </w:p>
    <w:p w14:paraId="28AEAA1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Sustainable manufacturing processes</w:t>
      </w:r>
    </w:p>
    <w:p w14:paraId="4FBFF8F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Community initiatives and educational programmes</w:t>
      </w:r>
    </w:p>
    <w:p w14:paraId="12BFEA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Reduction of average fleet emissions</w:t>
      </w:r>
    </w:p>
    <w:p w14:paraId="67918D1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Publishing annual sustainability reports</w:t>
      </w:r>
    </w:p>
    <w:p w14:paraId="55DDE93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These CSR activities strengthen BMW’s ethical reputation in both countries.</w:t>
      </w:r>
    </w:p>
    <w:p w14:paraId="74FDA4AE" w14:textId="77777777" w:rsidR="00C976D0" w:rsidRDefault="00C976D0" w:rsidP="00DE23A0">
      <w:pPr>
        <w:spacing w:line="360" w:lineRule="auto"/>
        <w:rPr>
          <w:rFonts w:ascii="Calibri" w:hAnsi="Calibri" w:cs="Calibri"/>
          <w:b/>
          <w:bCs/>
          <w:sz w:val="22"/>
          <w:szCs w:val="22"/>
        </w:rPr>
      </w:pPr>
    </w:p>
    <w:p w14:paraId="0B85DAC6" w14:textId="26611209" w:rsidR="00DE23A0" w:rsidRPr="00C976D0" w:rsidRDefault="00DE23A0" w:rsidP="00DE23A0">
      <w:pPr>
        <w:spacing w:line="360" w:lineRule="auto"/>
        <w:rPr>
          <w:rFonts w:ascii="Calibri" w:hAnsi="Calibri" w:cs="Calibri"/>
          <w:b/>
          <w:bCs/>
          <w:sz w:val="22"/>
          <w:szCs w:val="22"/>
        </w:rPr>
      </w:pPr>
      <w:r w:rsidRPr="00C976D0">
        <w:rPr>
          <w:rFonts w:ascii="Calibri" w:hAnsi="Calibri" w:cs="Calibri"/>
          <w:b/>
          <w:bCs/>
          <w:sz w:val="22"/>
          <w:szCs w:val="22"/>
        </w:rPr>
        <w:t xml:space="preserve">Summary of Ethical Performance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3"/>
        <w:gridCol w:w="2674"/>
        <w:gridCol w:w="3730"/>
      </w:tblGrid>
      <w:tr w:rsidR="00C976D0" w:rsidRPr="0044776A" w14:paraId="1352C732" w14:textId="77777777" w:rsidTr="00C976D0">
        <w:trPr>
          <w:tblHeader/>
          <w:tblCellSpacing w:w="15" w:type="dxa"/>
        </w:trPr>
        <w:tc>
          <w:tcPr>
            <w:tcW w:w="1368" w:type="dxa"/>
            <w:vAlign w:val="center"/>
            <w:hideMark/>
          </w:tcPr>
          <w:p w14:paraId="52DE9FCD" w14:textId="77777777" w:rsidR="00C976D0" w:rsidRPr="0044776A" w:rsidRDefault="00C976D0" w:rsidP="00000181">
            <w:pPr>
              <w:spacing w:line="360" w:lineRule="auto"/>
              <w:jc w:val="center"/>
              <w:rPr>
                <w:rFonts w:ascii="Calibri" w:hAnsi="Calibri" w:cs="Calibri"/>
                <w:b/>
                <w:bCs/>
                <w:sz w:val="22"/>
                <w:szCs w:val="22"/>
              </w:rPr>
            </w:pPr>
            <w:r w:rsidRPr="0044776A">
              <w:rPr>
                <w:rFonts w:ascii="Calibri" w:hAnsi="Calibri" w:cs="Calibri"/>
                <w:b/>
                <w:bCs/>
                <w:sz w:val="22"/>
                <w:szCs w:val="22"/>
              </w:rPr>
              <w:t>Ethical Area</w:t>
            </w:r>
          </w:p>
        </w:tc>
        <w:tc>
          <w:tcPr>
            <w:tcW w:w="2644" w:type="dxa"/>
            <w:vAlign w:val="center"/>
            <w:hideMark/>
          </w:tcPr>
          <w:p w14:paraId="41A5614D" w14:textId="77777777" w:rsidR="00C976D0" w:rsidRPr="0044776A" w:rsidRDefault="00C976D0" w:rsidP="00000181">
            <w:pPr>
              <w:spacing w:line="360" w:lineRule="auto"/>
              <w:jc w:val="center"/>
              <w:rPr>
                <w:rFonts w:ascii="Calibri" w:hAnsi="Calibri" w:cs="Calibri"/>
                <w:b/>
                <w:bCs/>
                <w:sz w:val="22"/>
                <w:szCs w:val="22"/>
              </w:rPr>
            </w:pPr>
            <w:r w:rsidRPr="0044776A">
              <w:rPr>
                <w:rFonts w:ascii="Calibri" w:hAnsi="Calibri" w:cs="Calibri"/>
                <w:b/>
                <w:bCs/>
                <w:sz w:val="22"/>
                <w:szCs w:val="22"/>
              </w:rPr>
              <w:t>UK</w:t>
            </w:r>
          </w:p>
        </w:tc>
        <w:tc>
          <w:tcPr>
            <w:tcW w:w="0" w:type="auto"/>
            <w:vAlign w:val="center"/>
            <w:hideMark/>
          </w:tcPr>
          <w:p w14:paraId="00929B0C" w14:textId="77777777" w:rsidR="00C976D0" w:rsidRPr="0044776A" w:rsidRDefault="00C976D0" w:rsidP="00000181">
            <w:pPr>
              <w:spacing w:line="360" w:lineRule="auto"/>
              <w:jc w:val="center"/>
              <w:rPr>
                <w:rFonts w:ascii="Calibri" w:hAnsi="Calibri" w:cs="Calibri"/>
                <w:b/>
                <w:bCs/>
                <w:sz w:val="22"/>
                <w:szCs w:val="22"/>
              </w:rPr>
            </w:pPr>
            <w:r w:rsidRPr="0044776A">
              <w:rPr>
                <w:rFonts w:ascii="Calibri" w:hAnsi="Calibri" w:cs="Calibri"/>
                <w:b/>
                <w:bCs/>
                <w:sz w:val="22"/>
                <w:szCs w:val="22"/>
              </w:rPr>
              <w:t>Germany</w:t>
            </w:r>
          </w:p>
        </w:tc>
      </w:tr>
      <w:tr w:rsidR="00C976D0" w:rsidRPr="0044776A" w14:paraId="090B63ED" w14:textId="77777777" w:rsidTr="00C976D0">
        <w:trPr>
          <w:tblCellSpacing w:w="15" w:type="dxa"/>
        </w:trPr>
        <w:tc>
          <w:tcPr>
            <w:tcW w:w="1368" w:type="dxa"/>
            <w:vAlign w:val="center"/>
            <w:hideMark/>
          </w:tcPr>
          <w:p w14:paraId="69B0869B"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Product</w:t>
            </w:r>
          </w:p>
        </w:tc>
        <w:tc>
          <w:tcPr>
            <w:tcW w:w="2644" w:type="dxa"/>
            <w:vAlign w:val="center"/>
            <w:hideMark/>
          </w:tcPr>
          <w:p w14:paraId="3428CB8D"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Risk of perceived greenwashing</w:t>
            </w:r>
          </w:p>
        </w:tc>
        <w:tc>
          <w:tcPr>
            <w:tcW w:w="0" w:type="auto"/>
            <w:vAlign w:val="center"/>
            <w:hideMark/>
          </w:tcPr>
          <w:p w14:paraId="1C15BD49"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Lower risk due to factual communication</w:t>
            </w:r>
          </w:p>
        </w:tc>
      </w:tr>
      <w:tr w:rsidR="00C976D0" w:rsidRPr="0044776A" w14:paraId="022A32CC" w14:textId="77777777" w:rsidTr="00C976D0">
        <w:trPr>
          <w:tblCellSpacing w:w="15" w:type="dxa"/>
        </w:trPr>
        <w:tc>
          <w:tcPr>
            <w:tcW w:w="1368" w:type="dxa"/>
            <w:vAlign w:val="center"/>
            <w:hideMark/>
          </w:tcPr>
          <w:p w14:paraId="15053CBD"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Price</w:t>
            </w:r>
          </w:p>
        </w:tc>
        <w:tc>
          <w:tcPr>
            <w:tcW w:w="2644" w:type="dxa"/>
            <w:vAlign w:val="center"/>
            <w:hideMark/>
          </w:tcPr>
          <w:p w14:paraId="04F7D6A3"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PCP transparency concerns</w:t>
            </w:r>
          </w:p>
        </w:tc>
        <w:tc>
          <w:tcPr>
            <w:tcW w:w="0" w:type="auto"/>
            <w:vAlign w:val="center"/>
            <w:hideMark/>
          </w:tcPr>
          <w:p w14:paraId="32F1D2A1"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Fewer pricing issues</w:t>
            </w:r>
          </w:p>
        </w:tc>
      </w:tr>
      <w:tr w:rsidR="00C976D0" w:rsidRPr="0044776A" w14:paraId="6F417F3A" w14:textId="77777777" w:rsidTr="00C976D0">
        <w:trPr>
          <w:tblCellSpacing w:w="15" w:type="dxa"/>
        </w:trPr>
        <w:tc>
          <w:tcPr>
            <w:tcW w:w="1368" w:type="dxa"/>
            <w:vAlign w:val="center"/>
            <w:hideMark/>
          </w:tcPr>
          <w:p w14:paraId="27EB7A74"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Promotion</w:t>
            </w:r>
          </w:p>
        </w:tc>
        <w:tc>
          <w:tcPr>
            <w:tcW w:w="2644" w:type="dxa"/>
            <w:vAlign w:val="center"/>
            <w:hideMark/>
          </w:tcPr>
          <w:p w14:paraId="0FC56C6B"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Emotional ads risk exaggeration</w:t>
            </w:r>
          </w:p>
        </w:tc>
        <w:tc>
          <w:tcPr>
            <w:tcW w:w="0" w:type="auto"/>
            <w:vAlign w:val="center"/>
            <w:hideMark/>
          </w:tcPr>
          <w:p w14:paraId="23DCF8CC"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Technical ads require accuracy</w:t>
            </w:r>
          </w:p>
        </w:tc>
      </w:tr>
      <w:tr w:rsidR="00C976D0" w:rsidRPr="0044776A" w14:paraId="5D7936BA" w14:textId="77777777" w:rsidTr="00C976D0">
        <w:trPr>
          <w:tblCellSpacing w:w="15" w:type="dxa"/>
        </w:trPr>
        <w:tc>
          <w:tcPr>
            <w:tcW w:w="1368" w:type="dxa"/>
            <w:vAlign w:val="center"/>
            <w:hideMark/>
          </w:tcPr>
          <w:p w14:paraId="3EBABB19"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CSR</w:t>
            </w:r>
          </w:p>
        </w:tc>
        <w:tc>
          <w:tcPr>
            <w:tcW w:w="2644" w:type="dxa"/>
            <w:vAlign w:val="center"/>
            <w:hideMark/>
          </w:tcPr>
          <w:p w14:paraId="1CA87EA2"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Strong initiatives</w:t>
            </w:r>
          </w:p>
        </w:tc>
        <w:tc>
          <w:tcPr>
            <w:tcW w:w="0" w:type="auto"/>
            <w:vAlign w:val="center"/>
            <w:hideMark/>
          </w:tcPr>
          <w:p w14:paraId="070ECA72"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Strong initiatives</w:t>
            </w:r>
          </w:p>
        </w:tc>
      </w:tr>
    </w:tbl>
    <w:p w14:paraId="683BD1CA" w14:textId="77777777" w:rsidR="00DE23A0" w:rsidRPr="00DE23A0" w:rsidRDefault="00DE23A0" w:rsidP="00DE23A0">
      <w:pPr>
        <w:spacing w:line="360" w:lineRule="auto"/>
        <w:rPr>
          <w:rFonts w:ascii="Calibri" w:hAnsi="Calibri" w:cs="Calibri"/>
          <w:sz w:val="22"/>
          <w:szCs w:val="22"/>
        </w:rPr>
      </w:pPr>
    </w:p>
    <w:p w14:paraId="59EC1849" w14:textId="77777777" w:rsidR="00DE23A0" w:rsidRPr="00DE23A0" w:rsidRDefault="00DE23A0" w:rsidP="00DE23A0">
      <w:pPr>
        <w:spacing w:line="360" w:lineRule="auto"/>
        <w:rPr>
          <w:rFonts w:ascii="Calibri" w:hAnsi="Calibri" w:cs="Calibri"/>
          <w:sz w:val="22"/>
          <w:szCs w:val="22"/>
        </w:rPr>
      </w:pPr>
    </w:p>
    <w:p w14:paraId="516C838F" w14:textId="77777777" w:rsidR="00DE23A0" w:rsidRPr="00DE23A0" w:rsidRDefault="00DE23A0" w:rsidP="00DE23A0">
      <w:pPr>
        <w:spacing w:line="360" w:lineRule="auto"/>
        <w:rPr>
          <w:rFonts w:ascii="Calibri" w:hAnsi="Calibri" w:cs="Calibri"/>
          <w:sz w:val="22"/>
          <w:szCs w:val="22"/>
        </w:rPr>
      </w:pPr>
    </w:p>
    <w:p w14:paraId="4AFFD306" w14:textId="77777777" w:rsidR="00DE23A0" w:rsidRPr="00DE23A0" w:rsidRDefault="00DE23A0" w:rsidP="00DE23A0">
      <w:pPr>
        <w:spacing w:line="360" w:lineRule="auto"/>
        <w:rPr>
          <w:rFonts w:ascii="Calibri" w:hAnsi="Calibri" w:cs="Calibri"/>
          <w:sz w:val="22"/>
          <w:szCs w:val="22"/>
        </w:rPr>
      </w:pPr>
    </w:p>
    <w:p w14:paraId="534F715C" w14:textId="77777777" w:rsidR="00DE23A0" w:rsidRPr="00DE23A0" w:rsidRDefault="00DE23A0" w:rsidP="00DE23A0">
      <w:pPr>
        <w:spacing w:line="360" w:lineRule="auto"/>
        <w:rPr>
          <w:rFonts w:ascii="Calibri" w:hAnsi="Calibri" w:cs="Calibri"/>
          <w:sz w:val="22"/>
          <w:szCs w:val="22"/>
        </w:rPr>
      </w:pPr>
    </w:p>
    <w:p w14:paraId="29BCAAA5" w14:textId="77777777" w:rsidR="00DE23A0" w:rsidRPr="00DE23A0" w:rsidRDefault="00DE23A0" w:rsidP="00DE23A0">
      <w:pPr>
        <w:spacing w:line="360" w:lineRule="auto"/>
        <w:rPr>
          <w:rFonts w:ascii="Calibri" w:hAnsi="Calibri" w:cs="Calibri"/>
          <w:sz w:val="22"/>
          <w:szCs w:val="22"/>
        </w:rPr>
      </w:pPr>
    </w:p>
    <w:p w14:paraId="45EB35B6" w14:textId="77777777" w:rsidR="00DE23A0" w:rsidRPr="00DE23A0" w:rsidRDefault="00DE23A0" w:rsidP="00DE23A0">
      <w:pPr>
        <w:spacing w:line="360" w:lineRule="auto"/>
        <w:rPr>
          <w:rFonts w:ascii="Calibri" w:hAnsi="Calibri" w:cs="Calibri"/>
          <w:sz w:val="22"/>
          <w:szCs w:val="22"/>
        </w:rPr>
      </w:pPr>
    </w:p>
    <w:p w14:paraId="35A090D0" w14:textId="77777777" w:rsidR="00C976D0" w:rsidRDefault="00C976D0" w:rsidP="00DE23A0">
      <w:pPr>
        <w:spacing w:line="360" w:lineRule="auto"/>
        <w:rPr>
          <w:rFonts w:ascii="Calibri" w:hAnsi="Calibri" w:cs="Calibri"/>
          <w:sz w:val="22"/>
          <w:szCs w:val="22"/>
        </w:rPr>
      </w:pPr>
    </w:p>
    <w:p w14:paraId="2D139CEC" w14:textId="34261FD9" w:rsidR="00DE23A0" w:rsidRPr="00C976D0" w:rsidRDefault="00DE23A0" w:rsidP="00DE23A0">
      <w:pPr>
        <w:spacing w:line="360" w:lineRule="auto"/>
        <w:rPr>
          <w:rFonts w:ascii="Calibri" w:hAnsi="Calibri" w:cs="Calibri"/>
          <w:b/>
          <w:bCs/>
          <w:sz w:val="22"/>
          <w:szCs w:val="22"/>
        </w:rPr>
      </w:pPr>
      <w:r w:rsidRPr="00C976D0">
        <w:rPr>
          <w:rFonts w:ascii="Calibri" w:hAnsi="Calibri" w:cs="Calibri"/>
          <w:b/>
          <w:bCs/>
          <w:sz w:val="22"/>
          <w:szCs w:val="22"/>
        </w:rPr>
        <w:lastRenderedPageBreak/>
        <w:t>RECOMMENDATIONS &amp; CONCLUSION</w:t>
      </w:r>
    </w:p>
    <w:p w14:paraId="6477CD18" w14:textId="77777777" w:rsidR="00DE23A0" w:rsidRPr="00C976D0" w:rsidRDefault="00DE23A0" w:rsidP="00DE23A0">
      <w:pPr>
        <w:spacing w:line="360" w:lineRule="auto"/>
        <w:rPr>
          <w:rFonts w:ascii="Calibri" w:hAnsi="Calibri" w:cs="Calibri"/>
          <w:b/>
          <w:bCs/>
          <w:sz w:val="22"/>
          <w:szCs w:val="22"/>
        </w:rPr>
      </w:pPr>
      <w:r w:rsidRPr="00C976D0">
        <w:rPr>
          <w:rFonts w:ascii="Calibri" w:hAnsi="Calibri" w:cs="Calibri"/>
          <w:b/>
          <w:bCs/>
          <w:sz w:val="22"/>
          <w:szCs w:val="22"/>
        </w:rPr>
        <w:t>Recommendations</w:t>
      </w:r>
    </w:p>
    <w:p w14:paraId="6303F6D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Based on the comparative analysis of BMW’s international marketing strategies in the United Kingdom (Country A) and Germany (Country B), several strategic recommendations can be proposed to enhance the company’s performance and ethical alignment in both markets. The recommendations are structured into: UK-specific, Germany-specific, and global (both markets) improvements.</w:t>
      </w:r>
    </w:p>
    <w:p w14:paraId="2A22AB18" w14:textId="77777777" w:rsidR="00DE23A0" w:rsidRPr="00DE23A0" w:rsidRDefault="00DE23A0" w:rsidP="00DE23A0">
      <w:pPr>
        <w:spacing w:line="360" w:lineRule="auto"/>
        <w:rPr>
          <w:rFonts w:ascii="Calibri" w:hAnsi="Calibri" w:cs="Calibri"/>
          <w:sz w:val="22"/>
          <w:szCs w:val="22"/>
        </w:rPr>
      </w:pPr>
    </w:p>
    <w:p w14:paraId="0F0A88A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Recommendations for Country A: United Kingdom</w:t>
      </w:r>
    </w:p>
    <w:p w14:paraId="2228DC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1. Increase Transparency in Sustainability Messaging</w:t>
      </w:r>
    </w:p>
    <w:p w14:paraId="148D302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While BMW’s EV portfolio is strong, UK consumers are increasingly sceptical of environmental claims. BMW should:</w:t>
      </w:r>
    </w:p>
    <w:p w14:paraId="077D834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Provide clearer real-world emissions data for PHEVs</w:t>
      </w:r>
    </w:p>
    <w:p w14:paraId="7521908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Publish transparent supply-chain sustainability reports</w:t>
      </w:r>
    </w:p>
    <w:p w14:paraId="23B2A08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Use educational campaigns to explain EV battery recycling and circular economy plans</w:t>
      </w:r>
    </w:p>
    <w:p w14:paraId="16C51CE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reduces the risk of greenwashing and strengthens trust.</w:t>
      </w:r>
    </w:p>
    <w:p w14:paraId="22F2BD2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2. Strengthen Digital Personalisation Features</w:t>
      </w:r>
    </w:p>
    <w:p w14:paraId="554F8F4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is one of Europe’s most digitally engaged markets. BMW should enhance:</w:t>
      </w:r>
    </w:p>
    <w:p w14:paraId="6839932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AI-driven personalised car configurators</w:t>
      </w:r>
    </w:p>
    <w:p w14:paraId="03CE332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Remote concierge support</w:t>
      </w:r>
    </w:p>
    <w:p w14:paraId="188C402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Digital test-drive booking platforms</w:t>
      </w:r>
    </w:p>
    <w:p w14:paraId="5786A0E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Interactive AR/VR showrooms</w:t>
      </w:r>
    </w:p>
    <w:p w14:paraId="62D71A8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These innovations would further align BMW with UK digital consumer expectations.</w:t>
      </w:r>
    </w:p>
    <w:p w14:paraId="7122774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3. Expand Access to Flexible Ownership Models</w:t>
      </w:r>
    </w:p>
    <w:p w14:paraId="5245BEE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Given UK consumers’ reliance on PCP, BMW should consider:</w:t>
      </w:r>
    </w:p>
    <w:p w14:paraId="58B93FB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Subscription-based ownership schemes</w:t>
      </w:r>
    </w:p>
    <w:p w14:paraId="55CE383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Short-term EV leasing packages</w:t>
      </w:r>
    </w:p>
    <w:p w14:paraId="635006B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Transparent PCP breakdowns with total cost displays</w:t>
      </w:r>
    </w:p>
    <w:p w14:paraId="101ED88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strengthens ethical pricing and reduces long-term affordability concerns.</w:t>
      </w:r>
    </w:p>
    <w:p w14:paraId="0A64728E" w14:textId="77777777" w:rsidR="00DE23A0" w:rsidRPr="00DE23A0" w:rsidRDefault="00DE23A0" w:rsidP="00DE23A0">
      <w:pPr>
        <w:spacing w:line="360" w:lineRule="auto"/>
        <w:rPr>
          <w:rFonts w:ascii="Calibri" w:hAnsi="Calibri" w:cs="Calibri"/>
          <w:sz w:val="22"/>
          <w:szCs w:val="22"/>
        </w:rPr>
      </w:pPr>
    </w:p>
    <w:p w14:paraId="4A8B731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Recommendations for Country B: Germany</w:t>
      </w:r>
    </w:p>
    <w:p w14:paraId="62CA704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1. Incorporate More Lifestyle Elements into German Advertising</w:t>
      </w:r>
    </w:p>
    <w:p w14:paraId="0B430F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While Germany values engineering excellence, younger consumers are increasingly attracted to emotional and lifestyle content. BMW Germany can:</w:t>
      </w:r>
    </w:p>
    <w:p w14:paraId="26C94AD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Integrate subtle lifestyle narratives into EV communication</w:t>
      </w:r>
    </w:p>
    <w:p w14:paraId="134892C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Showcase diverse driving experiences rather than purely technical performance</w:t>
      </w:r>
    </w:p>
    <w:p w14:paraId="6233245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Use real customer stories to modernise brand image</w:t>
      </w:r>
    </w:p>
    <w:p w14:paraId="5F0543B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may help broaden appeal to younger segments.</w:t>
      </w:r>
    </w:p>
    <w:p w14:paraId="6802B85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2. Reinforce Ethical and Sustainable Innovation Messaging</w:t>
      </w:r>
    </w:p>
    <w:p w14:paraId="4B66AFA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Germany’s environmental expectations are high. BMW should:</w:t>
      </w:r>
    </w:p>
    <w:p w14:paraId="3D6E8A6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Communicate hydrogen and solid-state battery R&amp;D more actively</w:t>
      </w:r>
    </w:p>
    <w:p w14:paraId="54BFF28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Promote the closed-loop recycling system for EV batteries</w:t>
      </w:r>
    </w:p>
    <w:p w14:paraId="62C8C4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Highlight sustainable materials used in interiors</w:t>
      </w:r>
    </w:p>
    <w:p w14:paraId="4B3A1FD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strengthens BMW’s alignment with Germany’s sustainability-conscious consumer base.</w:t>
      </w:r>
    </w:p>
    <w:p w14:paraId="0FE42D3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3. Increase Engagement with Corporate Fleet Customers</w:t>
      </w:r>
    </w:p>
    <w:p w14:paraId="3FA81E2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Fleet sales are a major driver of German automotive demand. BMW should:</w:t>
      </w:r>
    </w:p>
    <w:p w14:paraId="2F98AED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Develop corporate-focused EV transition programmes</w:t>
      </w:r>
    </w:p>
    <w:p w14:paraId="0F77E8D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Offer maintenance and software-service packages for fleets</w:t>
      </w:r>
    </w:p>
    <w:p w14:paraId="062D24B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Provide carbon reporting tools for business customers</w:t>
      </w:r>
    </w:p>
    <w:p w14:paraId="0CE5CCA2" w14:textId="77777777" w:rsidR="00DE23A0" w:rsidRPr="00DE23A0" w:rsidRDefault="00DE23A0" w:rsidP="00DE23A0">
      <w:pPr>
        <w:spacing w:line="360" w:lineRule="auto"/>
        <w:rPr>
          <w:rFonts w:ascii="Calibri" w:hAnsi="Calibri" w:cs="Calibri"/>
          <w:sz w:val="22"/>
          <w:szCs w:val="22"/>
        </w:rPr>
      </w:pPr>
    </w:p>
    <w:p w14:paraId="66E8220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Global Recommendations (Apply to Both Markets)</w:t>
      </w:r>
    </w:p>
    <w:p w14:paraId="726DD2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1. Unite Global and Local Sustainability Messaging</w:t>
      </w:r>
    </w:p>
    <w:p w14:paraId="7A1E9FC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should adopt a “global sustainability core” but adapt communication details locally.</w:t>
      </w:r>
    </w:p>
    <w:p w14:paraId="03E42AF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Example:</w:t>
      </w:r>
    </w:p>
    <w:p w14:paraId="635072C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More lifestyle-oriented eco messaging</w:t>
      </w:r>
    </w:p>
    <w:p w14:paraId="20505FF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Germany: More technical and evidence-based sustainability data</w:t>
      </w:r>
    </w:p>
    <w:p w14:paraId="467D48A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2. Continue Expanding the EV Portfolio and Charging Ecosystem</w:t>
      </w:r>
    </w:p>
    <w:p w14:paraId="4F5875D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should invest in:</w:t>
      </w:r>
    </w:p>
    <w:p w14:paraId="0FAED1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Wider EV charging partnerships</w:t>
      </w:r>
    </w:p>
    <w:p w14:paraId="40BAB8E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Increased battery R&amp;D</w:t>
      </w:r>
    </w:p>
    <w:p w14:paraId="5654D95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More affordable EV variants to complement premium offerings</w:t>
      </w:r>
    </w:p>
    <w:p w14:paraId="102229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3. Integrate AI Across Marketing, Retail, and After-Sales</w:t>
      </w:r>
    </w:p>
    <w:p w14:paraId="09A6D5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includes personalised maintenance reminders, predictive servicing, and AI chatbots for support.</w:t>
      </w:r>
    </w:p>
    <w:p w14:paraId="60578EAB" w14:textId="77777777" w:rsidR="00DE23A0" w:rsidRPr="00DE23A0" w:rsidRDefault="00DE23A0" w:rsidP="00DE23A0">
      <w:pPr>
        <w:spacing w:line="360" w:lineRule="auto"/>
        <w:rPr>
          <w:rFonts w:ascii="Calibri" w:hAnsi="Calibri" w:cs="Calibri"/>
          <w:sz w:val="22"/>
          <w:szCs w:val="22"/>
        </w:rPr>
      </w:pPr>
    </w:p>
    <w:p w14:paraId="17C06786" w14:textId="77777777" w:rsidR="00C976D0" w:rsidRDefault="00C976D0" w:rsidP="00DE23A0">
      <w:pPr>
        <w:spacing w:line="360" w:lineRule="auto"/>
        <w:rPr>
          <w:rFonts w:ascii="Calibri" w:hAnsi="Calibri" w:cs="Calibri"/>
          <w:b/>
          <w:bCs/>
          <w:sz w:val="22"/>
          <w:szCs w:val="22"/>
        </w:rPr>
      </w:pPr>
    </w:p>
    <w:p w14:paraId="61A73618" w14:textId="77777777" w:rsidR="00C976D0" w:rsidRDefault="00C976D0" w:rsidP="00DE23A0">
      <w:pPr>
        <w:spacing w:line="360" w:lineRule="auto"/>
        <w:rPr>
          <w:rFonts w:ascii="Calibri" w:hAnsi="Calibri" w:cs="Calibri"/>
          <w:b/>
          <w:bCs/>
          <w:sz w:val="22"/>
          <w:szCs w:val="22"/>
        </w:rPr>
      </w:pPr>
    </w:p>
    <w:p w14:paraId="4CFDAF4A" w14:textId="77777777" w:rsidR="00C976D0" w:rsidRDefault="00C976D0" w:rsidP="00DE23A0">
      <w:pPr>
        <w:spacing w:line="360" w:lineRule="auto"/>
        <w:rPr>
          <w:rFonts w:ascii="Calibri" w:hAnsi="Calibri" w:cs="Calibri"/>
          <w:b/>
          <w:bCs/>
          <w:sz w:val="22"/>
          <w:szCs w:val="22"/>
        </w:rPr>
      </w:pPr>
    </w:p>
    <w:p w14:paraId="4F9F9916" w14:textId="77777777" w:rsidR="00C976D0" w:rsidRDefault="00C976D0" w:rsidP="00DE23A0">
      <w:pPr>
        <w:spacing w:line="360" w:lineRule="auto"/>
        <w:rPr>
          <w:rFonts w:ascii="Calibri" w:hAnsi="Calibri" w:cs="Calibri"/>
          <w:b/>
          <w:bCs/>
          <w:sz w:val="22"/>
          <w:szCs w:val="22"/>
        </w:rPr>
      </w:pPr>
    </w:p>
    <w:p w14:paraId="52FAA400" w14:textId="77777777" w:rsidR="00C976D0" w:rsidRDefault="00C976D0" w:rsidP="00DE23A0">
      <w:pPr>
        <w:spacing w:line="360" w:lineRule="auto"/>
        <w:rPr>
          <w:rFonts w:ascii="Calibri" w:hAnsi="Calibri" w:cs="Calibri"/>
          <w:b/>
          <w:bCs/>
          <w:sz w:val="22"/>
          <w:szCs w:val="22"/>
        </w:rPr>
      </w:pPr>
    </w:p>
    <w:p w14:paraId="672B88E9" w14:textId="77777777" w:rsidR="00C976D0" w:rsidRDefault="00C976D0" w:rsidP="00DE23A0">
      <w:pPr>
        <w:spacing w:line="360" w:lineRule="auto"/>
        <w:rPr>
          <w:rFonts w:ascii="Calibri" w:hAnsi="Calibri" w:cs="Calibri"/>
          <w:b/>
          <w:bCs/>
          <w:sz w:val="22"/>
          <w:szCs w:val="22"/>
        </w:rPr>
      </w:pPr>
    </w:p>
    <w:p w14:paraId="3212C118" w14:textId="77777777" w:rsidR="00C976D0" w:rsidRDefault="00C976D0" w:rsidP="00DE23A0">
      <w:pPr>
        <w:spacing w:line="360" w:lineRule="auto"/>
        <w:rPr>
          <w:rFonts w:ascii="Calibri" w:hAnsi="Calibri" w:cs="Calibri"/>
          <w:b/>
          <w:bCs/>
          <w:sz w:val="22"/>
          <w:szCs w:val="22"/>
        </w:rPr>
      </w:pPr>
    </w:p>
    <w:p w14:paraId="1A09138F" w14:textId="0C303FF8" w:rsidR="00DE23A0" w:rsidRPr="00C976D0" w:rsidRDefault="00DE23A0" w:rsidP="00DE23A0">
      <w:pPr>
        <w:spacing w:line="360" w:lineRule="auto"/>
        <w:rPr>
          <w:rFonts w:ascii="Calibri" w:hAnsi="Calibri" w:cs="Calibri"/>
          <w:b/>
          <w:bCs/>
          <w:sz w:val="22"/>
          <w:szCs w:val="22"/>
        </w:rPr>
      </w:pPr>
      <w:r w:rsidRPr="00C976D0">
        <w:rPr>
          <w:rFonts w:ascii="Calibri" w:hAnsi="Calibri" w:cs="Calibri"/>
          <w:b/>
          <w:bCs/>
          <w:sz w:val="22"/>
          <w:szCs w:val="22"/>
        </w:rPr>
        <w:lastRenderedPageBreak/>
        <w:t>Conclusion</w:t>
      </w:r>
    </w:p>
    <w:p w14:paraId="69401BD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international marketing strategies in the United Kingdom and Germany demonstrate the brand’s ability to balance global consistency with local responsiveness. In the UK, BMW’s success is built upon aspirational branding, emotional storytelling, digital-first retail, and flexible financing models such as PCP. In Germany, the brand’s strength lies in its engineering heritage, performance orientation, and highly rational promotional communication aligned with local cultural expectations.</w:t>
      </w:r>
    </w:p>
    <w:p w14:paraId="5B788DC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 comparison of macroenvironmental conditions reveals significant differences between the two countries—from Brexit-related regulatory complexity in the UK to strong industrial and technological stability in Germany. These macroenvironmental contrasts shape BMW’s local marketing strategies across the STP framework and 7Ps.</w:t>
      </w:r>
    </w:p>
    <w:p w14:paraId="3AE3C52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evaluation of performance confirms that BMW is successful in both markets, with strong market share, brand equity, digital engagement, and EV adoption. However, ethical considerations remain around sustainability claims, pricing transparency, and promotional communication accuracy.</w:t>
      </w:r>
    </w:p>
    <w:p w14:paraId="4F0EB23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recommendations in this report provide strategic pathways for BMW to enhance sustainability credibility, strengthen customer trust, innovate digital experiences, and deepen local relevance. By implementing these strategic reforms, BMW can maintain competitive advantage and continue to lead the premium automotive sector across highly diverse international markets.</w:t>
      </w:r>
    </w:p>
    <w:p w14:paraId="01D8EF43" w14:textId="77777777" w:rsidR="00DE23A0" w:rsidRPr="00DE23A0" w:rsidRDefault="00DE23A0" w:rsidP="00DE23A0">
      <w:pPr>
        <w:spacing w:line="360" w:lineRule="auto"/>
        <w:rPr>
          <w:rFonts w:ascii="Calibri" w:hAnsi="Calibri" w:cs="Calibri"/>
          <w:sz w:val="22"/>
          <w:szCs w:val="22"/>
        </w:rPr>
      </w:pPr>
    </w:p>
    <w:p w14:paraId="7A5F7EAE" w14:textId="77777777" w:rsidR="00DE23A0" w:rsidRPr="00DE23A0" w:rsidRDefault="00DE23A0" w:rsidP="00DE23A0">
      <w:pPr>
        <w:spacing w:line="360" w:lineRule="auto"/>
        <w:rPr>
          <w:rFonts w:ascii="Calibri" w:hAnsi="Calibri" w:cs="Calibri"/>
          <w:sz w:val="22"/>
          <w:szCs w:val="22"/>
        </w:rPr>
      </w:pPr>
    </w:p>
    <w:p w14:paraId="3C8BD2E6" w14:textId="77777777" w:rsidR="00DE23A0" w:rsidRPr="00DE23A0" w:rsidRDefault="00DE23A0" w:rsidP="00DE23A0">
      <w:pPr>
        <w:spacing w:line="360" w:lineRule="auto"/>
        <w:rPr>
          <w:rFonts w:ascii="Calibri" w:hAnsi="Calibri" w:cs="Calibri"/>
          <w:sz w:val="22"/>
          <w:szCs w:val="22"/>
        </w:rPr>
      </w:pPr>
    </w:p>
    <w:p w14:paraId="5B268B82" w14:textId="77777777" w:rsidR="00DE23A0" w:rsidRPr="00DE23A0" w:rsidRDefault="00DE23A0" w:rsidP="00DE23A0">
      <w:pPr>
        <w:spacing w:line="360" w:lineRule="auto"/>
        <w:rPr>
          <w:rFonts w:ascii="Calibri" w:hAnsi="Calibri" w:cs="Calibri"/>
          <w:sz w:val="22"/>
          <w:szCs w:val="22"/>
        </w:rPr>
      </w:pPr>
    </w:p>
    <w:p w14:paraId="70C2DEC7" w14:textId="77777777" w:rsidR="00DE23A0" w:rsidRPr="00DE23A0" w:rsidRDefault="00DE23A0" w:rsidP="00DE23A0">
      <w:pPr>
        <w:spacing w:line="360" w:lineRule="auto"/>
        <w:rPr>
          <w:rFonts w:ascii="Calibri" w:hAnsi="Calibri" w:cs="Calibri"/>
          <w:sz w:val="22"/>
          <w:szCs w:val="22"/>
        </w:rPr>
      </w:pPr>
    </w:p>
    <w:p w14:paraId="7EE96F5A" w14:textId="77777777" w:rsidR="00DE23A0" w:rsidRPr="00DE23A0" w:rsidRDefault="00DE23A0" w:rsidP="00DE23A0">
      <w:pPr>
        <w:spacing w:line="360" w:lineRule="auto"/>
        <w:rPr>
          <w:rFonts w:ascii="Calibri" w:hAnsi="Calibri" w:cs="Calibri"/>
          <w:sz w:val="22"/>
          <w:szCs w:val="22"/>
        </w:rPr>
      </w:pPr>
    </w:p>
    <w:p w14:paraId="5C61C1A9" w14:textId="77777777" w:rsidR="00DE23A0" w:rsidRPr="00DE23A0" w:rsidRDefault="00DE23A0" w:rsidP="00DE23A0">
      <w:pPr>
        <w:spacing w:line="360" w:lineRule="auto"/>
        <w:rPr>
          <w:rFonts w:ascii="Calibri" w:hAnsi="Calibri" w:cs="Calibri"/>
          <w:sz w:val="22"/>
          <w:szCs w:val="22"/>
        </w:rPr>
      </w:pPr>
    </w:p>
    <w:p w14:paraId="2D4F54E0" w14:textId="77777777" w:rsidR="00DE23A0" w:rsidRPr="00DE23A0" w:rsidRDefault="00DE23A0" w:rsidP="00DE23A0">
      <w:pPr>
        <w:spacing w:line="360" w:lineRule="auto"/>
        <w:rPr>
          <w:rFonts w:ascii="Calibri" w:hAnsi="Calibri" w:cs="Calibri"/>
          <w:sz w:val="22"/>
          <w:szCs w:val="22"/>
        </w:rPr>
      </w:pPr>
    </w:p>
    <w:p w14:paraId="19CC9263" w14:textId="77777777" w:rsidR="00C976D0" w:rsidRDefault="00C976D0" w:rsidP="00DE23A0">
      <w:pPr>
        <w:spacing w:line="360" w:lineRule="auto"/>
        <w:rPr>
          <w:rFonts w:ascii="Calibri" w:hAnsi="Calibri" w:cs="Calibri"/>
          <w:sz w:val="22"/>
          <w:szCs w:val="22"/>
        </w:rPr>
      </w:pPr>
    </w:p>
    <w:p w14:paraId="060976DB" w14:textId="1281D4C7" w:rsidR="00DE23A0" w:rsidRPr="00C976D0" w:rsidRDefault="00DE23A0" w:rsidP="00DE23A0">
      <w:pPr>
        <w:spacing w:line="360" w:lineRule="auto"/>
        <w:rPr>
          <w:rFonts w:ascii="Calibri" w:hAnsi="Calibri" w:cs="Calibri"/>
          <w:b/>
          <w:bCs/>
          <w:sz w:val="32"/>
          <w:szCs w:val="32"/>
        </w:rPr>
      </w:pPr>
      <w:r w:rsidRPr="00C976D0">
        <w:rPr>
          <w:rFonts w:ascii="Calibri" w:hAnsi="Calibri" w:cs="Calibri"/>
          <w:b/>
          <w:bCs/>
          <w:sz w:val="32"/>
          <w:szCs w:val="32"/>
        </w:rPr>
        <w:lastRenderedPageBreak/>
        <w:t>REFERENCE LIST</w:t>
      </w:r>
    </w:p>
    <w:p w14:paraId="15A3F17D"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BMW Group (2023) </w:t>
      </w:r>
      <w:r w:rsidRPr="00392DC5">
        <w:rPr>
          <w:rFonts w:ascii="Calibri" w:hAnsi="Calibri" w:cs="Calibri"/>
          <w:i/>
          <w:iCs/>
          <w:sz w:val="22"/>
          <w:szCs w:val="22"/>
        </w:rPr>
        <w:t>Annual Report 2023.</w:t>
      </w:r>
      <w:r w:rsidRPr="00392DC5">
        <w:rPr>
          <w:rFonts w:ascii="Calibri" w:hAnsi="Calibri" w:cs="Calibri"/>
          <w:sz w:val="22"/>
          <w:szCs w:val="22"/>
        </w:rPr>
        <w:t xml:space="preserve"> Munich: BMW Group.</w:t>
      </w:r>
    </w:p>
    <w:p w14:paraId="4D740028"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BMW Group (2024) </w:t>
      </w:r>
      <w:r w:rsidRPr="00392DC5">
        <w:rPr>
          <w:rFonts w:ascii="Calibri" w:hAnsi="Calibri" w:cs="Calibri"/>
          <w:i/>
          <w:iCs/>
          <w:sz w:val="22"/>
          <w:szCs w:val="22"/>
        </w:rPr>
        <w:t>BMW Sustainability Report 2024.</w:t>
      </w:r>
      <w:r w:rsidRPr="00392DC5">
        <w:rPr>
          <w:rFonts w:ascii="Calibri" w:hAnsi="Calibri" w:cs="Calibri"/>
          <w:sz w:val="22"/>
          <w:szCs w:val="22"/>
        </w:rPr>
        <w:t xml:space="preserve"> Available at: </w:t>
      </w:r>
      <w:hyperlink r:id="rId6" w:tgtFrame="_new" w:history="1">
        <w:r w:rsidRPr="00392DC5">
          <w:rPr>
            <w:rStyle w:val="Hyperlink"/>
            <w:rFonts w:ascii="Calibri" w:hAnsi="Calibri" w:cs="Calibri"/>
            <w:sz w:val="22"/>
            <w:szCs w:val="22"/>
          </w:rPr>
          <w:t>https://www.bmwgroup.com</w:t>
        </w:r>
      </w:hyperlink>
      <w:r w:rsidRPr="00392DC5">
        <w:rPr>
          <w:rFonts w:ascii="Calibri" w:hAnsi="Calibri" w:cs="Calibri"/>
          <w:sz w:val="22"/>
          <w:szCs w:val="22"/>
        </w:rPr>
        <w:t xml:space="preserve"> (Accessed: 14 November 2025).</w:t>
      </w:r>
    </w:p>
    <w:p w14:paraId="7636DDC3"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Hofstede Insights (2023) </w:t>
      </w:r>
      <w:r w:rsidRPr="00392DC5">
        <w:rPr>
          <w:rFonts w:ascii="Calibri" w:hAnsi="Calibri" w:cs="Calibri"/>
          <w:i/>
          <w:iCs/>
          <w:sz w:val="22"/>
          <w:szCs w:val="22"/>
        </w:rPr>
        <w:t>Country Comparison: Germany and United Kingdom.</w:t>
      </w:r>
      <w:r w:rsidRPr="00392DC5">
        <w:rPr>
          <w:rFonts w:ascii="Calibri" w:hAnsi="Calibri" w:cs="Calibri"/>
          <w:sz w:val="22"/>
          <w:szCs w:val="22"/>
        </w:rPr>
        <w:t xml:space="preserve"> Available at: </w:t>
      </w:r>
      <w:hyperlink r:id="rId7" w:tgtFrame="_new" w:history="1">
        <w:r w:rsidRPr="00392DC5">
          <w:rPr>
            <w:rStyle w:val="Hyperlink"/>
            <w:rFonts w:ascii="Calibri" w:hAnsi="Calibri" w:cs="Calibri"/>
            <w:sz w:val="22"/>
            <w:szCs w:val="22"/>
          </w:rPr>
          <w:t>https://www.hofstede-insights.com</w:t>
        </w:r>
      </w:hyperlink>
      <w:r w:rsidRPr="00392DC5">
        <w:rPr>
          <w:rFonts w:ascii="Calibri" w:hAnsi="Calibri" w:cs="Calibri"/>
          <w:sz w:val="22"/>
          <w:szCs w:val="22"/>
        </w:rPr>
        <w:t xml:space="preserve"> (Accessed: 14 November 2025).</w:t>
      </w:r>
    </w:p>
    <w:p w14:paraId="31E67CE0"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Kantor BrandZ (2024) </w:t>
      </w:r>
      <w:r w:rsidRPr="00392DC5">
        <w:rPr>
          <w:rFonts w:ascii="Calibri" w:hAnsi="Calibri" w:cs="Calibri"/>
          <w:i/>
          <w:iCs/>
          <w:sz w:val="22"/>
          <w:szCs w:val="22"/>
        </w:rPr>
        <w:t>Top 100 Most Valuable Global Brands.</w:t>
      </w:r>
      <w:r w:rsidRPr="00392DC5">
        <w:rPr>
          <w:rFonts w:ascii="Calibri" w:hAnsi="Calibri" w:cs="Calibri"/>
          <w:sz w:val="22"/>
          <w:szCs w:val="22"/>
        </w:rPr>
        <w:t xml:space="preserve"> London: Kantor.</w:t>
      </w:r>
    </w:p>
    <w:p w14:paraId="72515ABD"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Levitt, T. (1983) ‘The globalization of markets’, </w:t>
      </w:r>
      <w:r w:rsidRPr="00392DC5">
        <w:rPr>
          <w:rFonts w:ascii="Calibri" w:hAnsi="Calibri" w:cs="Calibri"/>
          <w:i/>
          <w:iCs/>
          <w:sz w:val="22"/>
          <w:szCs w:val="22"/>
        </w:rPr>
        <w:t>Harvard Business Review</w:t>
      </w:r>
      <w:r w:rsidRPr="00392DC5">
        <w:rPr>
          <w:rFonts w:ascii="Calibri" w:hAnsi="Calibri" w:cs="Calibri"/>
          <w:sz w:val="22"/>
          <w:szCs w:val="22"/>
        </w:rPr>
        <w:t>, 61(3), pp. 92–102.</w:t>
      </w:r>
    </w:p>
    <w:p w14:paraId="3612FBCC"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Mintel (2023) </w:t>
      </w:r>
      <w:r w:rsidRPr="00392DC5">
        <w:rPr>
          <w:rFonts w:ascii="Calibri" w:hAnsi="Calibri" w:cs="Calibri"/>
          <w:i/>
          <w:iCs/>
          <w:sz w:val="22"/>
          <w:szCs w:val="22"/>
        </w:rPr>
        <w:t>UK Automotive Market Report.</w:t>
      </w:r>
      <w:r w:rsidRPr="00392DC5">
        <w:rPr>
          <w:rFonts w:ascii="Calibri" w:hAnsi="Calibri" w:cs="Calibri"/>
          <w:sz w:val="22"/>
          <w:szCs w:val="22"/>
        </w:rPr>
        <w:t xml:space="preserve"> London: Mintel Group.</w:t>
      </w:r>
    </w:p>
    <w:p w14:paraId="115293C2"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PwC (2024) </w:t>
      </w:r>
      <w:r w:rsidRPr="00392DC5">
        <w:rPr>
          <w:rFonts w:ascii="Calibri" w:hAnsi="Calibri" w:cs="Calibri"/>
          <w:i/>
          <w:iCs/>
          <w:sz w:val="22"/>
          <w:szCs w:val="22"/>
        </w:rPr>
        <w:t>Electric Vehicle Outlook.</w:t>
      </w:r>
      <w:r w:rsidRPr="00392DC5">
        <w:rPr>
          <w:rFonts w:ascii="Calibri" w:hAnsi="Calibri" w:cs="Calibri"/>
          <w:sz w:val="22"/>
          <w:szCs w:val="22"/>
        </w:rPr>
        <w:t xml:space="preserve"> London: PwC.</w:t>
      </w:r>
    </w:p>
    <w:p w14:paraId="27FB3A5E"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Statista (2024a) ‘BMW market share in Germany’, </w:t>
      </w:r>
      <w:r w:rsidRPr="00392DC5">
        <w:rPr>
          <w:rFonts w:ascii="Calibri" w:hAnsi="Calibri" w:cs="Calibri"/>
          <w:i/>
          <w:iCs/>
          <w:sz w:val="22"/>
          <w:szCs w:val="22"/>
        </w:rPr>
        <w:t>Statista Automotive</w:t>
      </w:r>
      <w:r w:rsidRPr="00392DC5">
        <w:rPr>
          <w:rFonts w:ascii="Calibri" w:hAnsi="Calibri" w:cs="Calibri"/>
          <w:sz w:val="22"/>
          <w:szCs w:val="22"/>
        </w:rPr>
        <w:t xml:space="preserve">. Available at: </w:t>
      </w:r>
      <w:hyperlink r:id="rId8" w:tgtFrame="_new" w:history="1">
        <w:r w:rsidRPr="00392DC5">
          <w:rPr>
            <w:rStyle w:val="Hyperlink"/>
            <w:rFonts w:ascii="Calibri" w:hAnsi="Calibri" w:cs="Calibri"/>
            <w:sz w:val="22"/>
            <w:szCs w:val="22"/>
          </w:rPr>
          <w:t>https://www.statista.com</w:t>
        </w:r>
      </w:hyperlink>
      <w:r w:rsidRPr="00392DC5">
        <w:rPr>
          <w:rFonts w:ascii="Calibri" w:hAnsi="Calibri" w:cs="Calibri"/>
          <w:sz w:val="22"/>
          <w:szCs w:val="22"/>
        </w:rPr>
        <w:t xml:space="preserve"> (Accessed: 14 November 2025).</w:t>
      </w:r>
    </w:p>
    <w:p w14:paraId="6BFAE729"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Statista (2024b) ‘BMW electric vehicle sales worldwide’, </w:t>
      </w:r>
      <w:r w:rsidRPr="00392DC5">
        <w:rPr>
          <w:rFonts w:ascii="Calibri" w:hAnsi="Calibri" w:cs="Calibri"/>
          <w:i/>
          <w:iCs/>
          <w:sz w:val="22"/>
          <w:szCs w:val="22"/>
        </w:rPr>
        <w:t>Statista EV Insights.</w:t>
      </w:r>
    </w:p>
    <w:p w14:paraId="138306E2"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UK Government (2024) </w:t>
      </w:r>
      <w:r w:rsidRPr="00392DC5">
        <w:rPr>
          <w:rFonts w:ascii="Calibri" w:hAnsi="Calibri" w:cs="Calibri"/>
          <w:i/>
          <w:iCs/>
          <w:sz w:val="22"/>
          <w:szCs w:val="22"/>
        </w:rPr>
        <w:t>Road to Zero Strategy.</w:t>
      </w:r>
      <w:r w:rsidRPr="00392DC5">
        <w:rPr>
          <w:rFonts w:ascii="Calibri" w:hAnsi="Calibri" w:cs="Calibri"/>
          <w:sz w:val="22"/>
          <w:szCs w:val="22"/>
        </w:rPr>
        <w:t xml:space="preserve"> Available at: </w:t>
      </w:r>
      <w:hyperlink r:id="rId9" w:tgtFrame="_new" w:history="1">
        <w:r w:rsidRPr="00392DC5">
          <w:rPr>
            <w:rStyle w:val="Hyperlink"/>
            <w:rFonts w:ascii="Calibri" w:hAnsi="Calibri" w:cs="Calibri"/>
            <w:sz w:val="22"/>
            <w:szCs w:val="22"/>
          </w:rPr>
          <w:t>https://www.gov.uk</w:t>
        </w:r>
      </w:hyperlink>
      <w:r w:rsidRPr="00392DC5">
        <w:rPr>
          <w:rFonts w:ascii="Calibri" w:hAnsi="Calibri" w:cs="Calibri"/>
          <w:sz w:val="22"/>
          <w:szCs w:val="22"/>
        </w:rPr>
        <w:t xml:space="preserve"> (Accessed: 14 November 2025).</w:t>
      </w:r>
    </w:p>
    <w:p w14:paraId="553FF588" w14:textId="77777777" w:rsidR="00DE23A0" w:rsidRPr="00DE23A0" w:rsidRDefault="00DE23A0" w:rsidP="00DE23A0">
      <w:pPr>
        <w:spacing w:line="360" w:lineRule="auto"/>
        <w:rPr>
          <w:rFonts w:ascii="Calibri" w:hAnsi="Calibri" w:cs="Calibri"/>
          <w:sz w:val="22"/>
          <w:szCs w:val="22"/>
        </w:rPr>
      </w:pPr>
    </w:p>
    <w:p w14:paraId="11BB32BC" w14:textId="77777777" w:rsidR="00DE23A0" w:rsidRPr="00DE23A0" w:rsidRDefault="00DE23A0" w:rsidP="00DE23A0">
      <w:pPr>
        <w:spacing w:line="360" w:lineRule="auto"/>
        <w:rPr>
          <w:rFonts w:ascii="Calibri" w:hAnsi="Calibri" w:cs="Calibri"/>
          <w:sz w:val="22"/>
          <w:szCs w:val="22"/>
        </w:rPr>
      </w:pPr>
    </w:p>
    <w:p w14:paraId="5595FEFB" w14:textId="77777777" w:rsidR="00DE23A0" w:rsidRPr="00DE23A0" w:rsidRDefault="00DE23A0" w:rsidP="00DE23A0">
      <w:pPr>
        <w:spacing w:line="360" w:lineRule="auto"/>
        <w:rPr>
          <w:rFonts w:ascii="Calibri" w:hAnsi="Calibri" w:cs="Calibri"/>
          <w:sz w:val="22"/>
          <w:szCs w:val="22"/>
        </w:rPr>
      </w:pPr>
    </w:p>
    <w:p w14:paraId="7663D539" w14:textId="77777777" w:rsidR="00DE23A0" w:rsidRPr="00DE23A0" w:rsidRDefault="00DE23A0" w:rsidP="00DE23A0">
      <w:pPr>
        <w:spacing w:line="360" w:lineRule="auto"/>
        <w:rPr>
          <w:rFonts w:ascii="Calibri" w:hAnsi="Calibri" w:cs="Calibri"/>
          <w:sz w:val="22"/>
          <w:szCs w:val="22"/>
        </w:rPr>
      </w:pPr>
    </w:p>
    <w:p w14:paraId="6EF7D714" w14:textId="77777777" w:rsidR="00DE23A0" w:rsidRPr="00DE23A0" w:rsidRDefault="00DE23A0" w:rsidP="00DE23A0">
      <w:pPr>
        <w:spacing w:line="360" w:lineRule="auto"/>
        <w:rPr>
          <w:rFonts w:ascii="Calibri" w:hAnsi="Calibri" w:cs="Calibri"/>
          <w:sz w:val="22"/>
          <w:szCs w:val="22"/>
        </w:rPr>
      </w:pPr>
    </w:p>
    <w:p w14:paraId="3502FF58" w14:textId="77777777" w:rsidR="00DE23A0" w:rsidRPr="00DE23A0" w:rsidRDefault="00DE23A0" w:rsidP="00DE23A0">
      <w:pPr>
        <w:spacing w:line="360" w:lineRule="auto"/>
        <w:rPr>
          <w:rFonts w:ascii="Calibri" w:hAnsi="Calibri" w:cs="Calibri"/>
          <w:sz w:val="22"/>
          <w:szCs w:val="22"/>
        </w:rPr>
      </w:pPr>
    </w:p>
    <w:p w14:paraId="4F0AAE28" w14:textId="77777777" w:rsidR="00DE23A0" w:rsidRPr="00DE23A0" w:rsidRDefault="00DE23A0" w:rsidP="00DE23A0">
      <w:pPr>
        <w:spacing w:line="360" w:lineRule="auto"/>
        <w:rPr>
          <w:rFonts w:ascii="Calibri" w:hAnsi="Calibri" w:cs="Calibri"/>
          <w:sz w:val="22"/>
          <w:szCs w:val="22"/>
        </w:rPr>
      </w:pPr>
    </w:p>
    <w:p w14:paraId="67C8108B" w14:textId="77777777" w:rsidR="00DE23A0" w:rsidRPr="00DE23A0" w:rsidRDefault="00DE23A0" w:rsidP="00DE23A0">
      <w:pPr>
        <w:spacing w:line="360" w:lineRule="auto"/>
        <w:rPr>
          <w:rFonts w:ascii="Calibri" w:hAnsi="Calibri" w:cs="Calibri"/>
          <w:sz w:val="22"/>
          <w:szCs w:val="22"/>
        </w:rPr>
      </w:pPr>
    </w:p>
    <w:p w14:paraId="012F8070" w14:textId="77777777" w:rsidR="00DE23A0" w:rsidRPr="00DE23A0" w:rsidRDefault="00DE23A0" w:rsidP="00DE23A0">
      <w:pPr>
        <w:spacing w:line="360" w:lineRule="auto"/>
        <w:rPr>
          <w:rFonts w:ascii="Calibri" w:hAnsi="Calibri" w:cs="Calibri"/>
          <w:sz w:val="22"/>
          <w:szCs w:val="22"/>
        </w:rPr>
      </w:pPr>
    </w:p>
    <w:p w14:paraId="165EF74C" w14:textId="77777777" w:rsidR="00DE23A0" w:rsidRPr="00A128C1" w:rsidRDefault="00DE23A0" w:rsidP="00DE23A0">
      <w:pPr>
        <w:spacing w:line="360" w:lineRule="auto"/>
        <w:rPr>
          <w:rFonts w:ascii="Calibri" w:hAnsi="Calibri" w:cs="Calibri"/>
          <w:sz w:val="32"/>
          <w:szCs w:val="32"/>
        </w:rPr>
      </w:pPr>
      <w:r w:rsidRPr="00A128C1">
        <w:rPr>
          <w:rFonts w:ascii="Calibri" w:hAnsi="Calibri" w:cs="Calibri"/>
          <w:sz w:val="32"/>
          <w:szCs w:val="32"/>
        </w:rPr>
        <w:lastRenderedPageBreak/>
        <w:t>APPENDIX</w:t>
      </w:r>
    </w:p>
    <w:p w14:paraId="5441D156" w14:textId="77777777" w:rsidR="00DE23A0" w:rsidRPr="00A128C1" w:rsidRDefault="00DE23A0" w:rsidP="00DE23A0">
      <w:pPr>
        <w:spacing w:line="360" w:lineRule="auto"/>
        <w:rPr>
          <w:rFonts w:ascii="Calibri" w:hAnsi="Calibri" w:cs="Calibri"/>
          <w:b/>
          <w:bCs/>
          <w:sz w:val="22"/>
          <w:szCs w:val="22"/>
        </w:rPr>
      </w:pPr>
      <w:r w:rsidRPr="00A128C1">
        <w:rPr>
          <w:rFonts w:ascii="Calibri" w:hAnsi="Calibri" w:cs="Calibri"/>
          <w:b/>
          <w:bCs/>
          <w:sz w:val="22"/>
          <w:szCs w:val="22"/>
        </w:rPr>
        <w:t>Appendix A: Advertising Examples (UK vs Germany)</w:t>
      </w:r>
    </w:p>
    <w:p w14:paraId="7C08B475" w14:textId="77777777" w:rsidR="00DE23A0" w:rsidRPr="00DE23A0" w:rsidRDefault="00DE23A0" w:rsidP="00DE23A0">
      <w:pPr>
        <w:spacing w:line="360" w:lineRule="auto"/>
        <w:rPr>
          <w:rFonts w:ascii="Calibri" w:hAnsi="Calibri" w:cs="Calibri"/>
          <w:sz w:val="22"/>
          <w:szCs w:val="22"/>
        </w:rPr>
      </w:pPr>
    </w:p>
    <w:p w14:paraId="74FFD75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A1. BMW i4 UK Campaign (2024) – Description</w:t>
      </w:r>
    </w:p>
    <w:p w14:paraId="15F572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 London-based outdoor poster showing a young professional stepping out of a BMW i4. The tagline reads: “The Future Feels Electric.”</w:t>
      </w:r>
    </w:p>
    <w:p w14:paraId="0433E4F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Focuses on lifestyle, aspiration, and modern urban identity.</w:t>
      </w:r>
    </w:p>
    <w:p w14:paraId="55E3ACF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Minimal technical information included.</w:t>
      </w:r>
    </w:p>
    <w:p w14:paraId="1A70A79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A2. BMW i4 Germany Campaign (2024) – Description</w:t>
      </w:r>
    </w:p>
    <w:p w14:paraId="6EDA872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 German TV spot featuring battery technology animations, torque curves, and safety demonstrations.</w:t>
      </w:r>
    </w:p>
    <w:p w14:paraId="5080A71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tagline reads: “Technologie, die bewegt.”</w:t>
      </w:r>
    </w:p>
    <w:p w14:paraId="7296B3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Focuses on engineering, efficiency, and technical detail.</w:t>
      </w:r>
    </w:p>
    <w:p w14:paraId="1A6F7FC0" w14:textId="77777777" w:rsidR="00DE23A0" w:rsidRPr="00DE23A0" w:rsidRDefault="00DE23A0" w:rsidP="00DE23A0">
      <w:pPr>
        <w:spacing w:line="360" w:lineRule="auto"/>
        <w:rPr>
          <w:rFonts w:ascii="Calibri" w:hAnsi="Calibri" w:cs="Calibri"/>
          <w:sz w:val="22"/>
          <w:szCs w:val="22"/>
        </w:rPr>
      </w:pPr>
    </w:p>
    <w:p w14:paraId="74FFA804" w14:textId="6B428E42" w:rsidR="00DE23A0" w:rsidRPr="00DE23A0" w:rsidRDefault="000F669E" w:rsidP="00DE23A0">
      <w:pPr>
        <w:spacing w:line="360" w:lineRule="auto"/>
        <w:rPr>
          <w:rFonts w:ascii="Calibri" w:hAnsi="Calibri" w:cs="Calibri"/>
          <w:sz w:val="22"/>
          <w:szCs w:val="22"/>
        </w:rPr>
      </w:pPr>
      <w:r w:rsidRPr="000F669E">
        <w:rPr>
          <w:rFonts w:ascii="Calibri" w:hAnsi="Calibri" w:cs="Calibri"/>
          <w:sz w:val="22"/>
          <w:szCs w:val="22"/>
        </w:rPr>
        <w:t>Source: BMW UK Marketing Campaign (2024); BMW Germany TV Campaign (2024).</w:t>
      </w:r>
    </w:p>
    <w:p w14:paraId="0EDD8ABB" w14:textId="77777777" w:rsidR="00DE23A0" w:rsidRPr="00DE23A0" w:rsidRDefault="00DE23A0" w:rsidP="00DE23A0">
      <w:pPr>
        <w:spacing w:line="360" w:lineRule="auto"/>
        <w:rPr>
          <w:rFonts w:ascii="Calibri" w:hAnsi="Calibri" w:cs="Calibri"/>
          <w:sz w:val="22"/>
          <w:szCs w:val="22"/>
        </w:rPr>
      </w:pPr>
    </w:p>
    <w:p w14:paraId="641FE35A" w14:textId="77777777" w:rsidR="00DE23A0" w:rsidRPr="00DE23A0" w:rsidRDefault="00DE23A0" w:rsidP="00DE23A0">
      <w:pPr>
        <w:spacing w:line="360" w:lineRule="auto"/>
        <w:rPr>
          <w:rFonts w:ascii="Calibri" w:hAnsi="Calibri" w:cs="Calibri"/>
          <w:sz w:val="22"/>
          <w:szCs w:val="22"/>
        </w:rPr>
      </w:pPr>
    </w:p>
    <w:p w14:paraId="3661CF1C" w14:textId="77777777" w:rsidR="00DE23A0" w:rsidRPr="00DE23A0" w:rsidRDefault="00DE23A0" w:rsidP="00DE23A0">
      <w:pPr>
        <w:spacing w:line="360" w:lineRule="auto"/>
        <w:rPr>
          <w:rFonts w:ascii="Calibri" w:hAnsi="Calibri" w:cs="Calibri"/>
          <w:sz w:val="22"/>
          <w:szCs w:val="22"/>
        </w:rPr>
      </w:pPr>
    </w:p>
    <w:p w14:paraId="61532FB9" w14:textId="77777777" w:rsidR="00DE23A0" w:rsidRPr="00DE23A0" w:rsidRDefault="00DE23A0" w:rsidP="00DE23A0">
      <w:pPr>
        <w:spacing w:line="360" w:lineRule="auto"/>
        <w:rPr>
          <w:rFonts w:ascii="Calibri" w:hAnsi="Calibri" w:cs="Calibri"/>
          <w:sz w:val="22"/>
          <w:szCs w:val="22"/>
        </w:rPr>
      </w:pPr>
    </w:p>
    <w:p w14:paraId="4F5AC225" w14:textId="77777777" w:rsidR="00DE23A0" w:rsidRPr="00DE23A0" w:rsidRDefault="00DE23A0" w:rsidP="00DE23A0">
      <w:pPr>
        <w:spacing w:line="360" w:lineRule="auto"/>
        <w:rPr>
          <w:rFonts w:ascii="Calibri" w:hAnsi="Calibri" w:cs="Calibri"/>
          <w:sz w:val="22"/>
          <w:szCs w:val="22"/>
        </w:rPr>
      </w:pPr>
    </w:p>
    <w:p w14:paraId="67D6DB88" w14:textId="77777777" w:rsidR="00DE23A0" w:rsidRPr="00DE23A0" w:rsidRDefault="00DE23A0" w:rsidP="00DE23A0">
      <w:pPr>
        <w:spacing w:line="360" w:lineRule="auto"/>
        <w:rPr>
          <w:rFonts w:ascii="Calibri" w:hAnsi="Calibri" w:cs="Calibri"/>
          <w:sz w:val="22"/>
          <w:szCs w:val="22"/>
        </w:rPr>
      </w:pPr>
    </w:p>
    <w:p w14:paraId="38B0E54C" w14:textId="77777777" w:rsidR="00DE23A0" w:rsidRPr="00DE23A0" w:rsidRDefault="00DE23A0" w:rsidP="00DE23A0">
      <w:pPr>
        <w:spacing w:line="360" w:lineRule="auto"/>
        <w:rPr>
          <w:rFonts w:ascii="Calibri" w:hAnsi="Calibri" w:cs="Calibri"/>
          <w:sz w:val="22"/>
          <w:szCs w:val="22"/>
        </w:rPr>
      </w:pPr>
    </w:p>
    <w:p w14:paraId="755955DE" w14:textId="77777777" w:rsidR="00DE23A0" w:rsidRPr="00DE23A0" w:rsidRDefault="00DE23A0" w:rsidP="00DE23A0">
      <w:pPr>
        <w:spacing w:line="360" w:lineRule="auto"/>
        <w:rPr>
          <w:rFonts w:ascii="Calibri" w:hAnsi="Calibri" w:cs="Calibri"/>
          <w:sz w:val="22"/>
          <w:szCs w:val="22"/>
        </w:rPr>
      </w:pPr>
    </w:p>
    <w:p w14:paraId="7F402DDD" w14:textId="77777777" w:rsidR="00DE23A0" w:rsidRPr="00A128C1" w:rsidRDefault="00DE23A0" w:rsidP="00DE23A0">
      <w:pPr>
        <w:spacing w:line="360" w:lineRule="auto"/>
        <w:rPr>
          <w:rFonts w:ascii="Calibri" w:hAnsi="Calibri" w:cs="Calibri"/>
          <w:b/>
          <w:bCs/>
          <w:sz w:val="22"/>
          <w:szCs w:val="22"/>
        </w:rPr>
      </w:pPr>
      <w:r w:rsidRPr="00A128C1">
        <w:rPr>
          <w:rFonts w:ascii="Calibri" w:hAnsi="Calibri" w:cs="Calibri"/>
          <w:b/>
          <w:bCs/>
          <w:sz w:val="22"/>
          <w:szCs w:val="22"/>
        </w:rPr>
        <w:t>Appendix B: Price Comparison Table (UK vs Germany)</w:t>
      </w:r>
    </w:p>
    <w:p w14:paraId="5C2C802E" w14:textId="77777777" w:rsidR="00DE23A0" w:rsidRPr="00DE23A0" w:rsidRDefault="00DE23A0" w:rsidP="00DE23A0">
      <w:pPr>
        <w:spacing w:line="360" w:lineRule="auto"/>
        <w:rPr>
          <w:rFonts w:ascii="Calibri" w:hAnsi="Calibri" w:cs="Calibri"/>
          <w:sz w:val="22"/>
          <w:szCs w:val="22"/>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0"/>
        <w:gridCol w:w="1389"/>
        <w:gridCol w:w="1899"/>
        <w:gridCol w:w="4502"/>
      </w:tblGrid>
      <w:tr w:rsidR="006372DA" w:rsidRPr="00211799" w14:paraId="5C55C925" w14:textId="77777777" w:rsidTr="00000181">
        <w:trPr>
          <w:tblHeader/>
          <w:tblCellSpacing w:w="15" w:type="dxa"/>
          <w:jc w:val="center"/>
        </w:trPr>
        <w:tc>
          <w:tcPr>
            <w:tcW w:w="0" w:type="auto"/>
            <w:vAlign w:val="center"/>
            <w:hideMark/>
          </w:tcPr>
          <w:p w14:paraId="5069F42F" w14:textId="77777777" w:rsidR="006372DA" w:rsidRPr="00211799" w:rsidRDefault="006372DA" w:rsidP="006372DA">
            <w:pPr>
              <w:spacing w:line="360" w:lineRule="auto"/>
              <w:jc w:val="center"/>
              <w:rPr>
                <w:rFonts w:ascii="Calibri" w:hAnsi="Calibri" w:cs="Calibri"/>
                <w:b/>
                <w:bCs/>
                <w:sz w:val="22"/>
                <w:szCs w:val="22"/>
              </w:rPr>
            </w:pPr>
            <w:r w:rsidRPr="00211799">
              <w:rPr>
                <w:rFonts w:ascii="Calibri" w:hAnsi="Calibri" w:cs="Calibri"/>
                <w:b/>
                <w:bCs/>
                <w:sz w:val="22"/>
                <w:szCs w:val="22"/>
              </w:rPr>
              <w:t>Model</w:t>
            </w:r>
          </w:p>
        </w:tc>
        <w:tc>
          <w:tcPr>
            <w:tcW w:w="0" w:type="auto"/>
            <w:vAlign w:val="center"/>
            <w:hideMark/>
          </w:tcPr>
          <w:p w14:paraId="0BC97D74" w14:textId="77777777" w:rsidR="006372DA" w:rsidRPr="00211799" w:rsidRDefault="006372DA" w:rsidP="006372DA">
            <w:pPr>
              <w:spacing w:line="360" w:lineRule="auto"/>
              <w:jc w:val="center"/>
              <w:rPr>
                <w:rFonts w:ascii="Calibri" w:hAnsi="Calibri" w:cs="Calibri"/>
                <w:b/>
                <w:bCs/>
                <w:sz w:val="22"/>
                <w:szCs w:val="22"/>
              </w:rPr>
            </w:pPr>
            <w:r w:rsidRPr="00211799">
              <w:rPr>
                <w:rFonts w:ascii="Calibri" w:hAnsi="Calibri" w:cs="Calibri"/>
                <w:b/>
                <w:bCs/>
                <w:sz w:val="22"/>
                <w:szCs w:val="22"/>
              </w:rPr>
              <w:t>UK Price (2024)</w:t>
            </w:r>
          </w:p>
        </w:tc>
        <w:tc>
          <w:tcPr>
            <w:tcW w:w="0" w:type="auto"/>
            <w:vAlign w:val="center"/>
            <w:hideMark/>
          </w:tcPr>
          <w:p w14:paraId="4BDE7E77" w14:textId="77777777" w:rsidR="006372DA" w:rsidRPr="00211799" w:rsidRDefault="006372DA" w:rsidP="006372DA">
            <w:pPr>
              <w:spacing w:line="360" w:lineRule="auto"/>
              <w:jc w:val="center"/>
              <w:rPr>
                <w:rFonts w:ascii="Calibri" w:hAnsi="Calibri" w:cs="Calibri"/>
                <w:b/>
                <w:bCs/>
                <w:sz w:val="22"/>
                <w:szCs w:val="22"/>
              </w:rPr>
            </w:pPr>
            <w:r w:rsidRPr="00211799">
              <w:rPr>
                <w:rFonts w:ascii="Calibri" w:hAnsi="Calibri" w:cs="Calibri"/>
                <w:b/>
                <w:bCs/>
                <w:sz w:val="22"/>
                <w:szCs w:val="22"/>
              </w:rPr>
              <w:t>Germany Price (2024)</w:t>
            </w:r>
          </w:p>
        </w:tc>
        <w:tc>
          <w:tcPr>
            <w:tcW w:w="0" w:type="auto"/>
            <w:vAlign w:val="center"/>
            <w:hideMark/>
          </w:tcPr>
          <w:p w14:paraId="31A68555" w14:textId="77777777" w:rsidR="006372DA" w:rsidRPr="00211799" w:rsidRDefault="006372DA" w:rsidP="006372DA">
            <w:pPr>
              <w:spacing w:line="360" w:lineRule="auto"/>
              <w:jc w:val="center"/>
              <w:rPr>
                <w:rFonts w:ascii="Calibri" w:hAnsi="Calibri" w:cs="Calibri"/>
                <w:b/>
                <w:bCs/>
                <w:sz w:val="22"/>
                <w:szCs w:val="22"/>
              </w:rPr>
            </w:pPr>
            <w:r w:rsidRPr="00211799">
              <w:rPr>
                <w:rFonts w:ascii="Calibri" w:hAnsi="Calibri" w:cs="Calibri"/>
                <w:b/>
                <w:bCs/>
                <w:sz w:val="22"/>
                <w:szCs w:val="22"/>
              </w:rPr>
              <w:t>Notes</w:t>
            </w:r>
          </w:p>
        </w:tc>
      </w:tr>
      <w:tr w:rsidR="006372DA" w:rsidRPr="00211799" w14:paraId="4323F885" w14:textId="77777777" w:rsidTr="00000181">
        <w:trPr>
          <w:tblCellSpacing w:w="15" w:type="dxa"/>
          <w:jc w:val="center"/>
        </w:trPr>
        <w:tc>
          <w:tcPr>
            <w:tcW w:w="0" w:type="auto"/>
            <w:vAlign w:val="center"/>
            <w:hideMark/>
          </w:tcPr>
          <w:p w14:paraId="62128447"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BMW 320i</w:t>
            </w:r>
          </w:p>
        </w:tc>
        <w:tc>
          <w:tcPr>
            <w:tcW w:w="0" w:type="auto"/>
            <w:vAlign w:val="center"/>
            <w:hideMark/>
          </w:tcPr>
          <w:p w14:paraId="7B6990F3"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£38,000</w:t>
            </w:r>
          </w:p>
        </w:tc>
        <w:tc>
          <w:tcPr>
            <w:tcW w:w="0" w:type="auto"/>
            <w:vAlign w:val="center"/>
            <w:hideMark/>
          </w:tcPr>
          <w:p w14:paraId="1BEAAF78"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€45,900</w:t>
            </w:r>
          </w:p>
        </w:tc>
        <w:tc>
          <w:tcPr>
            <w:tcW w:w="0" w:type="auto"/>
            <w:vAlign w:val="center"/>
            <w:hideMark/>
          </w:tcPr>
          <w:p w14:paraId="155A455F"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UK focuses on PCP; DE emphasises engineering options</w:t>
            </w:r>
          </w:p>
        </w:tc>
      </w:tr>
      <w:tr w:rsidR="006372DA" w:rsidRPr="00211799" w14:paraId="6A3D22F2" w14:textId="77777777" w:rsidTr="00000181">
        <w:trPr>
          <w:tblCellSpacing w:w="15" w:type="dxa"/>
          <w:jc w:val="center"/>
        </w:trPr>
        <w:tc>
          <w:tcPr>
            <w:tcW w:w="0" w:type="auto"/>
            <w:vAlign w:val="center"/>
            <w:hideMark/>
          </w:tcPr>
          <w:p w14:paraId="5601EA32"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BMW i4 eDrive40</w:t>
            </w:r>
          </w:p>
        </w:tc>
        <w:tc>
          <w:tcPr>
            <w:tcW w:w="0" w:type="auto"/>
            <w:vAlign w:val="center"/>
            <w:hideMark/>
          </w:tcPr>
          <w:p w14:paraId="22825EE0"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£50,755</w:t>
            </w:r>
          </w:p>
        </w:tc>
        <w:tc>
          <w:tcPr>
            <w:tcW w:w="0" w:type="auto"/>
            <w:vAlign w:val="center"/>
            <w:hideMark/>
          </w:tcPr>
          <w:p w14:paraId="7E7E81A0"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€56,500</w:t>
            </w:r>
          </w:p>
        </w:tc>
        <w:tc>
          <w:tcPr>
            <w:tcW w:w="0" w:type="auto"/>
            <w:vAlign w:val="center"/>
            <w:hideMark/>
          </w:tcPr>
          <w:p w14:paraId="563FD78D"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EV incentives differ by market</w:t>
            </w:r>
          </w:p>
        </w:tc>
      </w:tr>
      <w:tr w:rsidR="006372DA" w:rsidRPr="00211799" w14:paraId="47B215BA" w14:textId="77777777" w:rsidTr="00000181">
        <w:trPr>
          <w:tblCellSpacing w:w="15" w:type="dxa"/>
          <w:jc w:val="center"/>
        </w:trPr>
        <w:tc>
          <w:tcPr>
            <w:tcW w:w="0" w:type="auto"/>
            <w:vAlign w:val="center"/>
            <w:hideMark/>
          </w:tcPr>
          <w:p w14:paraId="46729F3D"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BMW X1</w:t>
            </w:r>
          </w:p>
        </w:tc>
        <w:tc>
          <w:tcPr>
            <w:tcW w:w="0" w:type="auto"/>
            <w:vAlign w:val="center"/>
            <w:hideMark/>
          </w:tcPr>
          <w:p w14:paraId="3653D4A2"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£35,000</w:t>
            </w:r>
          </w:p>
        </w:tc>
        <w:tc>
          <w:tcPr>
            <w:tcW w:w="0" w:type="auto"/>
            <w:vAlign w:val="center"/>
            <w:hideMark/>
          </w:tcPr>
          <w:p w14:paraId="49110CCA"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€42,100</w:t>
            </w:r>
          </w:p>
        </w:tc>
        <w:tc>
          <w:tcPr>
            <w:tcW w:w="0" w:type="auto"/>
            <w:vAlign w:val="center"/>
            <w:hideMark/>
          </w:tcPr>
          <w:p w14:paraId="2E24753B"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Lower UK pricing supports urban market</w:t>
            </w:r>
          </w:p>
        </w:tc>
      </w:tr>
    </w:tbl>
    <w:p w14:paraId="2333883F" w14:textId="77777777" w:rsidR="00DE23A0" w:rsidRPr="00DE23A0" w:rsidRDefault="00DE23A0" w:rsidP="00DE23A0">
      <w:pPr>
        <w:spacing w:line="360" w:lineRule="auto"/>
        <w:rPr>
          <w:rFonts w:ascii="Calibri" w:hAnsi="Calibri" w:cs="Calibri"/>
          <w:sz w:val="22"/>
          <w:szCs w:val="22"/>
        </w:rPr>
      </w:pPr>
    </w:p>
    <w:p w14:paraId="0AFE9848" w14:textId="77777777" w:rsidR="00DE23A0" w:rsidRPr="00DE23A0" w:rsidRDefault="00DE23A0" w:rsidP="00DE23A0">
      <w:pPr>
        <w:spacing w:line="360" w:lineRule="auto"/>
        <w:rPr>
          <w:rFonts w:ascii="Calibri" w:hAnsi="Calibri" w:cs="Calibri"/>
          <w:sz w:val="22"/>
          <w:szCs w:val="22"/>
        </w:rPr>
      </w:pPr>
    </w:p>
    <w:p w14:paraId="6D702F82" w14:textId="38CB3CA7" w:rsidR="00DE23A0" w:rsidRPr="00DE23A0" w:rsidRDefault="000F669E" w:rsidP="00DE23A0">
      <w:pPr>
        <w:spacing w:line="360" w:lineRule="auto"/>
        <w:rPr>
          <w:rFonts w:ascii="Calibri" w:hAnsi="Calibri" w:cs="Calibri"/>
          <w:sz w:val="22"/>
          <w:szCs w:val="22"/>
        </w:rPr>
      </w:pPr>
      <w:r w:rsidRPr="000F669E">
        <w:rPr>
          <w:rFonts w:ascii="Calibri" w:hAnsi="Calibri" w:cs="Calibri"/>
          <w:sz w:val="22"/>
          <w:szCs w:val="22"/>
        </w:rPr>
        <w:t>Source: BMW UK Official Website (2024); BMW Deutschland Website (2024).</w:t>
      </w:r>
    </w:p>
    <w:p w14:paraId="03DB71A9" w14:textId="77777777" w:rsidR="00DE23A0" w:rsidRPr="00DE23A0" w:rsidRDefault="00DE23A0" w:rsidP="00DE23A0">
      <w:pPr>
        <w:spacing w:line="360" w:lineRule="auto"/>
        <w:rPr>
          <w:rFonts w:ascii="Calibri" w:hAnsi="Calibri" w:cs="Calibri"/>
          <w:sz w:val="22"/>
          <w:szCs w:val="22"/>
        </w:rPr>
      </w:pPr>
    </w:p>
    <w:p w14:paraId="14A4155F" w14:textId="77777777" w:rsidR="00DE23A0" w:rsidRPr="00DE23A0" w:rsidRDefault="00DE23A0" w:rsidP="00DE23A0">
      <w:pPr>
        <w:spacing w:line="360" w:lineRule="auto"/>
        <w:rPr>
          <w:rFonts w:ascii="Calibri" w:hAnsi="Calibri" w:cs="Calibri"/>
          <w:sz w:val="22"/>
          <w:szCs w:val="22"/>
        </w:rPr>
      </w:pPr>
    </w:p>
    <w:p w14:paraId="75D4A118" w14:textId="77777777" w:rsidR="00DE23A0" w:rsidRPr="00DE23A0" w:rsidRDefault="00DE23A0" w:rsidP="00DE23A0">
      <w:pPr>
        <w:spacing w:line="360" w:lineRule="auto"/>
        <w:rPr>
          <w:rFonts w:ascii="Calibri" w:hAnsi="Calibri" w:cs="Calibri"/>
          <w:sz w:val="22"/>
          <w:szCs w:val="22"/>
        </w:rPr>
      </w:pPr>
    </w:p>
    <w:p w14:paraId="79350FC6" w14:textId="77777777" w:rsidR="00DE23A0" w:rsidRPr="00DE23A0" w:rsidRDefault="00DE23A0" w:rsidP="00DE23A0">
      <w:pPr>
        <w:spacing w:line="360" w:lineRule="auto"/>
        <w:rPr>
          <w:rFonts w:ascii="Calibri" w:hAnsi="Calibri" w:cs="Calibri"/>
          <w:sz w:val="22"/>
          <w:szCs w:val="22"/>
        </w:rPr>
      </w:pPr>
    </w:p>
    <w:p w14:paraId="03AB1B17" w14:textId="77777777" w:rsidR="00DE23A0" w:rsidRPr="00DE23A0" w:rsidRDefault="00DE23A0" w:rsidP="00DE23A0">
      <w:pPr>
        <w:spacing w:line="360" w:lineRule="auto"/>
        <w:rPr>
          <w:rFonts w:ascii="Calibri" w:hAnsi="Calibri" w:cs="Calibri"/>
          <w:sz w:val="22"/>
          <w:szCs w:val="22"/>
        </w:rPr>
      </w:pPr>
    </w:p>
    <w:p w14:paraId="563AF415" w14:textId="77777777" w:rsidR="00DE23A0" w:rsidRPr="00DE23A0" w:rsidRDefault="00DE23A0" w:rsidP="00DE23A0">
      <w:pPr>
        <w:spacing w:line="360" w:lineRule="auto"/>
        <w:rPr>
          <w:rFonts w:ascii="Calibri" w:hAnsi="Calibri" w:cs="Calibri"/>
          <w:sz w:val="22"/>
          <w:szCs w:val="22"/>
        </w:rPr>
      </w:pPr>
    </w:p>
    <w:p w14:paraId="2EB2A258" w14:textId="77777777" w:rsidR="00DE23A0" w:rsidRPr="00DE23A0" w:rsidRDefault="00DE23A0" w:rsidP="00DE23A0">
      <w:pPr>
        <w:spacing w:line="360" w:lineRule="auto"/>
        <w:rPr>
          <w:rFonts w:ascii="Calibri" w:hAnsi="Calibri" w:cs="Calibri"/>
          <w:sz w:val="22"/>
          <w:szCs w:val="22"/>
        </w:rPr>
      </w:pPr>
    </w:p>
    <w:p w14:paraId="160AE635" w14:textId="77777777" w:rsidR="00DE23A0" w:rsidRPr="00DE23A0" w:rsidRDefault="00DE23A0" w:rsidP="00DE23A0">
      <w:pPr>
        <w:spacing w:line="360" w:lineRule="auto"/>
        <w:rPr>
          <w:rFonts w:ascii="Calibri" w:hAnsi="Calibri" w:cs="Calibri"/>
          <w:sz w:val="22"/>
          <w:szCs w:val="22"/>
        </w:rPr>
      </w:pPr>
    </w:p>
    <w:p w14:paraId="3B2E49BC" w14:textId="77777777" w:rsidR="00DE23A0" w:rsidRPr="00DE23A0" w:rsidRDefault="00DE23A0" w:rsidP="00DE23A0">
      <w:pPr>
        <w:spacing w:line="360" w:lineRule="auto"/>
        <w:rPr>
          <w:rFonts w:ascii="Calibri" w:hAnsi="Calibri" w:cs="Calibri"/>
          <w:sz w:val="22"/>
          <w:szCs w:val="22"/>
        </w:rPr>
      </w:pPr>
    </w:p>
    <w:p w14:paraId="79CF79E6" w14:textId="77777777" w:rsidR="00DE23A0" w:rsidRPr="00DE23A0" w:rsidRDefault="00DE23A0" w:rsidP="00DE23A0">
      <w:pPr>
        <w:spacing w:line="360" w:lineRule="auto"/>
        <w:rPr>
          <w:rFonts w:ascii="Calibri" w:hAnsi="Calibri" w:cs="Calibri"/>
          <w:sz w:val="22"/>
          <w:szCs w:val="22"/>
        </w:rPr>
      </w:pPr>
    </w:p>
    <w:p w14:paraId="78153724" w14:textId="77777777" w:rsidR="00AC1240" w:rsidRDefault="00AC1240" w:rsidP="00DE23A0">
      <w:pPr>
        <w:spacing w:line="360" w:lineRule="auto"/>
        <w:rPr>
          <w:rFonts w:ascii="Calibri" w:hAnsi="Calibri" w:cs="Calibri"/>
          <w:b/>
          <w:bCs/>
          <w:sz w:val="22"/>
          <w:szCs w:val="22"/>
        </w:rPr>
      </w:pPr>
    </w:p>
    <w:p w14:paraId="27846D22" w14:textId="794F73AA" w:rsidR="00DE23A0" w:rsidRPr="006372DA" w:rsidRDefault="00DE23A0" w:rsidP="00DE23A0">
      <w:pPr>
        <w:spacing w:line="360" w:lineRule="auto"/>
        <w:rPr>
          <w:rFonts w:ascii="Calibri" w:hAnsi="Calibri" w:cs="Calibri"/>
          <w:b/>
          <w:bCs/>
          <w:sz w:val="22"/>
          <w:szCs w:val="22"/>
        </w:rPr>
      </w:pPr>
      <w:r w:rsidRPr="006372DA">
        <w:rPr>
          <w:rFonts w:ascii="Calibri" w:hAnsi="Calibri" w:cs="Calibri"/>
          <w:b/>
          <w:bCs/>
          <w:sz w:val="22"/>
          <w:szCs w:val="22"/>
        </w:rPr>
        <w:t>Appendix C: Website Messaging Comparison</w:t>
      </w:r>
    </w:p>
    <w:p w14:paraId="1E5B7F81" w14:textId="77777777" w:rsidR="00DE23A0" w:rsidRPr="00DE23A0" w:rsidRDefault="00DE23A0" w:rsidP="00DE23A0">
      <w:pPr>
        <w:spacing w:line="360" w:lineRule="auto"/>
        <w:rPr>
          <w:rFonts w:ascii="Calibri" w:hAnsi="Calibri" w:cs="Calibri"/>
          <w:sz w:val="22"/>
          <w:szCs w:val="22"/>
        </w:rPr>
      </w:pPr>
    </w:p>
    <w:p w14:paraId="37373CA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C1. BMW UK Website Features</w:t>
      </w:r>
    </w:p>
    <w:p w14:paraId="5D1E7C6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Lifestyle imagery</w:t>
      </w:r>
    </w:p>
    <w:p w14:paraId="75975BE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Digital finance tools</w:t>
      </w:r>
    </w:p>
    <w:p w14:paraId="4AAE6B2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Emphasis on affordability and design</w:t>
      </w:r>
    </w:p>
    <w:p w14:paraId="2051080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Short, inspirational messaging</w:t>
      </w:r>
    </w:p>
    <w:p w14:paraId="5FAE37C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C2. BMW Germany Website Features</w:t>
      </w:r>
    </w:p>
    <w:p w14:paraId="399FC15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diagrams</w:t>
      </w:r>
    </w:p>
    <w:p w14:paraId="40C7EDF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Performance metrics</w:t>
      </w:r>
    </w:p>
    <w:p w14:paraId="5101A0C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 descriptions</w:t>
      </w:r>
    </w:p>
    <w:p w14:paraId="4682EAE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Detailed specifications</w:t>
      </w:r>
    </w:p>
    <w:p w14:paraId="2779B71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Safety information</w:t>
      </w:r>
    </w:p>
    <w:p w14:paraId="0371E924" w14:textId="77777777" w:rsidR="00DE23A0" w:rsidRPr="00DE23A0" w:rsidRDefault="00DE23A0" w:rsidP="00DE23A0">
      <w:pPr>
        <w:spacing w:line="360" w:lineRule="auto"/>
        <w:rPr>
          <w:rFonts w:ascii="Calibri" w:hAnsi="Calibri" w:cs="Calibri"/>
          <w:sz w:val="22"/>
          <w:szCs w:val="22"/>
        </w:rPr>
      </w:pPr>
    </w:p>
    <w:p w14:paraId="27451B6F" w14:textId="20B6C377" w:rsidR="00DE23A0" w:rsidRPr="00DE23A0" w:rsidRDefault="00095B24" w:rsidP="00DE23A0">
      <w:pPr>
        <w:spacing w:line="360" w:lineRule="auto"/>
        <w:rPr>
          <w:rFonts w:ascii="Calibri" w:hAnsi="Calibri" w:cs="Calibri"/>
          <w:sz w:val="22"/>
          <w:szCs w:val="22"/>
        </w:rPr>
      </w:pPr>
      <w:r w:rsidRPr="00095B24">
        <w:rPr>
          <w:rFonts w:ascii="Calibri" w:hAnsi="Calibri" w:cs="Calibri"/>
          <w:sz w:val="22"/>
          <w:szCs w:val="22"/>
        </w:rPr>
        <w:t>Source: BMW UK Website (2024); BMW Deutschland Website (2024).</w:t>
      </w:r>
    </w:p>
    <w:p w14:paraId="213A26AD" w14:textId="77777777" w:rsidR="00DE23A0" w:rsidRPr="00DE23A0" w:rsidRDefault="00DE23A0" w:rsidP="00DE23A0">
      <w:pPr>
        <w:spacing w:line="360" w:lineRule="auto"/>
        <w:rPr>
          <w:rFonts w:ascii="Calibri" w:hAnsi="Calibri" w:cs="Calibri"/>
          <w:sz w:val="22"/>
          <w:szCs w:val="22"/>
        </w:rPr>
      </w:pPr>
    </w:p>
    <w:p w14:paraId="4EEA7AE9" w14:textId="77777777" w:rsidR="00DE23A0" w:rsidRPr="00DE23A0" w:rsidRDefault="00DE23A0" w:rsidP="00DE23A0">
      <w:pPr>
        <w:spacing w:line="360" w:lineRule="auto"/>
        <w:rPr>
          <w:rFonts w:ascii="Calibri" w:hAnsi="Calibri" w:cs="Calibri"/>
          <w:sz w:val="22"/>
          <w:szCs w:val="22"/>
        </w:rPr>
      </w:pPr>
    </w:p>
    <w:p w14:paraId="147A221A" w14:textId="77777777" w:rsidR="00DE23A0" w:rsidRPr="00DE23A0" w:rsidRDefault="00DE23A0" w:rsidP="00DE23A0">
      <w:pPr>
        <w:spacing w:line="360" w:lineRule="auto"/>
        <w:rPr>
          <w:rFonts w:ascii="Calibri" w:hAnsi="Calibri" w:cs="Calibri"/>
          <w:sz w:val="22"/>
          <w:szCs w:val="22"/>
        </w:rPr>
      </w:pPr>
    </w:p>
    <w:p w14:paraId="2C7AF0AD" w14:textId="77777777" w:rsidR="00DE23A0" w:rsidRPr="00DE23A0" w:rsidRDefault="00DE23A0" w:rsidP="00DE23A0">
      <w:pPr>
        <w:spacing w:line="360" w:lineRule="auto"/>
        <w:rPr>
          <w:rFonts w:ascii="Calibri" w:hAnsi="Calibri" w:cs="Calibri"/>
          <w:sz w:val="22"/>
          <w:szCs w:val="22"/>
        </w:rPr>
      </w:pPr>
    </w:p>
    <w:p w14:paraId="036FDD4A" w14:textId="77777777" w:rsidR="00DE23A0" w:rsidRPr="00DE23A0" w:rsidRDefault="00DE23A0" w:rsidP="00DE23A0">
      <w:pPr>
        <w:spacing w:line="360" w:lineRule="auto"/>
        <w:rPr>
          <w:rFonts w:ascii="Calibri" w:hAnsi="Calibri" w:cs="Calibri"/>
          <w:sz w:val="22"/>
          <w:szCs w:val="22"/>
        </w:rPr>
      </w:pPr>
    </w:p>
    <w:p w14:paraId="75891B73" w14:textId="77777777" w:rsidR="00DE23A0" w:rsidRPr="00DE23A0" w:rsidRDefault="00DE23A0" w:rsidP="00DE23A0">
      <w:pPr>
        <w:spacing w:line="360" w:lineRule="auto"/>
        <w:rPr>
          <w:rFonts w:ascii="Calibri" w:hAnsi="Calibri" w:cs="Calibri"/>
          <w:sz w:val="22"/>
          <w:szCs w:val="22"/>
        </w:rPr>
      </w:pPr>
    </w:p>
    <w:p w14:paraId="429A5920" w14:textId="77777777" w:rsidR="00AC1240" w:rsidRDefault="00AC1240" w:rsidP="00DE23A0">
      <w:pPr>
        <w:spacing w:line="360" w:lineRule="auto"/>
        <w:rPr>
          <w:rFonts w:ascii="Calibri" w:hAnsi="Calibri" w:cs="Calibri"/>
          <w:b/>
          <w:bCs/>
          <w:sz w:val="22"/>
          <w:szCs w:val="22"/>
        </w:rPr>
      </w:pPr>
    </w:p>
    <w:p w14:paraId="352C95EE" w14:textId="77777777" w:rsidR="00AC1240" w:rsidRDefault="00AC1240" w:rsidP="00DE23A0">
      <w:pPr>
        <w:spacing w:line="360" w:lineRule="auto"/>
        <w:rPr>
          <w:rFonts w:ascii="Calibri" w:hAnsi="Calibri" w:cs="Calibri"/>
          <w:b/>
          <w:bCs/>
          <w:sz w:val="22"/>
          <w:szCs w:val="22"/>
        </w:rPr>
      </w:pPr>
    </w:p>
    <w:p w14:paraId="27EEF421" w14:textId="0A8092CC" w:rsidR="00DE23A0" w:rsidRPr="006372DA" w:rsidRDefault="00DE23A0" w:rsidP="00DE23A0">
      <w:pPr>
        <w:spacing w:line="360" w:lineRule="auto"/>
        <w:rPr>
          <w:rFonts w:ascii="Calibri" w:hAnsi="Calibri" w:cs="Calibri"/>
          <w:b/>
          <w:bCs/>
          <w:sz w:val="22"/>
          <w:szCs w:val="22"/>
        </w:rPr>
      </w:pPr>
      <w:r w:rsidRPr="006372DA">
        <w:rPr>
          <w:rFonts w:ascii="Calibri" w:hAnsi="Calibri" w:cs="Calibri"/>
          <w:b/>
          <w:bCs/>
          <w:sz w:val="22"/>
          <w:szCs w:val="22"/>
        </w:rPr>
        <w:t>Appendix D: Social Media Engagement Snapshot</w:t>
      </w:r>
    </w:p>
    <w:p w14:paraId="15185874" w14:textId="77777777" w:rsidR="00DE23A0" w:rsidRPr="00DE23A0" w:rsidRDefault="00DE23A0" w:rsidP="00DE23A0">
      <w:pPr>
        <w:spacing w:line="360" w:lineRule="auto"/>
        <w:rPr>
          <w:rFonts w:ascii="Calibri" w:hAnsi="Calibri" w:cs="Calibri"/>
          <w:sz w:val="22"/>
          <w:szCs w:val="22"/>
        </w:rPr>
      </w:pPr>
    </w:p>
    <w:p w14:paraId="6206120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D1. BMW UK Instagram Content</w:t>
      </w:r>
    </w:p>
    <w:p w14:paraId="1DEED07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Influencers using BMW vehicles</w:t>
      </w:r>
    </w:p>
    <w:p w14:paraId="6DBF4B7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Urban lifestyle photos</w:t>
      </w:r>
    </w:p>
    <w:p w14:paraId="5EBF6BA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Fashion partnerships</w:t>
      </w:r>
    </w:p>
    <w:p w14:paraId="7091A18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Emotional storytelling</w:t>
      </w:r>
    </w:p>
    <w:p w14:paraId="1DEEE3A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D2. BMW Germany Instagram Content</w:t>
      </w:r>
    </w:p>
    <w:p w14:paraId="709F6FD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 process videos</w:t>
      </w:r>
    </w:p>
    <w:p w14:paraId="2F91F7C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Manufacturing behind-the-scenes</w:t>
      </w:r>
    </w:p>
    <w:p w14:paraId="0DDB462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Product technology demonstrations</w:t>
      </w:r>
    </w:p>
    <w:p w14:paraId="301F8DE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Safety test clips</w:t>
      </w:r>
    </w:p>
    <w:p w14:paraId="21FA20C4" w14:textId="77777777" w:rsidR="00AC1240" w:rsidRDefault="00AC1240" w:rsidP="00DE23A0">
      <w:pPr>
        <w:spacing w:line="360" w:lineRule="auto"/>
        <w:rPr>
          <w:rFonts w:ascii="Calibri" w:hAnsi="Calibri" w:cs="Calibri"/>
          <w:sz w:val="22"/>
          <w:szCs w:val="22"/>
        </w:rPr>
      </w:pPr>
    </w:p>
    <w:p w14:paraId="201B34CB" w14:textId="403A91DA" w:rsidR="00DE23A0" w:rsidRPr="00DE23A0" w:rsidRDefault="00095B24" w:rsidP="00DE23A0">
      <w:pPr>
        <w:spacing w:line="360" w:lineRule="auto"/>
        <w:rPr>
          <w:rFonts w:ascii="Calibri" w:hAnsi="Calibri" w:cs="Calibri"/>
          <w:sz w:val="22"/>
          <w:szCs w:val="22"/>
        </w:rPr>
      </w:pPr>
      <w:r w:rsidRPr="00095B24">
        <w:rPr>
          <w:rFonts w:ascii="Calibri" w:hAnsi="Calibri" w:cs="Calibri"/>
          <w:sz w:val="22"/>
          <w:szCs w:val="22"/>
        </w:rPr>
        <w:t>Source: BMW UK Instagram @bmw_uk (2024); BMW Germany Instagram @bmw_deutschland (2024).</w:t>
      </w:r>
    </w:p>
    <w:p w14:paraId="4EC51401" w14:textId="77777777" w:rsidR="00DE23A0" w:rsidRPr="00DE23A0" w:rsidRDefault="00DE23A0" w:rsidP="00DE23A0">
      <w:pPr>
        <w:spacing w:line="360" w:lineRule="auto"/>
        <w:rPr>
          <w:rFonts w:ascii="Calibri" w:hAnsi="Calibri" w:cs="Calibri"/>
          <w:sz w:val="22"/>
          <w:szCs w:val="22"/>
        </w:rPr>
      </w:pPr>
    </w:p>
    <w:p w14:paraId="799D5668" w14:textId="77777777" w:rsidR="00DE23A0" w:rsidRPr="00DE23A0" w:rsidRDefault="00DE23A0" w:rsidP="00DE23A0">
      <w:pPr>
        <w:spacing w:line="360" w:lineRule="auto"/>
        <w:rPr>
          <w:rFonts w:ascii="Calibri" w:hAnsi="Calibri" w:cs="Calibri"/>
          <w:sz w:val="22"/>
          <w:szCs w:val="22"/>
        </w:rPr>
      </w:pPr>
    </w:p>
    <w:p w14:paraId="2408D123" w14:textId="77777777" w:rsidR="00DE23A0" w:rsidRPr="00DE23A0" w:rsidRDefault="00DE23A0" w:rsidP="00DE23A0">
      <w:pPr>
        <w:spacing w:line="360" w:lineRule="auto"/>
        <w:rPr>
          <w:rFonts w:ascii="Calibri" w:hAnsi="Calibri" w:cs="Calibri"/>
          <w:sz w:val="22"/>
          <w:szCs w:val="22"/>
        </w:rPr>
      </w:pPr>
    </w:p>
    <w:p w14:paraId="014C0136" w14:textId="77777777" w:rsidR="00DE23A0" w:rsidRPr="00DE23A0" w:rsidRDefault="00DE23A0" w:rsidP="00DE23A0">
      <w:pPr>
        <w:spacing w:line="360" w:lineRule="auto"/>
        <w:rPr>
          <w:rFonts w:ascii="Calibri" w:hAnsi="Calibri" w:cs="Calibri"/>
          <w:sz w:val="22"/>
          <w:szCs w:val="22"/>
        </w:rPr>
      </w:pPr>
    </w:p>
    <w:p w14:paraId="5BD731C2" w14:textId="77777777" w:rsidR="00DE23A0" w:rsidRPr="00DE23A0" w:rsidRDefault="00DE23A0" w:rsidP="00DE23A0">
      <w:pPr>
        <w:spacing w:line="360" w:lineRule="auto"/>
        <w:rPr>
          <w:rFonts w:ascii="Calibri" w:hAnsi="Calibri" w:cs="Calibri"/>
          <w:sz w:val="22"/>
          <w:szCs w:val="22"/>
        </w:rPr>
      </w:pPr>
    </w:p>
    <w:p w14:paraId="699CC1B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Appendix E: PESTLE Summary Table</w:t>
      </w:r>
    </w:p>
    <w:p w14:paraId="3DC02714" w14:textId="77777777" w:rsidR="00DE23A0" w:rsidRPr="00DE23A0" w:rsidRDefault="00DE23A0" w:rsidP="00DE23A0">
      <w:pPr>
        <w:spacing w:line="360" w:lineRule="auto"/>
        <w:rPr>
          <w:rFonts w:ascii="Calibri" w:hAnsi="Calibri" w:cs="Calibri"/>
          <w:sz w:val="22"/>
          <w:szCs w:val="22"/>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95"/>
        <w:gridCol w:w="1838"/>
        <w:gridCol w:w="2318"/>
        <w:gridCol w:w="2686"/>
      </w:tblGrid>
      <w:tr w:rsidR="0055678A" w:rsidRPr="00211799" w14:paraId="588308D0" w14:textId="77777777" w:rsidTr="00000181">
        <w:trPr>
          <w:tblHeader/>
          <w:tblCellSpacing w:w="15" w:type="dxa"/>
          <w:jc w:val="center"/>
        </w:trPr>
        <w:tc>
          <w:tcPr>
            <w:tcW w:w="1330" w:type="dxa"/>
            <w:vAlign w:val="center"/>
            <w:hideMark/>
          </w:tcPr>
          <w:p w14:paraId="0CF02C76" w14:textId="77777777" w:rsidR="0055678A" w:rsidRPr="00211799" w:rsidRDefault="0055678A" w:rsidP="00000181">
            <w:pPr>
              <w:spacing w:line="360" w:lineRule="auto"/>
              <w:rPr>
                <w:rFonts w:ascii="Calibri" w:hAnsi="Calibri" w:cs="Calibri"/>
                <w:b/>
                <w:bCs/>
                <w:sz w:val="22"/>
                <w:szCs w:val="22"/>
              </w:rPr>
            </w:pPr>
            <w:r w:rsidRPr="00211799">
              <w:rPr>
                <w:rFonts w:ascii="Calibri" w:hAnsi="Calibri" w:cs="Calibri"/>
                <w:b/>
                <w:bCs/>
                <w:sz w:val="22"/>
                <w:szCs w:val="22"/>
              </w:rPr>
              <w:t>Factor</w:t>
            </w:r>
          </w:p>
        </w:tc>
        <w:tc>
          <w:tcPr>
            <w:tcW w:w="0" w:type="auto"/>
            <w:vAlign w:val="center"/>
            <w:hideMark/>
          </w:tcPr>
          <w:p w14:paraId="74E66648" w14:textId="77777777" w:rsidR="0055678A" w:rsidRPr="00211799" w:rsidRDefault="0055678A" w:rsidP="00000181">
            <w:pPr>
              <w:spacing w:line="360" w:lineRule="auto"/>
              <w:rPr>
                <w:rFonts w:ascii="Calibri" w:hAnsi="Calibri" w:cs="Calibri"/>
                <w:b/>
                <w:bCs/>
                <w:sz w:val="22"/>
                <w:szCs w:val="22"/>
              </w:rPr>
            </w:pPr>
            <w:r w:rsidRPr="00211799">
              <w:rPr>
                <w:rFonts w:ascii="Calibri" w:hAnsi="Calibri" w:cs="Calibri"/>
                <w:b/>
                <w:bCs/>
                <w:sz w:val="22"/>
                <w:szCs w:val="22"/>
              </w:rPr>
              <w:t>UK</w:t>
            </w:r>
          </w:p>
        </w:tc>
        <w:tc>
          <w:tcPr>
            <w:tcW w:w="0" w:type="auto"/>
            <w:vAlign w:val="center"/>
            <w:hideMark/>
          </w:tcPr>
          <w:p w14:paraId="45EED9EF" w14:textId="77777777" w:rsidR="0055678A" w:rsidRPr="00211799" w:rsidRDefault="0055678A" w:rsidP="00000181">
            <w:pPr>
              <w:spacing w:line="360" w:lineRule="auto"/>
              <w:rPr>
                <w:rFonts w:ascii="Calibri" w:hAnsi="Calibri" w:cs="Calibri"/>
                <w:b/>
                <w:bCs/>
                <w:sz w:val="22"/>
                <w:szCs w:val="22"/>
              </w:rPr>
            </w:pPr>
            <w:r w:rsidRPr="00211799">
              <w:rPr>
                <w:rFonts w:ascii="Calibri" w:hAnsi="Calibri" w:cs="Calibri"/>
                <w:b/>
                <w:bCs/>
                <w:sz w:val="22"/>
                <w:szCs w:val="22"/>
              </w:rPr>
              <w:t>Germany</w:t>
            </w:r>
          </w:p>
        </w:tc>
        <w:tc>
          <w:tcPr>
            <w:tcW w:w="0" w:type="auto"/>
            <w:vAlign w:val="center"/>
            <w:hideMark/>
          </w:tcPr>
          <w:p w14:paraId="772B7060" w14:textId="77777777" w:rsidR="0055678A" w:rsidRPr="00211799" w:rsidRDefault="0055678A" w:rsidP="00000181">
            <w:pPr>
              <w:spacing w:line="360" w:lineRule="auto"/>
              <w:rPr>
                <w:rFonts w:ascii="Calibri" w:hAnsi="Calibri" w:cs="Calibri"/>
                <w:b/>
                <w:bCs/>
                <w:sz w:val="22"/>
                <w:szCs w:val="22"/>
              </w:rPr>
            </w:pPr>
            <w:r w:rsidRPr="00211799">
              <w:rPr>
                <w:rFonts w:ascii="Calibri" w:hAnsi="Calibri" w:cs="Calibri"/>
                <w:b/>
                <w:bCs/>
                <w:sz w:val="22"/>
                <w:szCs w:val="22"/>
              </w:rPr>
              <w:t>Implications for BMW</w:t>
            </w:r>
          </w:p>
        </w:tc>
      </w:tr>
      <w:tr w:rsidR="0055678A" w:rsidRPr="00211799" w14:paraId="6AD72F13" w14:textId="77777777" w:rsidTr="00000181">
        <w:trPr>
          <w:tblCellSpacing w:w="15" w:type="dxa"/>
          <w:jc w:val="center"/>
        </w:trPr>
        <w:tc>
          <w:tcPr>
            <w:tcW w:w="1330" w:type="dxa"/>
            <w:vAlign w:val="center"/>
            <w:hideMark/>
          </w:tcPr>
          <w:p w14:paraId="35F5E9CE"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Political</w:t>
            </w:r>
          </w:p>
        </w:tc>
        <w:tc>
          <w:tcPr>
            <w:tcW w:w="0" w:type="auto"/>
            <w:vAlign w:val="center"/>
            <w:hideMark/>
          </w:tcPr>
          <w:p w14:paraId="3617604C"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Brexit instability</w:t>
            </w:r>
          </w:p>
        </w:tc>
        <w:tc>
          <w:tcPr>
            <w:tcW w:w="0" w:type="auto"/>
            <w:vAlign w:val="center"/>
            <w:hideMark/>
          </w:tcPr>
          <w:p w14:paraId="39D622FE"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Stable policies</w:t>
            </w:r>
          </w:p>
        </w:tc>
        <w:tc>
          <w:tcPr>
            <w:tcW w:w="0" w:type="auto"/>
            <w:vAlign w:val="center"/>
            <w:hideMark/>
          </w:tcPr>
          <w:p w14:paraId="67094CE1"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Supply chain vs R&amp;D benefits</w:t>
            </w:r>
          </w:p>
        </w:tc>
      </w:tr>
      <w:tr w:rsidR="0055678A" w:rsidRPr="00211799" w14:paraId="0937B18F" w14:textId="77777777" w:rsidTr="00000181">
        <w:trPr>
          <w:tblCellSpacing w:w="15" w:type="dxa"/>
          <w:jc w:val="center"/>
        </w:trPr>
        <w:tc>
          <w:tcPr>
            <w:tcW w:w="1330" w:type="dxa"/>
            <w:vAlign w:val="center"/>
            <w:hideMark/>
          </w:tcPr>
          <w:p w14:paraId="5C35D5D9"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lastRenderedPageBreak/>
              <w:t>Economic</w:t>
            </w:r>
          </w:p>
        </w:tc>
        <w:tc>
          <w:tcPr>
            <w:tcW w:w="0" w:type="auto"/>
            <w:vAlign w:val="center"/>
            <w:hideMark/>
          </w:tcPr>
          <w:p w14:paraId="1859E00B"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PCP-driven demand</w:t>
            </w:r>
          </w:p>
        </w:tc>
        <w:tc>
          <w:tcPr>
            <w:tcW w:w="0" w:type="auto"/>
            <w:vAlign w:val="center"/>
            <w:hideMark/>
          </w:tcPr>
          <w:p w14:paraId="4AF4C349"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High purchasing power</w:t>
            </w:r>
          </w:p>
        </w:tc>
        <w:tc>
          <w:tcPr>
            <w:tcW w:w="0" w:type="auto"/>
            <w:vAlign w:val="center"/>
            <w:hideMark/>
          </w:tcPr>
          <w:p w14:paraId="2AF4B7B0"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Flexibility vs value focus</w:t>
            </w:r>
          </w:p>
        </w:tc>
      </w:tr>
      <w:tr w:rsidR="0055678A" w:rsidRPr="00211799" w14:paraId="0BC81822" w14:textId="77777777" w:rsidTr="00000181">
        <w:trPr>
          <w:tblCellSpacing w:w="15" w:type="dxa"/>
          <w:jc w:val="center"/>
        </w:trPr>
        <w:tc>
          <w:tcPr>
            <w:tcW w:w="1330" w:type="dxa"/>
            <w:vAlign w:val="center"/>
            <w:hideMark/>
          </w:tcPr>
          <w:p w14:paraId="38A36D87"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Social</w:t>
            </w:r>
          </w:p>
        </w:tc>
        <w:tc>
          <w:tcPr>
            <w:tcW w:w="0" w:type="auto"/>
            <w:vAlign w:val="center"/>
            <w:hideMark/>
          </w:tcPr>
          <w:p w14:paraId="70AD9ED2"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Lifestyle emphasis</w:t>
            </w:r>
          </w:p>
        </w:tc>
        <w:tc>
          <w:tcPr>
            <w:tcW w:w="0" w:type="auto"/>
            <w:vAlign w:val="center"/>
            <w:hideMark/>
          </w:tcPr>
          <w:p w14:paraId="4FB2C2C4"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Rational decision-making</w:t>
            </w:r>
          </w:p>
        </w:tc>
        <w:tc>
          <w:tcPr>
            <w:tcW w:w="0" w:type="auto"/>
            <w:vAlign w:val="center"/>
            <w:hideMark/>
          </w:tcPr>
          <w:p w14:paraId="17E6C960"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Emotional vs technical ads</w:t>
            </w:r>
          </w:p>
        </w:tc>
      </w:tr>
      <w:tr w:rsidR="0055678A" w:rsidRPr="00211799" w14:paraId="01B50239" w14:textId="77777777" w:rsidTr="00000181">
        <w:trPr>
          <w:tblCellSpacing w:w="15" w:type="dxa"/>
          <w:jc w:val="center"/>
        </w:trPr>
        <w:tc>
          <w:tcPr>
            <w:tcW w:w="1330" w:type="dxa"/>
            <w:vAlign w:val="center"/>
            <w:hideMark/>
          </w:tcPr>
          <w:p w14:paraId="165282EE"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Technological</w:t>
            </w:r>
          </w:p>
        </w:tc>
        <w:tc>
          <w:tcPr>
            <w:tcW w:w="0" w:type="auto"/>
            <w:vAlign w:val="center"/>
            <w:hideMark/>
          </w:tcPr>
          <w:p w14:paraId="7675AF3D"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Digital retail</w:t>
            </w:r>
          </w:p>
        </w:tc>
        <w:tc>
          <w:tcPr>
            <w:tcW w:w="0" w:type="auto"/>
            <w:vAlign w:val="center"/>
            <w:hideMark/>
          </w:tcPr>
          <w:p w14:paraId="1BD09BA4"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Engineering leadership</w:t>
            </w:r>
          </w:p>
        </w:tc>
        <w:tc>
          <w:tcPr>
            <w:tcW w:w="0" w:type="auto"/>
            <w:vAlign w:val="center"/>
            <w:hideMark/>
          </w:tcPr>
          <w:p w14:paraId="2CEFAC62"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Online tools vs innovation</w:t>
            </w:r>
          </w:p>
        </w:tc>
      </w:tr>
      <w:tr w:rsidR="0055678A" w:rsidRPr="00211799" w14:paraId="5B02BA13" w14:textId="77777777" w:rsidTr="00000181">
        <w:trPr>
          <w:tblCellSpacing w:w="15" w:type="dxa"/>
          <w:jc w:val="center"/>
        </w:trPr>
        <w:tc>
          <w:tcPr>
            <w:tcW w:w="1330" w:type="dxa"/>
            <w:vAlign w:val="center"/>
            <w:hideMark/>
          </w:tcPr>
          <w:p w14:paraId="1822F749"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Legal</w:t>
            </w:r>
          </w:p>
        </w:tc>
        <w:tc>
          <w:tcPr>
            <w:tcW w:w="0" w:type="auto"/>
            <w:vAlign w:val="center"/>
            <w:hideMark/>
          </w:tcPr>
          <w:p w14:paraId="1075764E"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ASA rules</w:t>
            </w:r>
          </w:p>
        </w:tc>
        <w:tc>
          <w:tcPr>
            <w:tcW w:w="0" w:type="auto"/>
            <w:vAlign w:val="center"/>
            <w:hideMark/>
          </w:tcPr>
          <w:p w14:paraId="05483D18"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EU &amp; German regulation</w:t>
            </w:r>
          </w:p>
        </w:tc>
        <w:tc>
          <w:tcPr>
            <w:tcW w:w="0" w:type="auto"/>
            <w:vAlign w:val="center"/>
            <w:hideMark/>
          </w:tcPr>
          <w:p w14:paraId="3F5C8262"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Accuracy &amp; compliance</w:t>
            </w:r>
          </w:p>
        </w:tc>
      </w:tr>
      <w:tr w:rsidR="0055678A" w:rsidRPr="00211799" w14:paraId="54514C4E" w14:textId="77777777" w:rsidTr="00000181">
        <w:trPr>
          <w:tblCellSpacing w:w="15" w:type="dxa"/>
          <w:jc w:val="center"/>
        </w:trPr>
        <w:tc>
          <w:tcPr>
            <w:tcW w:w="1330" w:type="dxa"/>
            <w:vAlign w:val="center"/>
            <w:hideMark/>
          </w:tcPr>
          <w:p w14:paraId="12A947E4"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Environmental</w:t>
            </w:r>
          </w:p>
        </w:tc>
        <w:tc>
          <w:tcPr>
            <w:tcW w:w="0" w:type="auto"/>
            <w:vAlign w:val="center"/>
            <w:hideMark/>
          </w:tcPr>
          <w:p w14:paraId="0337B945"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ICE ban</w:t>
            </w:r>
          </w:p>
        </w:tc>
        <w:tc>
          <w:tcPr>
            <w:tcW w:w="0" w:type="auto"/>
            <w:vAlign w:val="center"/>
            <w:hideMark/>
          </w:tcPr>
          <w:p w14:paraId="0BCB2B77"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Sustainability leadership</w:t>
            </w:r>
          </w:p>
        </w:tc>
        <w:tc>
          <w:tcPr>
            <w:tcW w:w="0" w:type="auto"/>
            <w:vAlign w:val="center"/>
            <w:hideMark/>
          </w:tcPr>
          <w:p w14:paraId="0C4F2BD5"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EV expansion required</w:t>
            </w:r>
          </w:p>
        </w:tc>
      </w:tr>
    </w:tbl>
    <w:p w14:paraId="0996B58B" w14:textId="77777777" w:rsidR="00DE23A0" w:rsidRPr="00DE23A0" w:rsidRDefault="00DE23A0" w:rsidP="00DE23A0">
      <w:pPr>
        <w:spacing w:line="360" w:lineRule="auto"/>
        <w:rPr>
          <w:rFonts w:ascii="Calibri" w:hAnsi="Calibri" w:cs="Calibri"/>
          <w:sz w:val="22"/>
          <w:szCs w:val="22"/>
        </w:rPr>
      </w:pPr>
    </w:p>
    <w:p w14:paraId="0B866980" w14:textId="1C8D0BCF" w:rsidR="00795616" w:rsidRPr="00DE23A0" w:rsidRDefault="00AC1240" w:rsidP="00DE23A0">
      <w:pPr>
        <w:spacing w:line="360" w:lineRule="auto"/>
        <w:rPr>
          <w:rFonts w:ascii="Calibri" w:hAnsi="Calibri" w:cs="Calibri"/>
          <w:sz w:val="22"/>
          <w:szCs w:val="22"/>
        </w:rPr>
      </w:pPr>
      <w:r w:rsidRPr="00AC1240">
        <w:rPr>
          <w:rFonts w:ascii="Calibri" w:hAnsi="Calibri" w:cs="Calibri"/>
          <w:sz w:val="22"/>
          <w:szCs w:val="22"/>
        </w:rPr>
        <w:t>Source: Mintel (2023); BMW Group (2023); UK Government (2024); Statista (2024a); PwC (2024).</w:t>
      </w:r>
    </w:p>
    <w:sectPr w:rsidR="00795616" w:rsidRPr="00DE23A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E90"/>
    <w:rsid w:val="00095B24"/>
    <w:rsid w:val="000F669E"/>
    <w:rsid w:val="00110BC4"/>
    <w:rsid w:val="00125808"/>
    <w:rsid w:val="003260CC"/>
    <w:rsid w:val="003C732C"/>
    <w:rsid w:val="0055678A"/>
    <w:rsid w:val="005C2A93"/>
    <w:rsid w:val="006372DA"/>
    <w:rsid w:val="00724B85"/>
    <w:rsid w:val="00735A3A"/>
    <w:rsid w:val="00795616"/>
    <w:rsid w:val="008340F2"/>
    <w:rsid w:val="00894E90"/>
    <w:rsid w:val="008A1DB1"/>
    <w:rsid w:val="008C06A7"/>
    <w:rsid w:val="00A128C1"/>
    <w:rsid w:val="00AC1240"/>
    <w:rsid w:val="00C31C42"/>
    <w:rsid w:val="00C976D0"/>
    <w:rsid w:val="00CD5453"/>
    <w:rsid w:val="00D816F6"/>
    <w:rsid w:val="00DA7136"/>
    <w:rsid w:val="00DB2E30"/>
    <w:rsid w:val="00DE23A0"/>
    <w:rsid w:val="00F55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34D84"/>
  <w15:chartTrackingRefBased/>
  <w15:docId w15:val="{4573C238-9609-47D9-9D55-FE5323C34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E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4E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E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E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E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E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E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E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E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E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4E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E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E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E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E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E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E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E90"/>
    <w:rPr>
      <w:rFonts w:eastAsiaTheme="majorEastAsia" w:cstheme="majorBidi"/>
      <w:color w:val="272727" w:themeColor="text1" w:themeTint="D8"/>
    </w:rPr>
  </w:style>
  <w:style w:type="paragraph" w:styleId="Title">
    <w:name w:val="Title"/>
    <w:basedOn w:val="Normal"/>
    <w:next w:val="Normal"/>
    <w:link w:val="TitleChar"/>
    <w:uiPriority w:val="10"/>
    <w:qFormat/>
    <w:rsid w:val="00894E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E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E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E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E90"/>
    <w:pPr>
      <w:spacing w:before="160"/>
      <w:jc w:val="center"/>
    </w:pPr>
    <w:rPr>
      <w:i/>
      <w:iCs/>
      <w:color w:val="404040" w:themeColor="text1" w:themeTint="BF"/>
    </w:rPr>
  </w:style>
  <w:style w:type="character" w:customStyle="1" w:styleId="QuoteChar">
    <w:name w:val="Quote Char"/>
    <w:basedOn w:val="DefaultParagraphFont"/>
    <w:link w:val="Quote"/>
    <w:uiPriority w:val="29"/>
    <w:rsid w:val="00894E90"/>
    <w:rPr>
      <w:i/>
      <w:iCs/>
      <w:color w:val="404040" w:themeColor="text1" w:themeTint="BF"/>
    </w:rPr>
  </w:style>
  <w:style w:type="paragraph" w:styleId="ListParagraph">
    <w:name w:val="List Paragraph"/>
    <w:basedOn w:val="Normal"/>
    <w:uiPriority w:val="34"/>
    <w:qFormat/>
    <w:rsid w:val="00894E90"/>
    <w:pPr>
      <w:ind w:left="720"/>
      <w:contextualSpacing/>
    </w:pPr>
  </w:style>
  <w:style w:type="character" w:styleId="IntenseEmphasis">
    <w:name w:val="Intense Emphasis"/>
    <w:basedOn w:val="DefaultParagraphFont"/>
    <w:uiPriority w:val="21"/>
    <w:qFormat/>
    <w:rsid w:val="00894E90"/>
    <w:rPr>
      <w:i/>
      <w:iCs/>
      <w:color w:val="0F4761" w:themeColor="accent1" w:themeShade="BF"/>
    </w:rPr>
  </w:style>
  <w:style w:type="paragraph" w:styleId="IntenseQuote">
    <w:name w:val="Intense Quote"/>
    <w:basedOn w:val="Normal"/>
    <w:next w:val="Normal"/>
    <w:link w:val="IntenseQuoteChar"/>
    <w:uiPriority w:val="30"/>
    <w:qFormat/>
    <w:rsid w:val="00894E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E90"/>
    <w:rPr>
      <w:i/>
      <w:iCs/>
      <w:color w:val="0F4761" w:themeColor="accent1" w:themeShade="BF"/>
    </w:rPr>
  </w:style>
  <w:style w:type="character" w:styleId="IntenseReference">
    <w:name w:val="Intense Reference"/>
    <w:basedOn w:val="DefaultParagraphFont"/>
    <w:uiPriority w:val="32"/>
    <w:qFormat/>
    <w:rsid w:val="00894E90"/>
    <w:rPr>
      <w:b/>
      <w:bCs/>
      <w:smallCaps/>
      <w:color w:val="0F4761" w:themeColor="accent1" w:themeShade="BF"/>
      <w:spacing w:val="5"/>
    </w:rPr>
  </w:style>
  <w:style w:type="character" w:styleId="Hyperlink">
    <w:name w:val="Hyperlink"/>
    <w:basedOn w:val="DefaultParagraphFont"/>
    <w:uiPriority w:val="99"/>
    <w:unhideWhenUsed/>
    <w:rsid w:val="00A128C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3" Type="http://schemas.openxmlformats.org/officeDocument/2006/relationships/webSettings" Target="webSettings.xml"/><Relationship Id="rId7" Type="http://schemas.openxmlformats.org/officeDocument/2006/relationships/hyperlink" Target="https://www.hofstede-insights.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mwgroup.com" TargetMode="External"/><Relationship Id="rId11" Type="http://schemas.openxmlformats.org/officeDocument/2006/relationships/theme" Target="theme/theme1.xml"/><Relationship Id="rId5" Type="http://schemas.openxmlformats.org/officeDocument/2006/relationships/image" Target="cid:image001.png@01D0EA4A.2BD679A0"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41</Pages>
  <Words>5938</Words>
  <Characters>40205</Characters>
  <Application>Microsoft Office Word</Application>
  <DocSecurity>0</DocSecurity>
  <Lines>1116</Lines>
  <Paragraphs>709</Paragraphs>
  <ScaleCrop>false</ScaleCrop>
  <Company/>
  <LinksUpToDate>false</LinksUpToDate>
  <CharactersWithSpaces>45434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Netoi</dc:creator>
  <cp:keywords/>
  <dc:description/>
  <cp:lastModifiedBy>Alex Netoi</cp:lastModifiedBy>
  <cp:revision>23</cp:revision>
  <dcterms:created xsi:type="dcterms:W3CDTF">2025-11-15T12:02:00Z</dcterms:created>
  <dcterms:modified xsi:type="dcterms:W3CDTF">2025-11-15T13:15:00Z</dcterms:modified>
</cp:coreProperties>
</file>