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i w:val="0"/>
          <w:sz w:val="26"/>
        </w:rPr>
        <w:t>Seven paradigms at a glance</w:t>
      </w:r>
    </w:p>
    <w:p>
      <w:pPr>
        <w:spacing w:after="60"/>
        <w:jc w:val="center"/>
      </w:pPr>
      <w:r>
        <w:rPr>
          <w:b w:val="0"/>
          <w:i/>
          <w:sz w:val="19"/>
        </w:rPr>
        <w:t>Table 1. The essential elements of each paradigm, summarised from the super table (2026 edition)</w:t>
      </w:r>
    </w:p>
    <w:tbl>
      <w:tblPr>
        <w:tblStyle w:val="TableGrid"/>
        <w:tblW w:type="auto" w:w="0"/>
        <w:jc w:val="center"/>
        <w:tblLayout w:type="fixed"/>
        <w:tblLook w:firstColumn="1" w:firstRow="1" w:lastColumn="0" w:lastRow="0" w:noHBand="0" w:noVBand="1" w:val="04A0"/>
        <w:tblBorders>
          <w:top w:val="single" w:sz="4" w:color="7F7F7F"/>
          <w:left w:val="single" w:sz="4" w:color="7F7F7F"/>
          <w:bottom w:val="single" w:sz="4" w:color="7F7F7F"/>
          <w:right w:val="single" w:sz="4" w:color="7F7F7F"/>
          <w:insideH w:val="single" w:sz="4" w:color="7F7F7F"/>
          <w:insideV w:val="single" w:sz="4" w:color="7F7F7F"/>
        </w:tblBorders>
      </w:tblPr>
      <w:tblGrid>
        <w:gridCol w:w="1963"/>
        <w:gridCol w:w="1963"/>
        <w:gridCol w:w="1963"/>
        <w:gridCol w:w="1963"/>
        <w:gridCol w:w="1963"/>
        <w:gridCol w:w="1963"/>
        <w:gridCol w:w="1963"/>
        <w:gridCol w:w="1963"/>
      </w:tblGrid>
      <w:tr>
        <w:trPr>
          <w:tblHeader w:val="true"/>
        </w:trPr>
        <w:tc>
          <w:tcPr>
            <w:tcW w:type="dxa" w:w="1531"/>
            <w:vAlign w:val="bottom"/>
            <w:tcMar>
              <w:top w:w="22" w:type="dxa"/>
              <w:bottom w:w="22" w:type="dxa"/>
              <w:left w:w="60" w:type="dxa"/>
              <w:right w:w="60" w:type="dxa"/>
            </w:tcMar>
            <w:shd w:val="clear" w:color="auto" w:fill="D9D9D9"/>
          </w:tcPr>
          <w:p>
            <w:r/>
            <w:r>
              <w:rPr>
                <w:b/>
              </w:rPr>
              <w:t>Element</w:t>
            </w:r>
          </w:p>
        </w:tc>
        <w:tc>
          <w:tcPr>
            <w:tcW w:type="dxa" w:w="2024"/>
            <w:vAlign w:val="bottom"/>
            <w:tcMar>
              <w:top w:w="22" w:type="dxa"/>
              <w:bottom w:w="22" w:type="dxa"/>
              <w:left w:w="60" w:type="dxa"/>
              <w:right w:w="60" w:type="dxa"/>
            </w:tcMar>
            <w:shd w:val="clear" w:color="auto" w:fill="B6D8FA"/>
          </w:tcPr>
          <w:p>
            <w:pPr>
              <w:jc w:val="center"/>
            </w:pPr>
            <w:r/>
            <w:r>
              <w:drawing>
                <wp:inline xmlns:a="http://schemas.openxmlformats.org/drawingml/2006/main" xmlns:pic="http://schemas.openxmlformats.org/drawingml/2006/picture">
                  <wp:extent cx="520714" cy="486000"/>
                  <wp:docPr id="1" name="Picture 1"/>
                  <wp:cNvGraphicFramePr>
                    <a:graphicFrameLocks noChangeAspect="1"/>
                  </wp:cNvGraphicFramePr>
                  <a:graphic>
                    <a:graphicData uri="http://schemas.openxmlformats.org/drawingml/2006/picture">
                      <pic:pic>
                        <pic:nvPicPr>
                          <pic:cNvPr id="0" name="alien_A.png"/>
                          <pic:cNvPicPr/>
                        </pic:nvPicPr>
                        <pic:blipFill>
                          <a:blip r:embed="rId10"/>
                          <a:stretch>
                            <a:fillRect/>
                          </a:stretch>
                        </pic:blipFill>
                        <pic:spPr>
                          <a:xfrm>
                            <a:off x="0" y="0"/>
                            <a:ext cx="520714" cy="486000"/>
                          </a:xfrm>
                          <a:prstGeom prst="rect"/>
                        </pic:spPr>
                      </pic:pic>
                    </a:graphicData>
                  </a:graphic>
                </wp:inline>
              </w:drawing>
            </w:r>
          </w:p>
          <w:p>
            <w:pPr>
              <w:jc w:val="center"/>
            </w:pPr>
            <w:r>
              <w:rPr>
                <w:b/>
                <w:sz w:val="18"/>
              </w:rPr>
              <w:t>A Positivism</w:t>
            </w:r>
          </w:p>
        </w:tc>
        <w:tc>
          <w:tcPr>
            <w:tcW w:type="dxa" w:w="2024"/>
            <w:vAlign w:val="bottom"/>
            <w:tcMar>
              <w:top w:w="22" w:type="dxa"/>
              <w:bottom w:w="22" w:type="dxa"/>
              <w:left w:w="60" w:type="dxa"/>
              <w:right w:w="60" w:type="dxa"/>
            </w:tcMar>
            <w:shd w:val="clear" w:color="auto" w:fill="A0E4E9"/>
          </w:tcPr>
          <w:p>
            <w:pPr>
              <w:jc w:val="center"/>
            </w:pPr>
            <w:r/>
            <w:r>
              <w:drawing>
                <wp:inline xmlns:a="http://schemas.openxmlformats.org/drawingml/2006/main" xmlns:pic="http://schemas.openxmlformats.org/drawingml/2006/picture">
                  <wp:extent cx="520714" cy="486000"/>
                  <wp:docPr id="2" name="Picture 2"/>
                  <wp:cNvGraphicFramePr>
                    <a:graphicFrameLocks noChangeAspect="1"/>
                  </wp:cNvGraphicFramePr>
                  <a:graphic>
                    <a:graphicData uri="http://schemas.openxmlformats.org/drawingml/2006/picture">
                      <pic:pic>
                        <pic:nvPicPr>
                          <pic:cNvPr id="0" name="alien_B.png"/>
                          <pic:cNvPicPr/>
                        </pic:nvPicPr>
                        <pic:blipFill>
                          <a:blip r:embed="rId11"/>
                          <a:stretch>
                            <a:fillRect/>
                          </a:stretch>
                        </pic:blipFill>
                        <pic:spPr>
                          <a:xfrm>
                            <a:off x="0" y="0"/>
                            <a:ext cx="520714" cy="486000"/>
                          </a:xfrm>
                          <a:prstGeom prst="rect"/>
                        </pic:spPr>
                      </pic:pic>
                    </a:graphicData>
                  </a:graphic>
                </wp:inline>
              </w:drawing>
            </w:r>
          </w:p>
          <w:p>
            <w:pPr>
              <w:jc w:val="center"/>
            </w:pPr>
            <w:r>
              <w:rPr>
                <w:b/>
                <w:sz w:val="18"/>
              </w:rPr>
              <w:t>B Post-positivism</w:t>
            </w:r>
          </w:p>
        </w:tc>
        <w:tc>
          <w:tcPr>
            <w:tcW w:type="dxa" w:w="2024"/>
            <w:vAlign w:val="bottom"/>
            <w:tcMar>
              <w:top w:w="22" w:type="dxa"/>
              <w:bottom w:w="22" w:type="dxa"/>
              <w:left w:w="60" w:type="dxa"/>
              <w:right w:w="60" w:type="dxa"/>
            </w:tcMar>
            <w:shd w:val="clear" w:color="auto" w:fill="C8E9B2"/>
          </w:tcPr>
          <w:p>
            <w:pPr>
              <w:jc w:val="center"/>
            </w:pPr>
            <w:r/>
            <w:r>
              <w:drawing>
                <wp:inline xmlns:a="http://schemas.openxmlformats.org/drawingml/2006/main" xmlns:pic="http://schemas.openxmlformats.org/drawingml/2006/picture">
                  <wp:extent cx="520714" cy="486000"/>
                  <wp:docPr id="3" name="Picture 3"/>
                  <wp:cNvGraphicFramePr>
                    <a:graphicFrameLocks noChangeAspect="1"/>
                  </wp:cNvGraphicFramePr>
                  <a:graphic>
                    <a:graphicData uri="http://schemas.openxmlformats.org/drawingml/2006/picture">
                      <pic:pic>
                        <pic:nvPicPr>
                          <pic:cNvPr id="0" name="alien_C.png"/>
                          <pic:cNvPicPr/>
                        </pic:nvPicPr>
                        <pic:blipFill>
                          <a:blip r:embed="rId12"/>
                          <a:stretch>
                            <a:fillRect/>
                          </a:stretch>
                        </pic:blipFill>
                        <pic:spPr>
                          <a:xfrm>
                            <a:off x="0" y="0"/>
                            <a:ext cx="520714" cy="486000"/>
                          </a:xfrm>
                          <a:prstGeom prst="rect"/>
                        </pic:spPr>
                      </pic:pic>
                    </a:graphicData>
                  </a:graphic>
                </wp:inline>
              </w:drawing>
            </w:r>
          </w:p>
          <w:p>
            <w:pPr>
              <w:jc w:val="center"/>
            </w:pPr>
            <w:r>
              <w:rPr>
                <w:b/>
                <w:sz w:val="18"/>
              </w:rPr>
              <w:t>C Interpretivism</w:t>
            </w:r>
          </w:p>
        </w:tc>
        <w:tc>
          <w:tcPr>
            <w:tcW w:type="dxa" w:w="2024"/>
            <w:vAlign w:val="bottom"/>
            <w:tcMar>
              <w:top w:w="22" w:type="dxa"/>
              <w:bottom w:w="22" w:type="dxa"/>
              <w:left w:w="60" w:type="dxa"/>
              <w:right w:w="60" w:type="dxa"/>
            </w:tcMar>
            <w:shd w:val="clear" w:color="auto" w:fill="DCD1F3"/>
          </w:tcPr>
          <w:p>
            <w:pPr>
              <w:jc w:val="center"/>
            </w:pPr>
            <w:r/>
            <w:r>
              <w:drawing>
                <wp:inline xmlns:a="http://schemas.openxmlformats.org/drawingml/2006/main" xmlns:pic="http://schemas.openxmlformats.org/drawingml/2006/picture">
                  <wp:extent cx="520714" cy="486000"/>
                  <wp:docPr id="4" name="Picture 4"/>
                  <wp:cNvGraphicFramePr>
                    <a:graphicFrameLocks noChangeAspect="1"/>
                  </wp:cNvGraphicFramePr>
                  <a:graphic>
                    <a:graphicData uri="http://schemas.openxmlformats.org/drawingml/2006/picture">
                      <pic:pic>
                        <pic:nvPicPr>
                          <pic:cNvPr id="0" name="alien_D.png"/>
                          <pic:cNvPicPr/>
                        </pic:nvPicPr>
                        <pic:blipFill>
                          <a:blip r:embed="rId13"/>
                          <a:stretch>
                            <a:fillRect/>
                          </a:stretch>
                        </pic:blipFill>
                        <pic:spPr>
                          <a:xfrm>
                            <a:off x="0" y="0"/>
                            <a:ext cx="520714" cy="486000"/>
                          </a:xfrm>
                          <a:prstGeom prst="rect"/>
                        </pic:spPr>
                      </pic:pic>
                    </a:graphicData>
                  </a:graphic>
                </wp:inline>
              </w:drawing>
            </w:r>
          </w:p>
          <w:p>
            <w:pPr>
              <w:jc w:val="center"/>
            </w:pPr>
            <w:r>
              <w:rPr>
                <w:b/>
                <w:sz w:val="18"/>
              </w:rPr>
              <w:t>D Constructivism</w:t>
            </w:r>
          </w:p>
        </w:tc>
        <w:tc>
          <w:tcPr>
            <w:tcW w:type="dxa" w:w="2024"/>
            <w:vAlign w:val="bottom"/>
            <w:tcMar>
              <w:top w:w="22" w:type="dxa"/>
              <w:bottom w:w="22" w:type="dxa"/>
              <w:left w:w="60" w:type="dxa"/>
              <w:right w:w="60" w:type="dxa"/>
            </w:tcMar>
            <w:shd w:val="clear" w:color="auto" w:fill="F9D6A0"/>
          </w:tcPr>
          <w:p>
            <w:pPr>
              <w:jc w:val="center"/>
            </w:pPr>
            <w:r/>
            <w:r>
              <w:drawing>
                <wp:inline xmlns:a="http://schemas.openxmlformats.org/drawingml/2006/main" xmlns:pic="http://schemas.openxmlformats.org/drawingml/2006/picture">
                  <wp:extent cx="520714" cy="486000"/>
                  <wp:docPr id="5" name="Picture 5"/>
                  <wp:cNvGraphicFramePr>
                    <a:graphicFrameLocks noChangeAspect="1"/>
                  </wp:cNvGraphicFramePr>
                  <a:graphic>
                    <a:graphicData uri="http://schemas.openxmlformats.org/drawingml/2006/picture">
                      <pic:pic>
                        <pic:nvPicPr>
                          <pic:cNvPr id="0" name="alien_E.png"/>
                          <pic:cNvPicPr/>
                        </pic:nvPicPr>
                        <pic:blipFill>
                          <a:blip r:embed="rId14"/>
                          <a:stretch>
                            <a:fillRect/>
                          </a:stretch>
                        </pic:blipFill>
                        <pic:spPr>
                          <a:xfrm>
                            <a:off x="0" y="0"/>
                            <a:ext cx="520714" cy="486000"/>
                          </a:xfrm>
                          <a:prstGeom prst="rect"/>
                        </pic:spPr>
                      </pic:pic>
                    </a:graphicData>
                  </a:graphic>
                </wp:inline>
              </w:drawing>
            </w:r>
          </w:p>
          <w:p>
            <w:pPr>
              <w:jc w:val="center"/>
            </w:pPr>
            <w:r>
              <w:rPr>
                <w:b/>
                <w:sz w:val="18"/>
              </w:rPr>
              <w:t>E Social constructionism</w:t>
            </w:r>
          </w:p>
        </w:tc>
        <w:tc>
          <w:tcPr>
            <w:tcW w:type="dxa" w:w="2024"/>
            <w:vAlign w:val="bottom"/>
            <w:tcMar>
              <w:top w:w="22" w:type="dxa"/>
              <w:bottom w:w="22" w:type="dxa"/>
              <w:left w:w="60" w:type="dxa"/>
              <w:right w:w="60" w:type="dxa"/>
            </w:tcMar>
            <w:shd w:val="clear" w:color="auto" w:fill="F7C4E5"/>
          </w:tcPr>
          <w:p>
            <w:pPr>
              <w:jc w:val="center"/>
            </w:pPr>
            <w:r/>
            <w:r>
              <w:drawing>
                <wp:inline xmlns:a="http://schemas.openxmlformats.org/drawingml/2006/main" xmlns:pic="http://schemas.openxmlformats.org/drawingml/2006/picture">
                  <wp:extent cx="520714" cy="486000"/>
                  <wp:docPr id="6" name="Picture 6"/>
                  <wp:cNvGraphicFramePr>
                    <a:graphicFrameLocks noChangeAspect="1"/>
                  </wp:cNvGraphicFramePr>
                  <a:graphic>
                    <a:graphicData uri="http://schemas.openxmlformats.org/drawingml/2006/picture">
                      <pic:pic>
                        <pic:nvPicPr>
                          <pic:cNvPr id="0" name="alien_F.png"/>
                          <pic:cNvPicPr/>
                        </pic:nvPicPr>
                        <pic:blipFill>
                          <a:blip r:embed="rId15"/>
                          <a:stretch>
                            <a:fillRect/>
                          </a:stretch>
                        </pic:blipFill>
                        <pic:spPr>
                          <a:xfrm>
                            <a:off x="0" y="0"/>
                            <a:ext cx="520714" cy="486000"/>
                          </a:xfrm>
                          <a:prstGeom prst="rect"/>
                        </pic:spPr>
                      </pic:pic>
                    </a:graphicData>
                  </a:graphic>
                </wp:inline>
              </w:drawing>
            </w:r>
          </w:p>
          <w:p>
            <w:pPr>
              <w:jc w:val="center"/>
            </w:pPr>
            <w:r>
              <w:rPr>
                <w:b/>
                <w:sz w:val="18"/>
              </w:rPr>
              <w:t>F Critical theory</w:t>
            </w:r>
          </w:p>
        </w:tc>
        <w:tc>
          <w:tcPr>
            <w:tcW w:type="dxa" w:w="2024"/>
            <w:vAlign w:val="bottom"/>
            <w:tcMar>
              <w:top w:w="22" w:type="dxa"/>
              <w:bottom w:w="22" w:type="dxa"/>
              <w:left w:w="60" w:type="dxa"/>
              <w:right w:w="60" w:type="dxa"/>
            </w:tcMar>
            <w:shd w:val="clear" w:color="auto" w:fill="F4E69C"/>
          </w:tcPr>
          <w:p>
            <w:pPr>
              <w:jc w:val="center"/>
            </w:pPr>
            <w:r/>
            <w:r>
              <w:drawing>
                <wp:inline xmlns:a="http://schemas.openxmlformats.org/drawingml/2006/main" xmlns:pic="http://schemas.openxmlformats.org/drawingml/2006/picture">
                  <wp:extent cx="520714" cy="486000"/>
                  <wp:docPr id="7" name="Picture 7"/>
                  <wp:cNvGraphicFramePr>
                    <a:graphicFrameLocks noChangeAspect="1"/>
                  </wp:cNvGraphicFramePr>
                  <a:graphic>
                    <a:graphicData uri="http://schemas.openxmlformats.org/drawingml/2006/picture">
                      <pic:pic>
                        <pic:nvPicPr>
                          <pic:cNvPr id="0" name="alien_G.png"/>
                          <pic:cNvPicPr/>
                        </pic:nvPicPr>
                        <pic:blipFill>
                          <a:blip r:embed="rId16"/>
                          <a:stretch>
                            <a:fillRect/>
                          </a:stretch>
                        </pic:blipFill>
                        <pic:spPr>
                          <a:xfrm>
                            <a:off x="0" y="0"/>
                            <a:ext cx="520714" cy="486000"/>
                          </a:xfrm>
                          <a:prstGeom prst="rect"/>
                        </pic:spPr>
                      </pic:pic>
                    </a:graphicData>
                  </a:graphic>
                </wp:inline>
              </w:drawing>
            </w:r>
          </w:p>
          <w:p>
            <w:pPr>
              <w:jc w:val="center"/>
            </w:pPr>
            <w:r>
              <w:rPr>
                <w:b/>
                <w:sz w:val="18"/>
              </w:rPr>
              <w:t>G Pragmatism</w:t>
            </w:r>
          </w:p>
        </w:tc>
      </w:tr>
      <w:tr>
        <w:tc>
          <w:tcPr>
            <w:tcW w:type="dxa" w:w="1531"/>
            <w:vAlign w:val="top"/>
            <w:tcMar>
              <w:top w:w="22" w:type="dxa"/>
              <w:bottom w:w="22" w:type="dxa"/>
              <w:left w:w="60" w:type="dxa"/>
              <w:right w:w="60" w:type="dxa"/>
            </w:tcMar>
            <w:shd w:val="clear" w:color="auto" w:fill="EDEDED"/>
          </w:tcPr>
          <w:p>
            <w:r/>
            <w:r>
              <w:rPr>
                <w:b/>
              </w:rPr>
              <w:t>Ontology</w:t>
            </w:r>
          </w:p>
          <w:p>
            <w:r>
              <w:rPr>
                <w:b/>
              </w:rPr>
              <w:t>(what is real?)</w:t>
            </w:r>
          </w:p>
        </w:tc>
        <w:tc>
          <w:tcPr>
            <w:tcW w:type="dxa" w:w="2024"/>
            <w:vAlign w:val="top"/>
            <w:tcMar>
              <w:top w:w="22" w:type="dxa"/>
              <w:bottom w:w="22" w:type="dxa"/>
              <w:left w:w="60" w:type="dxa"/>
              <w:right w:w="60" w:type="dxa"/>
            </w:tcMar>
            <w:shd w:val="clear" w:color="auto" w:fill="E8F2FD"/>
          </w:tcPr>
          <w:p>
            <w:r/>
            <w:r>
              <w:rPr>
                <w:b w:val="0"/>
              </w:rPr>
              <w:t>One objective reality exists independently of us and can be measured.</w:t>
            </w:r>
          </w:p>
        </w:tc>
        <w:tc>
          <w:tcPr>
            <w:tcW w:type="dxa" w:w="2024"/>
            <w:vAlign w:val="top"/>
            <w:tcMar>
              <w:top w:w="22" w:type="dxa"/>
              <w:bottom w:w="22" w:type="dxa"/>
              <w:left w:w="60" w:type="dxa"/>
              <w:right w:w="60" w:type="dxa"/>
            </w:tcMar>
            <w:shd w:val="clear" w:color="auto" w:fill="E1F6F8"/>
          </w:tcPr>
          <w:p>
            <w:r/>
            <w:r>
              <w:rPr>
                <w:b w:val="0"/>
              </w:rPr>
              <w:t>One objective reality exists but can only ever be known imperfectly.</w:t>
            </w:r>
          </w:p>
        </w:tc>
        <w:tc>
          <w:tcPr>
            <w:tcW w:type="dxa" w:w="2024"/>
            <w:vAlign w:val="top"/>
            <w:tcMar>
              <w:top w:w="22" w:type="dxa"/>
              <w:bottom w:w="22" w:type="dxa"/>
              <w:left w:w="60" w:type="dxa"/>
              <w:right w:w="60" w:type="dxa"/>
            </w:tcMar>
            <w:shd w:val="clear" w:color="auto" w:fill="EEF8E7"/>
          </w:tcPr>
          <w:p>
            <w:r/>
            <w:r>
              <w:rPr>
                <w:b w:val="0"/>
              </w:rPr>
              <w:t>Reality is subjective and multiple; each person experiences it differently.</w:t>
            </w:r>
          </w:p>
        </w:tc>
        <w:tc>
          <w:tcPr>
            <w:tcW w:type="dxa" w:w="2024"/>
            <w:vAlign w:val="top"/>
            <w:tcMar>
              <w:top w:w="22" w:type="dxa"/>
              <w:bottom w:w="22" w:type="dxa"/>
              <w:left w:w="60" w:type="dxa"/>
              <w:right w:w="60" w:type="dxa"/>
            </w:tcMar>
            <w:shd w:val="clear" w:color="auto" w:fill="F4F0FB"/>
          </w:tcPr>
          <w:p>
            <w:r/>
            <w:r>
              <w:rPr>
                <w:b w:val="0"/>
              </w:rPr>
              <w:t>Reality is co-constructed between people through interaction and dialogue.</w:t>
            </w:r>
          </w:p>
        </w:tc>
        <w:tc>
          <w:tcPr>
            <w:tcW w:type="dxa" w:w="2024"/>
            <w:vAlign w:val="top"/>
            <w:tcMar>
              <w:top w:w="22" w:type="dxa"/>
              <w:bottom w:w="22" w:type="dxa"/>
              <w:left w:w="60" w:type="dxa"/>
              <w:right w:w="60" w:type="dxa"/>
            </w:tcMar>
            <w:shd w:val="clear" w:color="auto" w:fill="FDF2E1"/>
          </w:tcPr>
          <w:p>
            <w:r/>
            <w:r>
              <w:rPr>
                <w:b w:val="0"/>
              </w:rPr>
              <w:t>Groups construct shared realities through language, practice and agreement.</w:t>
            </w:r>
          </w:p>
        </w:tc>
        <w:tc>
          <w:tcPr>
            <w:tcW w:type="dxa" w:w="2024"/>
            <w:vAlign w:val="top"/>
            <w:tcMar>
              <w:top w:w="22" w:type="dxa"/>
              <w:bottom w:w="22" w:type="dxa"/>
              <w:left w:w="60" w:type="dxa"/>
              <w:right w:w="60" w:type="dxa"/>
            </w:tcMar>
            <w:shd w:val="clear" w:color="auto" w:fill="FCECF7"/>
          </w:tcPr>
          <w:p>
            <w:r/>
            <w:r>
              <w:rPr>
                <w:b w:val="0"/>
              </w:rPr>
              <w:t>Reality is shaped by power, history and material conditions.</w:t>
            </w:r>
          </w:p>
        </w:tc>
        <w:tc>
          <w:tcPr>
            <w:tcW w:type="dxa" w:w="2024"/>
            <w:vAlign w:val="top"/>
            <w:tcMar>
              <w:top w:w="22" w:type="dxa"/>
              <w:bottom w:w="22" w:type="dxa"/>
              <w:left w:w="60" w:type="dxa"/>
              <w:right w:w="60" w:type="dxa"/>
            </w:tcMar>
            <w:shd w:val="clear" w:color="auto" w:fill="FBF7E0"/>
          </w:tcPr>
          <w:p>
            <w:r/>
            <w:r>
              <w:rPr>
                <w:b w:val="0"/>
              </w:rPr>
              <w:t>What is real is what has practical consequences and can be acted upon.</w:t>
            </w:r>
          </w:p>
        </w:tc>
      </w:tr>
      <w:tr>
        <w:tc>
          <w:tcPr>
            <w:tcW w:type="dxa" w:w="1531"/>
            <w:vAlign w:val="top"/>
            <w:tcMar>
              <w:top w:w="22" w:type="dxa"/>
              <w:bottom w:w="22" w:type="dxa"/>
              <w:left w:w="60" w:type="dxa"/>
              <w:right w:w="60" w:type="dxa"/>
            </w:tcMar>
            <w:shd w:val="clear" w:color="auto" w:fill="EDEDED"/>
          </w:tcPr>
          <w:p>
            <w:r/>
            <w:r>
              <w:rPr>
                <w:b/>
              </w:rPr>
              <w:t>Epistemology</w:t>
            </w:r>
          </w:p>
          <w:p>
            <w:r>
              <w:rPr>
                <w:b/>
              </w:rPr>
              <w:t>(how do we know?)</w:t>
            </w:r>
          </w:p>
        </w:tc>
        <w:tc>
          <w:tcPr>
            <w:tcW w:type="dxa" w:w="2024"/>
            <w:vAlign w:val="top"/>
            <w:tcMar>
              <w:top w:w="22" w:type="dxa"/>
              <w:bottom w:w="22" w:type="dxa"/>
              <w:left w:w="60" w:type="dxa"/>
              <w:right w:w="60" w:type="dxa"/>
            </w:tcMar>
            <w:shd w:val="clear" w:color="auto" w:fill="DBECFC"/>
          </w:tcPr>
          <w:p>
            <w:r/>
            <w:r>
              <w:rPr>
                <w:b w:val="0"/>
              </w:rPr>
              <w:t>Knowledge is objective and verified by testing hypotheses. The researcher stays independent of what is studied.</w:t>
            </w:r>
          </w:p>
        </w:tc>
        <w:tc>
          <w:tcPr>
            <w:tcW w:type="dxa" w:w="2024"/>
            <w:vAlign w:val="top"/>
            <w:tcMar>
              <w:top w:w="22" w:type="dxa"/>
              <w:bottom w:w="22" w:type="dxa"/>
              <w:left w:w="60" w:type="dxa"/>
              <w:right w:w="60" w:type="dxa"/>
            </w:tcMar>
            <w:shd w:val="clear" w:color="auto" w:fill="D0F1F4"/>
          </w:tcPr>
          <w:p>
            <w:r/>
            <w:r>
              <w:rPr>
                <w:b w:val="0"/>
              </w:rPr>
              <w:t>Knowledge is probable, never certain. Triangulation increases confidence.</w:t>
            </w:r>
          </w:p>
        </w:tc>
        <w:tc>
          <w:tcPr>
            <w:tcW w:type="dxa" w:w="2024"/>
            <w:vAlign w:val="top"/>
            <w:tcMar>
              <w:top w:w="22" w:type="dxa"/>
              <w:bottom w:w="22" w:type="dxa"/>
              <w:left w:w="60" w:type="dxa"/>
              <w:right w:w="60" w:type="dxa"/>
            </w:tcMar>
            <w:shd w:val="clear" w:color="auto" w:fill="E4F4D9"/>
          </w:tcPr>
          <w:p>
            <w:r/>
            <w:r>
              <w:rPr>
                <w:b w:val="0"/>
              </w:rPr>
              <w:t>Knowledge comes from understanding individual meanings and interpretations.</w:t>
            </w:r>
          </w:p>
        </w:tc>
        <w:tc>
          <w:tcPr>
            <w:tcW w:type="dxa" w:w="2024"/>
            <w:vAlign w:val="top"/>
            <w:tcMar>
              <w:top w:w="22" w:type="dxa"/>
              <w:bottom w:w="22" w:type="dxa"/>
              <w:left w:w="60" w:type="dxa"/>
              <w:right w:w="60" w:type="dxa"/>
            </w:tcMar>
            <w:shd w:val="clear" w:color="auto" w:fill="EEE8F9"/>
          </w:tcPr>
          <w:p>
            <w:r/>
            <w:r>
              <w:rPr>
                <w:b w:val="0"/>
              </w:rPr>
              <w:t>Knowledge is co-created by researcher and participants. The knower and the known are inseparable.</w:t>
            </w:r>
          </w:p>
        </w:tc>
        <w:tc>
          <w:tcPr>
            <w:tcW w:type="dxa" w:w="2024"/>
            <w:vAlign w:val="top"/>
            <w:tcMar>
              <w:top w:w="22" w:type="dxa"/>
              <w:bottom w:w="22" w:type="dxa"/>
              <w:left w:w="60" w:type="dxa"/>
              <w:right w:w="60" w:type="dxa"/>
            </w:tcMar>
            <w:shd w:val="clear" w:color="auto" w:fill="FCEBD1"/>
          </w:tcPr>
          <w:p>
            <w:r/>
            <w:r>
              <w:rPr>
                <w:b w:val="0"/>
              </w:rPr>
              <w:t>Knowledge is produced and maintained by groups and varies across groups and contexts.</w:t>
            </w:r>
          </w:p>
        </w:tc>
        <w:tc>
          <w:tcPr>
            <w:tcW w:type="dxa" w:w="2024"/>
            <w:vAlign w:val="top"/>
            <w:tcMar>
              <w:top w:w="22" w:type="dxa"/>
              <w:bottom w:w="22" w:type="dxa"/>
              <w:left w:w="60" w:type="dxa"/>
              <w:right w:w="60" w:type="dxa"/>
            </w:tcMar>
            <w:shd w:val="clear" w:color="auto" w:fill="FBE2F2"/>
          </w:tcPr>
          <w:p>
            <w:r/>
            <w:r>
              <w:rPr>
                <w:b w:val="0"/>
              </w:rPr>
              <w:t>Knowledge is shaped by power. Research exposes whose interests it serves.</w:t>
            </w:r>
          </w:p>
        </w:tc>
        <w:tc>
          <w:tcPr>
            <w:tcW w:type="dxa" w:w="2024"/>
            <w:vAlign w:val="top"/>
            <w:tcMar>
              <w:top w:w="22" w:type="dxa"/>
              <w:bottom w:w="22" w:type="dxa"/>
              <w:left w:w="60" w:type="dxa"/>
              <w:right w:w="60" w:type="dxa"/>
            </w:tcMar>
            <w:shd w:val="clear" w:color="auto" w:fill="F9F2CE"/>
          </w:tcPr>
          <w:p>
            <w:r/>
            <w:r>
              <w:rPr>
                <w:b w:val="0"/>
              </w:rPr>
              <w:t>Knowledge is what proves reliable for resolving the problem in hand (warranted assertibility).</w:t>
            </w:r>
          </w:p>
        </w:tc>
      </w:tr>
      <w:tr>
        <w:tc>
          <w:tcPr>
            <w:tcW w:type="dxa" w:w="1531"/>
            <w:vAlign w:val="top"/>
            <w:tcMar>
              <w:top w:w="22" w:type="dxa"/>
              <w:bottom w:w="22" w:type="dxa"/>
              <w:left w:w="60" w:type="dxa"/>
              <w:right w:w="60" w:type="dxa"/>
            </w:tcMar>
            <w:shd w:val="clear" w:color="auto" w:fill="EDEDED"/>
          </w:tcPr>
          <w:p>
            <w:r/>
            <w:r>
              <w:rPr>
                <w:b/>
              </w:rPr>
              <w:t>Axiology</w:t>
            </w:r>
          </w:p>
          <w:p>
            <w:r>
              <w:rPr>
                <w:b/>
              </w:rPr>
              <w:t>(role of values)</w:t>
            </w:r>
          </w:p>
        </w:tc>
        <w:tc>
          <w:tcPr>
            <w:tcW w:type="dxa" w:w="2024"/>
            <w:vAlign w:val="top"/>
            <w:tcMar>
              <w:top w:w="22" w:type="dxa"/>
              <w:bottom w:w="22" w:type="dxa"/>
              <w:left w:w="60" w:type="dxa"/>
              <w:right w:w="60" w:type="dxa"/>
            </w:tcMar>
            <w:shd w:val="clear" w:color="auto" w:fill="E8F2FD"/>
          </w:tcPr>
          <w:p>
            <w:r/>
            <w:r>
              <w:rPr>
                <w:b w:val="0"/>
              </w:rPr>
              <w:t>Value-free. Researcher values must be removed.</w:t>
            </w:r>
          </w:p>
        </w:tc>
        <w:tc>
          <w:tcPr>
            <w:tcW w:type="dxa" w:w="2024"/>
            <w:vAlign w:val="top"/>
            <w:tcMar>
              <w:top w:w="22" w:type="dxa"/>
              <w:bottom w:w="22" w:type="dxa"/>
              <w:left w:w="60" w:type="dxa"/>
              <w:right w:w="60" w:type="dxa"/>
            </w:tcMar>
            <w:shd w:val="clear" w:color="auto" w:fill="E1F6F8"/>
          </w:tcPr>
          <w:p>
            <w:r/>
            <w:r>
              <w:rPr>
                <w:b w:val="0"/>
              </w:rPr>
              <w:t>Values are acknowledged, stated and controlled.</w:t>
            </w:r>
          </w:p>
        </w:tc>
        <w:tc>
          <w:tcPr>
            <w:tcW w:type="dxa" w:w="2024"/>
            <w:vAlign w:val="top"/>
            <w:tcMar>
              <w:top w:w="22" w:type="dxa"/>
              <w:bottom w:w="22" w:type="dxa"/>
              <w:left w:w="60" w:type="dxa"/>
              <w:right w:w="60" w:type="dxa"/>
            </w:tcMar>
            <w:shd w:val="clear" w:color="auto" w:fill="EEF8E7"/>
          </w:tcPr>
          <w:p>
            <w:r/>
            <w:r>
              <w:rPr>
                <w:b w:val="0"/>
              </w:rPr>
              <w:t>Values are integral and examined reflexively.</w:t>
            </w:r>
          </w:p>
        </w:tc>
        <w:tc>
          <w:tcPr>
            <w:tcW w:type="dxa" w:w="2024"/>
            <w:vAlign w:val="top"/>
            <w:tcMar>
              <w:top w:w="22" w:type="dxa"/>
              <w:bottom w:w="22" w:type="dxa"/>
              <w:left w:w="60" w:type="dxa"/>
              <w:right w:w="60" w:type="dxa"/>
            </w:tcMar>
            <w:shd w:val="clear" w:color="auto" w:fill="F4F0FB"/>
          </w:tcPr>
          <w:p>
            <w:r/>
            <w:r>
              <w:rPr>
                <w:b w:val="0"/>
              </w:rPr>
              <w:t>Values are negotiated openly within the research relationship.</w:t>
            </w:r>
          </w:p>
        </w:tc>
        <w:tc>
          <w:tcPr>
            <w:tcW w:type="dxa" w:w="2024"/>
            <w:vAlign w:val="top"/>
            <w:tcMar>
              <w:top w:w="22" w:type="dxa"/>
              <w:bottom w:w="22" w:type="dxa"/>
              <w:left w:w="60" w:type="dxa"/>
              <w:right w:w="60" w:type="dxa"/>
            </w:tcMar>
            <w:shd w:val="clear" w:color="auto" w:fill="FDF2E1"/>
          </w:tcPr>
          <w:p>
            <w:r/>
            <w:r>
              <w:rPr>
                <w:b w:val="0"/>
              </w:rPr>
              <w:t>You reflect on how group membership shapes values, including your own.</w:t>
            </w:r>
          </w:p>
        </w:tc>
        <w:tc>
          <w:tcPr>
            <w:tcW w:type="dxa" w:w="2024"/>
            <w:vAlign w:val="top"/>
            <w:tcMar>
              <w:top w:w="22" w:type="dxa"/>
              <w:bottom w:w="22" w:type="dxa"/>
              <w:left w:w="60" w:type="dxa"/>
              <w:right w:w="60" w:type="dxa"/>
            </w:tcMar>
            <w:shd w:val="clear" w:color="auto" w:fill="FCECF7"/>
          </w:tcPr>
          <w:p>
            <w:r/>
            <w:r>
              <w:rPr>
                <w:b w:val="0"/>
              </w:rPr>
              <w:t>Explicitly committed to social justice and change.</w:t>
            </w:r>
          </w:p>
        </w:tc>
        <w:tc>
          <w:tcPr>
            <w:tcW w:type="dxa" w:w="2024"/>
            <w:vAlign w:val="top"/>
            <w:tcMar>
              <w:top w:w="22" w:type="dxa"/>
              <w:bottom w:w="22" w:type="dxa"/>
              <w:left w:w="60" w:type="dxa"/>
              <w:right w:w="60" w:type="dxa"/>
            </w:tcMar>
            <w:shd w:val="clear" w:color="auto" w:fill="FBF7E0"/>
          </w:tcPr>
          <w:p>
            <w:r/>
            <w:r>
              <w:rPr>
                <w:b w:val="0"/>
              </w:rPr>
              <w:t>Values matter where they affect the problem, trust and action.</w:t>
            </w:r>
          </w:p>
        </w:tc>
      </w:tr>
      <w:tr>
        <w:tc>
          <w:tcPr>
            <w:tcW w:type="dxa" w:w="1531"/>
            <w:vAlign w:val="top"/>
            <w:tcMar>
              <w:top w:w="22" w:type="dxa"/>
              <w:bottom w:w="22" w:type="dxa"/>
              <w:left w:w="60" w:type="dxa"/>
              <w:right w:w="60" w:type="dxa"/>
            </w:tcMar>
            <w:shd w:val="clear" w:color="auto" w:fill="EDEDED"/>
          </w:tcPr>
          <w:p>
            <w:r/>
            <w:r>
              <w:rPr>
                <w:b/>
              </w:rPr>
              <w:t>Typical methodologies</w:t>
            </w:r>
          </w:p>
        </w:tc>
        <w:tc>
          <w:tcPr>
            <w:tcW w:type="dxa" w:w="2024"/>
            <w:vAlign w:val="top"/>
            <w:tcMar>
              <w:top w:w="22" w:type="dxa"/>
              <w:bottom w:w="22" w:type="dxa"/>
              <w:left w:w="60" w:type="dxa"/>
              <w:right w:w="60" w:type="dxa"/>
            </w:tcMar>
            <w:shd w:val="clear" w:color="auto" w:fill="DBECFC"/>
          </w:tcPr>
          <w:p>
            <w:r/>
            <w:r>
              <w:rPr>
                <w:b w:val="0"/>
              </w:rPr>
              <w:t>Experiments, surveys, randomised and quasi-experimental designs.</w:t>
            </w:r>
          </w:p>
        </w:tc>
        <w:tc>
          <w:tcPr>
            <w:tcW w:type="dxa" w:w="2024"/>
            <w:vAlign w:val="top"/>
            <w:tcMar>
              <w:top w:w="22" w:type="dxa"/>
              <w:bottom w:w="22" w:type="dxa"/>
              <w:left w:w="60" w:type="dxa"/>
              <w:right w:w="60" w:type="dxa"/>
            </w:tcMar>
            <w:shd w:val="clear" w:color="auto" w:fill="D0F1F4"/>
          </w:tcPr>
          <w:p>
            <w:r/>
            <w:r>
              <w:rPr>
                <w:b w:val="0"/>
              </w:rPr>
              <w:t>Quasi-experiments, correlational designs, mixed methods with triangulation.</w:t>
            </w:r>
          </w:p>
        </w:tc>
        <w:tc>
          <w:tcPr>
            <w:tcW w:type="dxa" w:w="2024"/>
            <w:vAlign w:val="top"/>
            <w:tcMar>
              <w:top w:w="22" w:type="dxa"/>
              <w:bottom w:w="22" w:type="dxa"/>
              <w:left w:w="60" w:type="dxa"/>
              <w:right w:w="60" w:type="dxa"/>
            </w:tcMar>
            <w:shd w:val="clear" w:color="auto" w:fill="E4F4D9"/>
          </w:tcPr>
          <w:p>
            <w:r/>
            <w:r>
              <w:rPr>
                <w:b w:val="0"/>
              </w:rPr>
              <w:t>Phenomenology (including IPA), narrative inquiry, interpretive case study, interpretive ethnography.</w:t>
            </w:r>
          </w:p>
        </w:tc>
        <w:tc>
          <w:tcPr>
            <w:tcW w:type="dxa" w:w="2024"/>
            <w:vAlign w:val="top"/>
            <w:tcMar>
              <w:top w:w="22" w:type="dxa"/>
              <w:bottom w:w="22" w:type="dxa"/>
              <w:left w:w="60" w:type="dxa"/>
              <w:right w:w="60" w:type="dxa"/>
            </w:tcMar>
            <w:shd w:val="clear" w:color="auto" w:fill="EEE8F9"/>
          </w:tcPr>
          <w:p>
            <w:r/>
            <w:r>
              <w:rPr>
                <w:b w:val="0"/>
              </w:rPr>
              <w:t>Constructivist grounded theory, co-operative inquiry, participatory designs.</w:t>
            </w:r>
          </w:p>
        </w:tc>
        <w:tc>
          <w:tcPr>
            <w:tcW w:type="dxa" w:w="2024"/>
            <w:vAlign w:val="top"/>
            <w:tcMar>
              <w:top w:w="22" w:type="dxa"/>
              <w:bottom w:w="22" w:type="dxa"/>
              <w:left w:w="60" w:type="dxa"/>
              <w:right w:w="60" w:type="dxa"/>
            </w:tcMar>
            <w:shd w:val="clear" w:color="auto" w:fill="FCEBD1"/>
          </w:tcPr>
          <w:p>
            <w:r/>
            <w:r>
              <w:rPr>
                <w:b w:val="0"/>
              </w:rPr>
              <w:t>Comparative case studies, discourse analysis, comparative ethnography.</w:t>
            </w:r>
          </w:p>
        </w:tc>
        <w:tc>
          <w:tcPr>
            <w:tcW w:type="dxa" w:w="2024"/>
            <w:vAlign w:val="top"/>
            <w:tcMar>
              <w:top w:w="22" w:type="dxa"/>
              <w:bottom w:w="22" w:type="dxa"/>
              <w:left w:w="60" w:type="dxa"/>
              <w:right w:w="60" w:type="dxa"/>
            </w:tcMar>
            <w:shd w:val="clear" w:color="auto" w:fill="FBE2F2"/>
          </w:tcPr>
          <w:p>
            <w:r/>
            <w:r>
              <w:rPr>
                <w:b w:val="0"/>
              </w:rPr>
              <w:t>Critical ethnography, participatory action research, critical discourse analysis.</w:t>
            </w:r>
          </w:p>
        </w:tc>
        <w:tc>
          <w:tcPr>
            <w:tcW w:type="dxa" w:w="2024"/>
            <w:vAlign w:val="top"/>
            <w:tcMar>
              <w:top w:w="22" w:type="dxa"/>
              <w:bottom w:w="22" w:type="dxa"/>
              <w:left w:w="60" w:type="dxa"/>
              <w:right w:w="60" w:type="dxa"/>
            </w:tcMar>
            <w:shd w:val="clear" w:color="auto" w:fill="F9F2CE"/>
          </w:tcPr>
          <w:p>
            <w:r/>
            <w:r>
              <w:rPr>
                <w:b w:val="0"/>
              </w:rPr>
              <w:t>Mixed methods, action research, pragmatic case study.</w:t>
            </w:r>
          </w:p>
        </w:tc>
      </w:tr>
      <w:tr>
        <w:tc>
          <w:tcPr>
            <w:tcW w:type="dxa" w:w="1531"/>
            <w:vAlign w:val="top"/>
            <w:tcMar>
              <w:top w:w="22" w:type="dxa"/>
              <w:bottom w:w="22" w:type="dxa"/>
              <w:left w:w="60" w:type="dxa"/>
              <w:right w:w="60" w:type="dxa"/>
            </w:tcMar>
            <w:shd w:val="clear" w:color="auto" w:fill="EDEDED"/>
          </w:tcPr>
          <w:p>
            <w:r/>
            <w:r>
              <w:rPr>
                <w:b/>
              </w:rPr>
              <w:t>Reasoning</w:t>
            </w:r>
          </w:p>
        </w:tc>
        <w:tc>
          <w:tcPr>
            <w:tcW w:type="dxa" w:w="2024"/>
            <w:vAlign w:val="top"/>
            <w:tcMar>
              <w:top w:w="22" w:type="dxa"/>
              <w:bottom w:w="22" w:type="dxa"/>
              <w:left w:w="60" w:type="dxa"/>
              <w:right w:w="60" w:type="dxa"/>
            </w:tcMar>
            <w:shd w:val="clear" w:color="auto" w:fill="E8F2FD"/>
          </w:tcPr>
          <w:p>
            <w:r/>
            <w:r>
              <w:rPr>
                <w:b w:val="0"/>
              </w:rPr>
              <w:t>Deductive: theory to data.</w:t>
            </w:r>
          </w:p>
        </w:tc>
        <w:tc>
          <w:tcPr>
            <w:tcW w:type="dxa" w:w="2024"/>
            <w:vAlign w:val="top"/>
            <w:tcMar>
              <w:top w:w="22" w:type="dxa"/>
              <w:bottom w:w="22" w:type="dxa"/>
              <w:left w:w="60" w:type="dxa"/>
              <w:right w:w="60" w:type="dxa"/>
            </w:tcMar>
            <w:shd w:val="clear" w:color="auto" w:fill="E1F6F8"/>
          </w:tcPr>
          <w:p>
            <w:r/>
            <w:r>
              <w:rPr>
                <w:b w:val="0"/>
              </w:rPr>
              <w:t>Deductive, with theory refined by evidence.</w:t>
            </w:r>
          </w:p>
        </w:tc>
        <w:tc>
          <w:tcPr>
            <w:tcW w:type="dxa" w:w="2024"/>
            <w:vAlign w:val="top"/>
            <w:tcMar>
              <w:top w:w="22" w:type="dxa"/>
              <w:bottom w:w="22" w:type="dxa"/>
              <w:left w:w="60" w:type="dxa"/>
              <w:right w:w="60" w:type="dxa"/>
            </w:tcMar>
            <w:shd w:val="clear" w:color="auto" w:fill="EEF8E7"/>
          </w:tcPr>
          <w:p>
            <w:r/>
            <w:r>
              <w:rPr>
                <w:b w:val="0"/>
              </w:rPr>
              <w:t>Predominantly inductive; often abductive in practice through the hermeneutic circle.</w:t>
            </w:r>
          </w:p>
        </w:tc>
        <w:tc>
          <w:tcPr>
            <w:tcW w:type="dxa" w:w="2024"/>
            <w:vAlign w:val="top"/>
            <w:tcMar>
              <w:top w:w="22" w:type="dxa"/>
              <w:bottom w:w="22" w:type="dxa"/>
              <w:left w:w="60" w:type="dxa"/>
              <w:right w:w="60" w:type="dxa"/>
            </w:tcMar>
            <w:shd w:val="clear" w:color="auto" w:fill="F4F0FB"/>
          </w:tcPr>
          <w:p>
            <w:r/>
            <w:r>
              <w:rPr>
                <w:b w:val="0"/>
              </w:rPr>
              <w:t>Inductive, through shared interpretation.</w:t>
            </w:r>
          </w:p>
        </w:tc>
        <w:tc>
          <w:tcPr>
            <w:tcW w:type="dxa" w:w="2024"/>
            <w:vAlign w:val="top"/>
            <w:tcMar>
              <w:top w:w="22" w:type="dxa"/>
              <w:bottom w:w="22" w:type="dxa"/>
              <w:left w:w="60" w:type="dxa"/>
              <w:right w:w="60" w:type="dxa"/>
            </w:tcMar>
            <w:shd w:val="clear" w:color="auto" w:fill="FDF2E1"/>
          </w:tcPr>
          <w:p>
            <w:r/>
            <w:r>
              <w:rPr>
                <w:b w:val="0"/>
              </w:rPr>
              <w:t>Inductive and abductive, moving between group data and theory.</w:t>
            </w:r>
          </w:p>
        </w:tc>
        <w:tc>
          <w:tcPr>
            <w:tcW w:type="dxa" w:w="2024"/>
            <w:vAlign w:val="top"/>
            <w:tcMar>
              <w:top w:w="22" w:type="dxa"/>
              <w:bottom w:w="22" w:type="dxa"/>
              <w:left w:w="60" w:type="dxa"/>
              <w:right w:w="60" w:type="dxa"/>
            </w:tcMar>
            <w:shd w:val="clear" w:color="auto" w:fill="FCECF7"/>
          </w:tcPr>
          <w:p>
            <w:r/>
            <w:r>
              <w:rPr>
                <w:b w:val="0"/>
              </w:rPr>
              <w:t>Abductive: back and forth between critical theory and data.</w:t>
            </w:r>
          </w:p>
        </w:tc>
        <w:tc>
          <w:tcPr>
            <w:tcW w:type="dxa" w:w="2024"/>
            <w:vAlign w:val="top"/>
            <w:tcMar>
              <w:top w:w="22" w:type="dxa"/>
              <w:bottom w:w="22" w:type="dxa"/>
              <w:left w:w="60" w:type="dxa"/>
              <w:right w:w="60" w:type="dxa"/>
            </w:tcMar>
            <w:shd w:val="clear" w:color="auto" w:fill="FBF7E0"/>
          </w:tcPr>
          <w:p>
            <w:r/>
            <w:r>
              <w:rPr>
                <w:b w:val="0"/>
              </w:rPr>
              <w:t>Abductive: back and forth between data and theory to find the most useful explanation.</w:t>
            </w:r>
          </w:p>
        </w:tc>
      </w:tr>
      <w:tr>
        <w:tc>
          <w:tcPr>
            <w:tcW w:type="dxa" w:w="1531"/>
            <w:vAlign w:val="top"/>
            <w:tcMar>
              <w:top w:w="22" w:type="dxa"/>
              <w:bottom w:w="22" w:type="dxa"/>
              <w:left w:w="60" w:type="dxa"/>
              <w:right w:w="60" w:type="dxa"/>
            </w:tcMar>
            <w:shd w:val="clear" w:color="auto" w:fill="EDEDED"/>
          </w:tcPr>
          <w:p>
            <w:r/>
            <w:r>
              <w:rPr>
                <w:b/>
              </w:rPr>
              <w:t>Data collection and analysis</w:t>
            </w:r>
          </w:p>
        </w:tc>
        <w:tc>
          <w:tcPr>
            <w:tcW w:type="dxa" w:w="2024"/>
            <w:vAlign w:val="top"/>
            <w:tcMar>
              <w:top w:w="22" w:type="dxa"/>
              <w:bottom w:w="22" w:type="dxa"/>
              <w:left w:w="60" w:type="dxa"/>
              <w:right w:w="60" w:type="dxa"/>
            </w:tcMar>
            <w:shd w:val="clear" w:color="auto" w:fill="DBECFC"/>
          </w:tcPr>
          <w:p>
            <w:r/>
            <w:r>
              <w:rPr>
                <w:b w:val="0"/>
              </w:rPr>
              <w:t>Standardised instruments; statistical testing such as regression and ANOVA.</w:t>
            </w:r>
          </w:p>
        </w:tc>
        <w:tc>
          <w:tcPr>
            <w:tcW w:type="dxa" w:w="2024"/>
            <w:vAlign w:val="top"/>
            <w:tcMar>
              <w:top w:w="22" w:type="dxa"/>
              <w:bottom w:w="22" w:type="dxa"/>
              <w:left w:w="60" w:type="dxa"/>
              <w:right w:w="60" w:type="dxa"/>
            </w:tcMar>
            <w:shd w:val="clear" w:color="auto" w:fill="D0F1F4"/>
          </w:tcPr>
          <w:p>
            <w:r/>
            <w:r>
              <w:rPr>
                <w:b w:val="0"/>
              </w:rPr>
              <w:t>Surveys with open questions and structured interviews; statistical plus qualitative analysis.</w:t>
            </w:r>
          </w:p>
        </w:tc>
        <w:tc>
          <w:tcPr>
            <w:tcW w:type="dxa" w:w="2024"/>
            <w:vAlign w:val="top"/>
            <w:tcMar>
              <w:top w:w="22" w:type="dxa"/>
              <w:bottom w:w="22" w:type="dxa"/>
              <w:left w:w="60" w:type="dxa"/>
              <w:right w:w="60" w:type="dxa"/>
            </w:tcMar>
            <w:shd w:val="clear" w:color="auto" w:fill="E4F4D9"/>
          </w:tcPr>
          <w:p>
            <w:r/>
            <w:r>
              <w:rPr>
                <w:b w:val="0"/>
              </w:rPr>
              <w:t>In-depth semi-structured interviews; reflexive thematic analysis or IPA.</w:t>
            </w:r>
          </w:p>
        </w:tc>
        <w:tc>
          <w:tcPr>
            <w:tcW w:type="dxa" w:w="2024"/>
            <w:vAlign w:val="top"/>
            <w:tcMar>
              <w:top w:w="22" w:type="dxa"/>
              <w:bottom w:w="22" w:type="dxa"/>
              <w:left w:w="60" w:type="dxa"/>
              <w:right w:w="60" w:type="dxa"/>
            </w:tcMar>
            <w:shd w:val="clear" w:color="auto" w:fill="EEE8F9"/>
          </w:tcPr>
          <w:p>
            <w:r/>
            <w:r>
              <w:rPr>
                <w:b w:val="0"/>
              </w:rPr>
              <w:t>Dialogic interviews and focus groups; collaborative analysis with participants.</w:t>
            </w:r>
          </w:p>
        </w:tc>
        <w:tc>
          <w:tcPr>
            <w:tcW w:type="dxa" w:w="2024"/>
            <w:vAlign w:val="top"/>
            <w:tcMar>
              <w:top w:w="22" w:type="dxa"/>
              <w:bottom w:w="22" w:type="dxa"/>
              <w:left w:w="60" w:type="dxa"/>
              <w:right w:w="60" w:type="dxa"/>
            </w:tcMar>
            <w:shd w:val="clear" w:color="auto" w:fill="FCEBD1"/>
          </w:tcPr>
          <w:p>
            <w:r/>
            <w:r>
              <w:rPr>
                <w:b w:val="0"/>
              </w:rPr>
              <w:t>Interviews and focus groups across groups; comparative analysis of how each group constructs the phenomenon.</w:t>
            </w:r>
          </w:p>
        </w:tc>
        <w:tc>
          <w:tcPr>
            <w:tcW w:type="dxa" w:w="2024"/>
            <w:vAlign w:val="top"/>
            <w:tcMar>
              <w:top w:w="22" w:type="dxa"/>
              <w:bottom w:w="22" w:type="dxa"/>
              <w:left w:w="60" w:type="dxa"/>
              <w:right w:w="60" w:type="dxa"/>
            </w:tcMar>
            <w:shd w:val="clear" w:color="auto" w:fill="FBE2F2"/>
          </w:tcPr>
          <w:p>
            <w:r/>
            <w:r>
              <w:rPr>
                <w:b w:val="0"/>
              </w:rPr>
              <w:t>Critical interviews, document and policy analysis; analysis of power, voice and ideology.</w:t>
            </w:r>
          </w:p>
        </w:tc>
        <w:tc>
          <w:tcPr>
            <w:tcW w:type="dxa" w:w="2024"/>
            <w:vAlign w:val="top"/>
            <w:tcMar>
              <w:top w:w="22" w:type="dxa"/>
              <w:bottom w:w="22" w:type="dxa"/>
              <w:left w:w="60" w:type="dxa"/>
              <w:right w:w="60" w:type="dxa"/>
            </w:tcMar>
            <w:shd w:val="clear" w:color="auto" w:fill="F9F2CE"/>
          </w:tcPr>
          <w:p>
            <w:r/>
            <w:r>
              <w:rPr>
                <w:b w:val="0"/>
              </w:rPr>
              <w:t>Whatever fits the problem; integrated analysis of what works, for whom and why.</w:t>
            </w:r>
          </w:p>
        </w:tc>
      </w:tr>
      <w:tr>
        <w:tc>
          <w:tcPr>
            <w:tcW w:type="dxa" w:w="1531"/>
            <w:vAlign w:val="top"/>
            <w:tcMar>
              <w:top w:w="22" w:type="dxa"/>
              <w:bottom w:w="22" w:type="dxa"/>
              <w:left w:w="60" w:type="dxa"/>
              <w:right w:w="60" w:type="dxa"/>
            </w:tcMar>
            <w:shd w:val="clear" w:color="auto" w:fill="EDEDED"/>
          </w:tcPr>
          <w:p>
            <w:r/>
            <w:r>
              <w:rPr>
                <w:b/>
              </w:rPr>
              <w:t>Quality criteria</w:t>
            </w:r>
          </w:p>
        </w:tc>
        <w:tc>
          <w:tcPr>
            <w:tcW w:type="dxa" w:w="2024"/>
            <w:vAlign w:val="top"/>
            <w:tcMar>
              <w:top w:w="22" w:type="dxa"/>
              <w:bottom w:w="22" w:type="dxa"/>
              <w:left w:w="60" w:type="dxa"/>
              <w:right w:w="60" w:type="dxa"/>
            </w:tcMar>
            <w:shd w:val="clear" w:color="auto" w:fill="E8F2FD"/>
          </w:tcPr>
          <w:p>
            <w:r/>
            <w:r>
              <w:rPr>
                <w:b w:val="0"/>
              </w:rPr>
              <w:t>Validity, reliability, objectivity and generalisability.</w:t>
            </w:r>
          </w:p>
        </w:tc>
        <w:tc>
          <w:tcPr>
            <w:tcW w:type="dxa" w:w="2024"/>
            <w:vAlign w:val="top"/>
            <w:tcMar>
              <w:top w:w="22" w:type="dxa"/>
              <w:bottom w:w="22" w:type="dxa"/>
              <w:left w:w="60" w:type="dxa"/>
              <w:right w:w="60" w:type="dxa"/>
            </w:tcMar>
            <w:shd w:val="clear" w:color="auto" w:fill="E1F6F8"/>
          </w:tcPr>
          <w:p>
            <w:r/>
            <w:r>
              <w:rPr>
                <w:b w:val="0"/>
              </w:rPr>
              <w:t>Credible conclusions with caveats, triangulation and transparency about limitations.</w:t>
            </w:r>
          </w:p>
        </w:tc>
        <w:tc>
          <w:tcPr>
            <w:tcW w:type="dxa" w:w="2024"/>
            <w:vAlign w:val="top"/>
            <w:tcMar>
              <w:top w:w="22" w:type="dxa"/>
              <w:bottom w:w="22" w:type="dxa"/>
              <w:left w:w="60" w:type="dxa"/>
              <w:right w:w="60" w:type="dxa"/>
            </w:tcMar>
            <w:shd w:val="clear" w:color="auto" w:fill="EEF8E7"/>
          </w:tcPr>
          <w:p>
            <w:r/>
            <w:r>
              <w:rPr>
                <w:b w:val="0"/>
              </w:rPr>
              <w:t>Trustworthiness: credibility, transferability, dependability and confirmability (Lincoln and Guba, 1985).</w:t>
            </w:r>
          </w:p>
        </w:tc>
        <w:tc>
          <w:tcPr>
            <w:tcW w:type="dxa" w:w="2024"/>
            <w:vAlign w:val="top"/>
            <w:tcMar>
              <w:top w:w="22" w:type="dxa"/>
              <w:bottom w:w="22" w:type="dxa"/>
              <w:left w:w="60" w:type="dxa"/>
              <w:right w:w="60" w:type="dxa"/>
            </w:tcMar>
            <w:shd w:val="clear" w:color="auto" w:fill="F4F0FB"/>
          </w:tcPr>
          <w:p>
            <w:r/>
            <w:r>
              <w:rPr>
                <w:b w:val="0"/>
              </w:rPr>
              <w:t>Authenticity: fairness plus ontological, educative, catalytic and tactical authenticity (Guba and Lincoln, 1989).</w:t>
            </w:r>
          </w:p>
        </w:tc>
        <w:tc>
          <w:tcPr>
            <w:tcW w:type="dxa" w:w="2024"/>
            <w:vAlign w:val="top"/>
            <w:tcMar>
              <w:top w:w="22" w:type="dxa"/>
              <w:bottom w:w="22" w:type="dxa"/>
              <w:left w:w="60" w:type="dxa"/>
              <w:right w:w="60" w:type="dxa"/>
            </w:tcMar>
            <w:shd w:val="clear" w:color="auto" w:fill="FDF2E1"/>
          </w:tcPr>
          <w:p>
            <w:r/>
            <w:r>
              <w:rPr>
                <w:b w:val="0"/>
              </w:rPr>
              <w:t>Crystallisation rather than triangulation; variation within and across groups documented.</w:t>
            </w:r>
          </w:p>
        </w:tc>
        <w:tc>
          <w:tcPr>
            <w:tcW w:type="dxa" w:w="2024"/>
            <w:vAlign w:val="top"/>
            <w:tcMar>
              <w:top w:w="22" w:type="dxa"/>
              <w:bottom w:w="22" w:type="dxa"/>
              <w:left w:w="60" w:type="dxa"/>
              <w:right w:w="60" w:type="dxa"/>
            </w:tcMar>
            <w:shd w:val="clear" w:color="auto" w:fill="FCECF7"/>
          </w:tcPr>
          <w:p>
            <w:r/>
            <w:r>
              <w:rPr>
                <w:b w:val="0"/>
              </w:rPr>
              <w:t>Catalytic, democratic and dialogic validity; critical reflexivity.</w:t>
            </w:r>
          </w:p>
        </w:tc>
        <w:tc>
          <w:tcPr>
            <w:tcW w:type="dxa" w:w="2024"/>
            <w:vAlign w:val="top"/>
            <w:tcMar>
              <w:top w:w="22" w:type="dxa"/>
              <w:bottom w:w="22" w:type="dxa"/>
              <w:left w:w="60" w:type="dxa"/>
              <w:right w:w="60" w:type="dxa"/>
            </w:tcMar>
            <w:shd w:val="clear" w:color="auto" w:fill="FBF7E0"/>
          </w:tcPr>
          <w:p>
            <w:r/>
            <w:r>
              <w:rPr>
                <w:b w:val="0"/>
              </w:rPr>
              <w:t>Consequential validity: does it work and is it useful and feasible?</w:t>
            </w:r>
          </w:p>
        </w:tc>
      </w:tr>
      <w:tr>
        <w:tc>
          <w:tcPr>
            <w:tcW w:type="dxa" w:w="1531"/>
            <w:vAlign w:val="top"/>
            <w:tcMar>
              <w:top w:w="22" w:type="dxa"/>
              <w:bottom w:w="22" w:type="dxa"/>
              <w:left w:w="60" w:type="dxa"/>
              <w:right w:w="60" w:type="dxa"/>
            </w:tcMar>
            <w:shd w:val="clear" w:color="auto" w:fill="EDEDED"/>
          </w:tcPr>
          <w:p>
            <w:r/>
            <w:r>
              <w:rPr>
                <w:b/>
              </w:rPr>
              <w:t>Your stance and voice</w:t>
            </w:r>
          </w:p>
        </w:tc>
        <w:tc>
          <w:tcPr>
            <w:tcW w:type="dxa" w:w="2024"/>
            <w:vAlign w:val="top"/>
            <w:tcMar>
              <w:top w:w="22" w:type="dxa"/>
              <w:bottom w:w="22" w:type="dxa"/>
              <w:left w:w="60" w:type="dxa"/>
              <w:right w:w="60" w:type="dxa"/>
            </w:tcMar>
            <w:shd w:val="clear" w:color="auto" w:fill="DBECFC"/>
          </w:tcPr>
          <w:p>
            <w:r/>
            <w:r>
              <w:rPr>
                <w:b w:val="0"/>
              </w:rPr>
              <w:t>Detached observer writing in the third person.</w:t>
            </w:r>
          </w:p>
        </w:tc>
        <w:tc>
          <w:tcPr>
            <w:tcW w:type="dxa" w:w="2024"/>
            <w:vAlign w:val="top"/>
            <w:tcMar>
              <w:top w:w="22" w:type="dxa"/>
              <w:bottom w:w="22" w:type="dxa"/>
              <w:left w:w="60" w:type="dxa"/>
              <w:right w:w="60" w:type="dxa"/>
            </w:tcMar>
            <w:shd w:val="clear" w:color="auto" w:fill="D0F1F4"/>
          </w:tcPr>
          <w:p>
            <w:r/>
            <w:r>
              <w:rPr>
                <w:b w:val="0"/>
              </w:rPr>
              <w:t>Engaged but boundaried; mostly third person.</w:t>
            </w:r>
          </w:p>
        </w:tc>
        <w:tc>
          <w:tcPr>
            <w:tcW w:type="dxa" w:w="2024"/>
            <w:vAlign w:val="top"/>
            <w:tcMar>
              <w:top w:w="22" w:type="dxa"/>
              <w:bottom w:w="22" w:type="dxa"/>
              <w:left w:w="60" w:type="dxa"/>
              <w:right w:w="60" w:type="dxa"/>
            </w:tcMar>
            <w:shd w:val="clear" w:color="auto" w:fill="E4F4D9"/>
          </w:tcPr>
          <w:p>
            <w:r/>
            <w:r>
              <w:rPr>
                <w:b w:val="0"/>
              </w:rPr>
              <w:t>Empathetic interpreter; first person welcomed.</w:t>
            </w:r>
          </w:p>
        </w:tc>
        <w:tc>
          <w:tcPr>
            <w:tcW w:type="dxa" w:w="2024"/>
            <w:vAlign w:val="top"/>
            <w:tcMar>
              <w:top w:w="22" w:type="dxa"/>
              <w:bottom w:w="22" w:type="dxa"/>
              <w:left w:w="60" w:type="dxa"/>
              <w:right w:w="60" w:type="dxa"/>
            </w:tcMar>
            <w:shd w:val="clear" w:color="auto" w:fill="EEE8F9"/>
          </w:tcPr>
          <w:p>
            <w:r/>
            <w:r>
              <w:rPr>
                <w:b w:val="0"/>
              </w:rPr>
              <w:t>Co-inquirer with participants; a shared we voice.</w:t>
            </w:r>
          </w:p>
        </w:tc>
        <w:tc>
          <w:tcPr>
            <w:tcW w:type="dxa" w:w="2024"/>
            <w:vAlign w:val="top"/>
            <w:tcMar>
              <w:top w:w="22" w:type="dxa"/>
              <w:bottom w:w="22" w:type="dxa"/>
              <w:left w:w="60" w:type="dxa"/>
              <w:right w:w="60" w:type="dxa"/>
            </w:tcMar>
            <w:shd w:val="clear" w:color="auto" w:fill="FCEBD1"/>
          </w:tcPr>
          <w:p>
            <w:r/>
            <w:r>
              <w:rPr>
                <w:b w:val="0"/>
              </w:rPr>
              <w:t>Reflexive interpreter of several group realities; comparative voice.</w:t>
            </w:r>
          </w:p>
        </w:tc>
        <w:tc>
          <w:tcPr>
            <w:tcW w:type="dxa" w:w="2024"/>
            <w:vAlign w:val="top"/>
            <w:tcMar>
              <w:top w:w="22" w:type="dxa"/>
              <w:bottom w:w="22" w:type="dxa"/>
              <w:left w:w="60" w:type="dxa"/>
              <w:right w:w="60" w:type="dxa"/>
            </w:tcMar>
            <w:shd w:val="clear" w:color="auto" w:fill="FBE2F2"/>
          </w:tcPr>
          <w:p>
            <w:r/>
            <w:r>
              <w:rPr>
                <w:b w:val="0"/>
              </w:rPr>
              <w:t>Activist scholar standing with marginalised groups.</w:t>
            </w:r>
          </w:p>
        </w:tc>
        <w:tc>
          <w:tcPr>
            <w:tcW w:type="dxa" w:w="2024"/>
            <w:vAlign w:val="top"/>
            <w:tcMar>
              <w:top w:w="22" w:type="dxa"/>
              <w:bottom w:w="22" w:type="dxa"/>
              <w:left w:w="60" w:type="dxa"/>
              <w:right w:w="60" w:type="dxa"/>
            </w:tcMar>
            <w:shd w:val="clear" w:color="auto" w:fill="F9F2CE"/>
          </w:tcPr>
          <w:p>
            <w:r/>
            <w:r>
              <w:rPr>
                <w:b w:val="0"/>
              </w:rPr>
              <w:t>Problem-solving partner working with stakeholders.</w:t>
            </w:r>
          </w:p>
        </w:tc>
      </w:tr>
      <w:tr>
        <w:tc>
          <w:tcPr>
            <w:tcW w:type="dxa" w:w="1531"/>
            <w:vAlign w:val="top"/>
            <w:tcMar>
              <w:top w:w="22" w:type="dxa"/>
              <w:bottom w:w="22" w:type="dxa"/>
              <w:left w:w="60" w:type="dxa"/>
              <w:right w:w="60" w:type="dxa"/>
            </w:tcMar>
            <w:shd w:val="clear" w:color="auto" w:fill="EDEDED"/>
          </w:tcPr>
          <w:p>
            <w:r/>
            <w:r>
              <w:rPr>
                <w:b/>
              </w:rPr>
              <w:t>Typical business question</w:t>
            </w:r>
          </w:p>
        </w:tc>
        <w:tc>
          <w:tcPr>
            <w:tcW w:type="dxa" w:w="2024"/>
            <w:vAlign w:val="top"/>
            <w:tcMar>
              <w:top w:w="22" w:type="dxa"/>
              <w:bottom w:w="22" w:type="dxa"/>
              <w:left w:w="60" w:type="dxa"/>
              <w:right w:w="60" w:type="dxa"/>
            </w:tcMar>
            <w:shd w:val="clear" w:color="auto" w:fill="E8F2FD"/>
          </w:tcPr>
          <w:p>
            <w:r/>
            <w:r>
              <w:rPr>
                <w:b w:val="0"/>
              </w:rPr>
              <w:t>To what extent does board diversity predict financial performance in FTSE 100 companies?</w:t>
            </w:r>
          </w:p>
        </w:tc>
        <w:tc>
          <w:tcPr>
            <w:tcW w:type="dxa" w:w="2024"/>
            <w:vAlign w:val="top"/>
            <w:tcMar>
              <w:top w:w="22" w:type="dxa"/>
              <w:bottom w:w="22" w:type="dxa"/>
              <w:left w:w="60" w:type="dxa"/>
              <w:right w:w="60" w:type="dxa"/>
            </w:tcMar>
            <w:shd w:val="clear" w:color="auto" w:fill="E1F6F8"/>
          </w:tcPr>
          <w:p>
            <w:r/>
            <w:r>
              <w:rPr>
                <w:b w:val="0"/>
              </w:rPr>
              <w:t>How do small business owners understand and respond to digital banking adoption?</w:t>
            </w:r>
          </w:p>
        </w:tc>
        <w:tc>
          <w:tcPr>
            <w:tcW w:type="dxa" w:w="2024"/>
            <w:vAlign w:val="top"/>
            <w:tcMar>
              <w:top w:w="22" w:type="dxa"/>
              <w:bottom w:w="22" w:type="dxa"/>
              <w:left w:w="60" w:type="dxa"/>
              <w:right w:w="60" w:type="dxa"/>
            </w:tcMar>
            <w:shd w:val="clear" w:color="auto" w:fill="EEF8E7"/>
          </w:tcPr>
          <w:p>
            <w:r/>
            <w:r>
              <w:rPr>
                <w:b w:val="0"/>
              </w:rPr>
              <w:t>How do first-time founders make sense of closing their business?</w:t>
            </w:r>
          </w:p>
        </w:tc>
        <w:tc>
          <w:tcPr>
            <w:tcW w:type="dxa" w:w="2024"/>
            <w:vAlign w:val="top"/>
            <w:tcMar>
              <w:top w:w="22" w:type="dxa"/>
              <w:bottom w:w="22" w:type="dxa"/>
              <w:left w:w="60" w:type="dxa"/>
              <w:right w:w="60" w:type="dxa"/>
            </w:tcMar>
            <w:shd w:val="clear" w:color="auto" w:fill="F4F0FB"/>
          </w:tcPr>
          <w:p>
            <w:r/>
            <w:r>
              <w:rPr>
                <w:b w:val="0"/>
              </w:rPr>
              <w:t>How do new managers construct their understanding of leadership in their first year?</w:t>
            </w:r>
          </w:p>
        </w:tc>
        <w:tc>
          <w:tcPr>
            <w:tcW w:type="dxa" w:w="2024"/>
            <w:vAlign w:val="top"/>
            <w:tcMar>
              <w:top w:w="22" w:type="dxa"/>
              <w:bottom w:w="22" w:type="dxa"/>
              <w:left w:w="60" w:type="dxa"/>
              <w:right w:w="60" w:type="dxa"/>
            </w:tcMar>
            <w:shd w:val="clear" w:color="auto" w:fill="FDF2E1"/>
          </w:tcPr>
          <w:p>
            <w:r/>
            <w:r>
              <w:rPr>
                <w:b w:val="0"/>
              </w:rPr>
              <w:t>How is performance constructed differently by clinical and managerial communities in NHS trusts?</w:t>
            </w:r>
          </w:p>
        </w:tc>
        <w:tc>
          <w:tcPr>
            <w:tcW w:type="dxa" w:w="2024"/>
            <w:vAlign w:val="top"/>
            <w:tcMar>
              <w:top w:w="22" w:type="dxa"/>
              <w:bottom w:w="22" w:type="dxa"/>
              <w:left w:w="60" w:type="dxa"/>
              <w:right w:w="60" w:type="dxa"/>
            </w:tcMar>
            <w:shd w:val="clear" w:color="auto" w:fill="FCECF7"/>
          </w:tcPr>
          <w:p>
            <w:r/>
            <w:r>
              <w:rPr>
                <w:b w:val="0"/>
              </w:rPr>
              <w:t>How do promotion patterns in financial services perpetuate structural inequality?</w:t>
            </w:r>
          </w:p>
        </w:tc>
        <w:tc>
          <w:tcPr>
            <w:tcW w:type="dxa" w:w="2024"/>
            <w:vAlign w:val="top"/>
            <w:tcMar>
              <w:top w:w="22" w:type="dxa"/>
              <w:bottom w:w="22" w:type="dxa"/>
              <w:left w:w="60" w:type="dxa"/>
              <w:right w:w="60" w:type="dxa"/>
            </w:tcMar>
            <w:shd w:val="clear" w:color="auto" w:fill="FBF7E0"/>
          </w:tcPr>
          <w:p>
            <w:r/>
            <w:r>
              <w:rPr>
                <w:b w:val="0"/>
              </w:rPr>
              <w:t>What would have helped problem gamblers exit gambling, and how effective do gamblers find responsible gambling tools?</w:t>
            </w:r>
          </w:p>
        </w:tc>
      </w:tr>
    </w:tbl>
    <w:p>
      <w:pPr>
        <w:spacing w:after="0" w:before="60"/>
      </w:pPr>
      <w:r>
        <w:rPr>
          <w:b w:val="0"/>
          <w:i w:val="0"/>
          <w:sz w:val="17"/>
        </w:rPr>
        <w:t>Key to reasoning. Deductive moves from theory to data. Inductive moves from data to theory. Abductive starts from something surprising in the data and moves back and forth between data and theory to find the best explanation, a form of reasoning first described by Charles Sanders Peirce. Most qualitative doctoral studies are abductive to some degree.</w:t>
      </w:r>
    </w:p>
    <w:p>
      <w:r>
        <w:rPr>
          <w:i w:val="0"/>
          <w:sz w:val="16"/>
        </w:rPr>
        <w:t xml:space="preserve">References: Guba, E.G. and Lincoln, Y.S., 1989. </w:t>
      </w:r>
      <w:r>
        <w:rPr>
          <w:i/>
          <w:sz w:val="16"/>
        </w:rPr>
        <w:t>Fourth generation evaluation</w:t>
      </w:r>
      <w:r>
        <w:rPr>
          <w:i w:val="0"/>
          <w:sz w:val="16"/>
        </w:rPr>
        <w:t xml:space="preserve">. Newbury Park, CA: Sage. Lincoln, Y.S. and Guba, E.G., 1985. </w:t>
      </w:r>
      <w:r>
        <w:rPr>
          <w:i/>
          <w:sz w:val="16"/>
        </w:rPr>
        <w:t>Naturalistic inquiry</w:t>
      </w:r>
      <w:r>
        <w:rPr>
          <w:i w:val="0"/>
          <w:sz w:val="16"/>
        </w:rPr>
        <w:t>. Beverly Hills, CA: Sage.</w:t>
      </w:r>
    </w:p>
    <w:sectPr w:rsidR="00FC693F" w:rsidRPr="0006063C" w:rsidSect="00034616">
      <w:footerReference w:type="default" r:id="rId9"/>
      <w:pgSz w:w="16838" w:h="11906" w:orient="landscape"/>
      <w:pgMar w:top="397" w:right="567" w:bottom="510" w:left="567" w:header="720"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8"/>
      </w:rPr>
      <w:t>DBA Research Philosophy</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before="0" w:line="240" w:lineRule="auto"/>
    </w:pPr>
    <w:rPr>
      <w:rFonts w:ascii="Times New Roman" w:hAnsi="Times New Roman" w:eastAsia="Times New Roman"/>
      <w:color w:val="000000"/>
      <w:sz w:val="17"/>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