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rPr>
          <w:b/>
          <w:sz w:val="32"/>
          <w:szCs w:val="32"/>
        </w:rPr>
      </w:pPr>
      <w:bookmarkStart w:id="13" w:name="_GoBack"/>
    </w:p>
    <w:sdt>
      <w:sdtPr>
        <w:rPr>
          <w:rFonts w:hint="eastAsia"/>
        </w:rPr>
        <w:id w:val="1887985057"/>
        <w:docPartObj>
          <w:docPartGallery w:val="AutoText"/>
        </w:docPartObj>
      </w:sdtPr>
      <w:sdtEndPr>
        <w:rPr>
          <w:rFonts w:hint="eastAsia" w:ascii="Arial" w:hAnsi="Arial" w:eastAsia="Arial" w:cs="Arial"/>
          <w:lang w:eastAsia="en-US"/>
        </w:rPr>
      </w:sdtEndPr>
      <w:sdtContent>
        <w:tbl>
          <w:tblPr>
            <w:tblStyle w:val="9"/>
            <w:tblW w:w="0" w:type="auto"/>
            <w:jc w:val="center"/>
            <w:tblCellSpacing w:w="0" w:type="dxa"/>
            <w:tblLayout w:type="autofit"/>
            <w:tblCellMar>
              <w:top w:w="0" w:type="dxa"/>
              <w:left w:w="0" w:type="dxa"/>
              <w:bottom w:w="0" w:type="dxa"/>
              <w:right w:w="0" w:type="dxa"/>
            </w:tblCellMar>
          </w:tblPr>
          <w:tblGrid>
            <w:gridCol w:w="6"/>
            <w:gridCol w:w="3780"/>
          </w:tblGrid>
          <w:tr>
            <w:tblPrEx>
              <w:tblCellMar>
                <w:top w:w="0" w:type="dxa"/>
                <w:left w:w="0" w:type="dxa"/>
                <w:bottom w:w="0" w:type="dxa"/>
                <w:right w:w="0" w:type="dxa"/>
              </w:tblCellMar>
            </w:tblPrEx>
            <w:trPr>
              <w:gridAfter w:val="1"/>
              <w:wAfter w:w="3780" w:type="dxa"/>
              <w:tblCellSpacing w:w="0" w:type="dxa"/>
              <w:jc w:val="center"/>
            </w:trPr>
            <w:tc>
              <w:tcPr>
                <w:tcW w:w="6" w:type="dxa"/>
                <w:vAlign w:val="center"/>
              </w:tcPr>
              <w:p>
                <w:pPr>
                  <w:pStyle w:val="19"/>
                  <w:rPr>
                    <w:sz w:val="20"/>
                    <w:szCs w:val="20"/>
                  </w:rPr>
                </w:pPr>
              </w:p>
            </w:tc>
          </w:tr>
          <w:tr>
            <w:tblPrEx>
              <w:tblCellMar>
                <w:top w:w="0" w:type="dxa"/>
                <w:left w:w="0" w:type="dxa"/>
                <w:bottom w:w="0" w:type="dxa"/>
                <w:right w:w="0" w:type="dxa"/>
              </w:tblCellMar>
            </w:tblPrEx>
            <w:trPr>
              <w:tblCellSpacing w:w="0" w:type="dxa"/>
              <w:jc w:val="center"/>
            </w:trPr>
            <w:tc>
              <w:tcPr>
                <w:tcW w:w="0" w:type="auto"/>
                <w:vAlign w:val="center"/>
              </w:tcPr>
              <w:p>
                <w:pPr>
                  <w:spacing w:line="240" w:lineRule="auto"/>
                  <w:rPr>
                    <w:rFonts w:ascii="Times New Roman" w:hAnsi="Times New Roman" w:eastAsia="Times New Roman"/>
                    <w:sz w:val="20"/>
                    <w:szCs w:val="20"/>
                  </w:rPr>
                </w:pPr>
              </w:p>
            </w:tc>
            <w:tc>
              <w:tcPr>
                <w:tcW w:w="0" w:type="auto"/>
                <w:vAlign w:val="center"/>
              </w:tcPr>
              <w:p>
                <w:pPr>
                  <w:spacing w:line="240" w:lineRule="auto"/>
                  <w:rPr>
                    <w:rFonts w:ascii="Times New Roman" w:hAnsi="Times New Roman" w:eastAsia="Times New Roman"/>
                    <w:sz w:val="24"/>
                    <w:szCs w:val="24"/>
                  </w:rPr>
                </w:pPr>
                <w:r>
                  <w:rPr>
                    <w:rFonts w:ascii="Times New Roman" w:hAnsi="Times New Roman" w:eastAsia="Times New Roman"/>
                    <w:sz w:val="24"/>
                    <w:szCs w:val="24"/>
                  </w:rPr>
                  <w:drawing>
                    <wp:inline distT="0" distB="0" distL="0" distR="0">
                      <wp:extent cx="2393950" cy="952500"/>
                      <wp:effectExtent l="0" t="0" r="635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a:xfrm>
                                <a:off x="0" y="0"/>
                                <a:ext cx="2393950" cy="952500"/>
                              </a:xfrm>
                              <a:prstGeom prst="rect">
                                <a:avLst/>
                              </a:prstGeom>
                              <a:noFill/>
                              <a:ln>
                                <a:noFill/>
                              </a:ln>
                            </pic:spPr>
                          </pic:pic>
                        </a:graphicData>
                      </a:graphic>
                    </wp:inline>
                  </w:drawing>
                </w:r>
              </w:p>
            </w:tc>
          </w:tr>
        </w:tbl>
        <w:p>
          <w:pPr>
            <w:pStyle w:val="19"/>
            <w:spacing w:before="1540" w:beforeAutospacing="0" w:after="240" w:line="360" w:lineRule="auto"/>
            <w:jc w:val="center"/>
            <w:rPr>
              <w:rFonts w:ascii="Arial" w:hAnsi="Arial" w:cs="Arial"/>
              <w:color w:val="4472C4"/>
            </w:rPr>
          </w:pPr>
          <w:r>
            <w:drawing>
              <wp:inline distT="0" distB="0" distL="0" distR="0">
                <wp:extent cx="1676400" cy="8953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a:xfrm>
                          <a:off x="0" y="0"/>
                          <a:ext cx="1676400" cy="895350"/>
                        </a:xfrm>
                        <a:prstGeom prst="rect">
                          <a:avLst/>
                        </a:prstGeom>
                        <a:noFill/>
                        <a:ln>
                          <a:noFill/>
                        </a:ln>
                      </pic:spPr>
                    </pic:pic>
                  </a:graphicData>
                </a:graphic>
              </wp:inline>
            </w:drawing>
          </w:r>
        </w:p>
        <w:p>
          <w:pPr>
            <w:pStyle w:val="19"/>
            <w:spacing w:before="1540" w:beforeAutospacing="0" w:after="240" w:line="360" w:lineRule="auto"/>
            <w:jc w:val="center"/>
            <w:rPr>
              <w:rFonts w:ascii="Arial" w:hAnsi="Arial" w:cs="Arial"/>
              <w:color w:val="4472C4"/>
            </w:rPr>
          </w:pPr>
          <w:r>
            <w:rPr>
              <w:rFonts w:ascii="Arial" w:hAnsi="Arial" w:cs="Arial"/>
              <w:color w:val="4472C4"/>
            </w:rPr>
            <w:t xml:space="preserve"> </w:t>
          </w:r>
        </w:p>
        <w:p>
          <w:pPr>
            <w:pStyle w:val="19"/>
            <w:pBdr>
              <w:top w:val="single" w:color="4472C4" w:sz="6" w:space="6"/>
              <w:bottom w:val="single" w:color="4472C4" w:sz="6" w:space="6"/>
            </w:pBdr>
            <w:spacing w:after="240" w:line="360" w:lineRule="auto"/>
            <w:jc w:val="center"/>
            <w:rPr>
              <w:rFonts w:ascii="Arial" w:hAnsi="Arial" w:eastAsia="DengXian Light" w:cs="Arial"/>
              <w:caps/>
              <w:color w:val="4472C4"/>
              <w:sz w:val="80"/>
              <w:szCs w:val="80"/>
            </w:rPr>
          </w:pPr>
          <w:sdt>
            <w:sdtPr>
              <w:rPr>
                <w:rFonts w:hint="eastAsia"/>
              </w:rPr>
              <w:alias w:val="Title"/>
              <w:id w:val="1735040861"/>
              <w:text/>
            </w:sdtPr>
            <w:sdtEndPr>
              <w:rPr>
                <w:rFonts w:hint="eastAsia"/>
              </w:rPr>
            </w:sdtEndPr>
            <w:sdtContent>
              <w:r>
                <w:rPr>
                  <w:rFonts w:ascii="Arial" w:hAnsi="Arial" w:eastAsia="DengXian Light" w:cs="Arial"/>
                  <w:caps/>
                  <w:color w:val="4472C4"/>
                  <w:sz w:val="72"/>
                  <w:szCs w:val="72"/>
                </w:rPr>
                <w:t>Report</w:t>
              </w:r>
            </w:sdtContent>
          </w:sdt>
        </w:p>
        <w:p>
          <w:pPr>
            <w:pStyle w:val="19"/>
            <w:spacing w:before="480" w:beforeAutospacing="0" w:line="360" w:lineRule="auto"/>
            <w:jc w:val="center"/>
            <w:rPr>
              <w:rFonts w:ascii="Arial" w:hAnsi="Arial" w:cs="Arial"/>
              <w:color w:val="4F81BD" w:themeColor="accent1"/>
              <w14:textFill>
                <w14:solidFill>
                  <w14:schemeClr w14:val="accent1"/>
                </w14:solidFill>
              </w14:textFill>
            </w:rPr>
          </w:pPr>
          <w:r>
            <w:rPr>
              <w:rFonts w:ascii="Arial" w:hAnsi="Arial" w:cs="Arial"/>
              <w:color w:val="4F81BD" w:themeColor="accent1"/>
              <w14:textFill>
                <w14:solidFill>
                  <w14:schemeClr w14:val="accent1"/>
                </w14:solidFill>
              </w14:textFill>
            </w:rPr>
            <w:t>Problem Solving and Decision Making (BMSW4004_LON)</w:t>
          </w:r>
        </w:p>
        <w:p>
          <w:pPr>
            <w:pStyle w:val="19"/>
            <w:spacing w:before="480" w:beforeAutospacing="0" w:line="360" w:lineRule="auto"/>
            <w:jc w:val="center"/>
            <w:rPr>
              <w:rFonts w:ascii="Arial" w:hAnsi="Arial" w:cs="Arial"/>
              <w:color w:val="4472C4"/>
            </w:rPr>
          </w:pPr>
          <w:r>
            <w:rPr>
              <w:rFonts w:ascii="Arial" w:hAnsi="Arial" w:cs="Arial"/>
              <w:color w:val="4472C4"/>
            </w:rPr>
            <w:t>Student Name: Iulian Teaca (2112063)</w:t>
          </w:r>
        </w:p>
        <w:p>
          <w:pPr>
            <w:pStyle w:val="19"/>
            <w:spacing w:before="480" w:beforeAutospacing="0" w:line="360" w:lineRule="auto"/>
            <w:jc w:val="center"/>
            <w:rPr>
              <w:rFonts w:ascii="Arial" w:hAnsi="Arial" w:cs="Arial"/>
              <w:color w:val="4472C4"/>
            </w:rPr>
          </w:pPr>
          <w:r>
            <w:rPr>
              <w:rFonts w:ascii="Arial" w:hAnsi="Arial" w:cs="Arial"/>
              <w:color w:val="4472C4"/>
            </w:rPr>
            <w:t>Lecturer’s Name: AKINSEYE ALUKO</w:t>
          </w:r>
        </w:p>
        <w:p>
          <w:pPr>
            <w:pStyle w:val="19"/>
            <w:spacing w:before="480" w:beforeAutospacing="0" w:line="360" w:lineRule="auto"/>
            <w:rPr>
              <w:rFonts w:ascii="Arial" w:hAnsi="Arial" w:cs="Arial"/>
              <w:color w:val="4472C4"/>
            </w:rPr>
          </w:pPr>
          <w:r>
            <w:rPr>
              <w:rFonts w:ascii="Arial" w:hAnsi="Arial" w:cs="Arial"/>
              <w:color w:val="4472C4"/>
            </w:rPr>
            <w:t xml:space="preserve"> </w:t>
          </w:r>
        </w:p>
        <w:p>
          <w:pPr>
            <w:jc w:val="center"/>
          </w:pPr>
          <w:r>
            <w:drawing>
              <wp:inline distT="0" distB="0" distL="0" distR="0">
                <wp:extent cx="1123950" cy="704850"/>
                <wp:effectExtent l="0" t="0" r="635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a:xfrm>
                          <a:off x="0" y="0"/>
                          <a:ext cx="1123950" cy="704850"/>
                        </a:xfrm>
                        <a:prstGeom prst="rect">
                          <a:avLst/>
                        </a:prstGeom>
                        <a:noFill/>
                        <a:ln>
                          <a:noFill/>
                        </a:ln>
                      </pic:spPr>
                    </pic:pic>
                  </a:graphicData>
                </a:graphic>
              </wp:inline>
            </w:drawing>
          </w:r>
          <w:bookmarkEnd w:id="13"/>
        </w:p>
      </w:sdtContent>
    </w:sdt>
    <w:p>
      <w:pPr>
        <w:rPr>
          <w:rFonts w:ascii="DengXian" w:hAnsi="DengXian" w:cs="Times New Roman"/>
        </w:rPr>
      </w:pPr>
    </w:p>
    <w:p>
      <w:pPr>
        <w:jc w:val="center"/>
        <w:rPr>
          <w:b/>
        </w:rPr>
      </w:pPr>
      <w:r>
        <w:rPr>
          <w:b/>
        </w:rPr>
        <w:t>Table of Contents</w:t>
      </w:r>
    </w:p>
    <w:sdt>
      <w:sdtPr>
        <w:id w:val="-1993783623"/>
        <w:docPartObj>
          <w:docPartGallery w:val="Table of Contents"/>
          <w:docPartUnique/>
        </w:docPartObj>
      </w:sdtPr>
      <w:sdtContent>
        <w:p>
          <w:pPr>
            <w:pStyle w:val="16"/>
            <w:tabs>
              <w:tab w:val="right" w:pos="9016"/>
            </w:tabs>
            <w:rPr>
              <w:rFonts w:asciiTheme="minorHAnsi" w:hAnsiTheme="minorHAnsi" w:eastAsiaTheme="minorEastAsia" w:cstheme="minorBidi"/>
              <w:lang w:eastAsia="en-GB"/>
            </w:rPr>
          </w:pPr>
          <w:r>
            <w:fldChar w:fldCharType="begin"/>
          </w:r>
          <w:r>
            <w:instrText xml:space="preserve"> TOC \h \u \z </w:instrText>
          </w:r>
          <w:r>
            <w:fldChar w:fldCharType="separate"/>
          </w:r>
          <w:r>
            <w:fldChar w:fldCharType="begin"/>
          </w:r>
          <w:r>
            <w:instrText xml:space="preserve"> HYPERLINK \l "_Toc112635962" </w:instrText>
          </w:r>
          <w:r>
            <w:fldChar w:fldCharType="separate"/>
          </w:r>
          <w:r>
            <w:rPr>
              <w:rStyle w:val="12"/>
            </w:rPr>
            <w:t>Introduction</w:t>
          </w:r>
          <w:r>
            <w:tab/>
          </w:r>
          <w:r>
            <w:fldChar w:fldCharType="begin"/>
          </w:r>
          <w:r>
            <w:instrText xml:space="preserve"> PAGEREF _Toc112635962 \h </w:instrText>
          </w:r>
          <w:r>
            <w:fldChar w:fldCharType="separate"/>
          </w:r>
          <w:r>
            <w:t>3</w:t>
          </w:r>
          <w:r>
            <w:fldChar w:fldCharType="end"/>
          </w:r>
          <w:r>
            <w:fldChar w:fldCharType="end"/>
          </w:r>
        </w:p>
        <w:p>
          <w:pPr>
            <w:pStyle w:val="16"/>
            <w:tabs>
              <w:tab w:val="right" w:pos="9016"/>
            </w:tabs>
            <w:rPr>
              <w:rFonts w:asciiTheme="minorHAnsi" w:hAnsiTheme="minorHAnsi" w:eastAsiaTheme="minorEastAsia" w:cstheme="minorBidi"/>
              <w:lang w:eastAsia="en-GB"/>
            </w:rPr>
          </w:pPr>
          <w:r>
            <w:fldChar w:fldCharType="begin"/>
          </w:r>
          <w:r>
            <w:instrText xml:space="preserve"> HYPERLINK \l "_Toc112635963" </w:instrText>
          </w:r>
          <w:r>
            <w:fldChar w:fldCharType="separate"/>
          </w:r>
          <w:r>
            <w:rPr>
              <w:rStyle w:val="12"/>
            </w:rPr>
            <w:t>A Complex Problem In The Workplace And Its Impact</w:t>
          </w:r>
          <w:r>
            <w:tab/>
          </w:r>
          <w:r>
            <w:fldChar w:fldCharType="begin"/>
          </w:r>
          <w:r>
            <w:instrText xml:space="preserve"> PAGEREF _Toc112635963 \h </w:instrText>
          </w:r>
          <w:r>
            <w:fldChar w:fldCharType="separate"/>
          </w:r>
          <w:r>
            <w:t>3</w:t>
          </w:r>
          <w:r>
            <w:fldChar w:fldCharType="end"/>
          </w:r>
          <w:r>
            <w:fldChar w:fldCharType="end"/>
          </w:r>
        </w:p>
        <w:p>
          <w:pPr>
            <w:pStyle w:val="16"/>
            <w:tabs>
              <w:tab w:val="right" w:pos="9016"/>
            </w:tabs>
            <w:rPr>
              <w:rFonts w:asciiTheme="minorHAnsi" w:hAnsiTheme="minorHAnsi" w:eastAsiaTheme="minorEastAsia" w:cstheme="minorBidi"/>
              <w:lang w:eastAsia="en-GB"/>
            </w:rPr>
          </w:pPr>
          <w:r>
            <w:fldChar w:fldCharType="begin"/>
          </w:r>
          <w:r>
            <w:instrText xml:space="preserve"> HYPERLINK \l "_Toc112635964" </w:instrText>
          </w:r>
          <w:r>
            <w:fldChar w:fldCharType="separate"/>
          </w:r>
          <w:r>
            <w:rPr>
              <w:rStyle w:val="12"/>
            </w:rPr>
            <w:t>Analysis Of Information That Leads Decision-Making Process</w:t>
          </w:r>
          <w:r>
            <w:tab/>
          </w:r>
          <w:r>
            <w:fldChar w:fldCharType="begin"/>
          </w:r>
          <w:r>
            <w:instrText xml:space="preserve"> PAGEREF _Toc112635964 \h </w:instrText>
          </w:r>
          <w:r>
            <w:fldChar w:fldCharType="separate"/>
          </w:r>
          <w:r>
            <w:t>4</w:t>
          </w:r>
          <w:r>
            <w:fldChar w:fldCharType="end"/>
          </w:r>
          <w:r>
            <w:fldChar w:fldCharType="end"/>
          </w:r>
        </w:p>
        <w:p>
          <w:pPr>
            <w:pStyle w:val="16"/>
            <w:tabs>
              <w:tab w:val="right" w:pos="9016"/>
            </w:tabs>
            <w:rPr>
              <w:rFonts w:asciiTheme="minorHAnsi" w:hAnsiTheme="minorHAnsi" w:eastAsiaTheme="minorEastAsia" w:cstheme="minorBidi"/>
              <w:lang w:eastAsia="en-GB"/>
            </w:rPr>
          </w:pPr>
          <w:r>
            <w:fldChar w:fldCharType="begin"/>
          </w:r>
          <w:r>
            <w:instrText xml:space="preserve"> HYPERLINK \l "_Toc112635965" </w:instrText>
          </w:r>
          <w:r>
            <w:fldChar w:fldCharType="separate"/>
          </w:r>
          <w:r>
            <w:rPr>
              <w:rStyle w:val="12"/>
            </w:rPr>
            <w:t>Alternative Solution</w:t>
          </w:r>
          <w:r>
            <w:tab/>
          </w:r>
          <w:r>
            <w:fldChar w:fldCharType="begin"/>
          </w:r>
          <w:r>
            <w:instrText xml:space="preserve"> PAGEREF _Toc112635965 \h </w:instrText>
          </w:r>
          <w:r>
            <w:fldChar w:fldCharType="separate"/>
          </w:r>
          <w:r>
            <w:t>5</w:t>
          </w:r>
          <w:r>
            <w:fldChar w:fldCharType="end"/>
          </w:r>
          <w:r>
            <w:fldChar w:fldCharType="end"/>
          </w:r>
        </w:p>
        <w:p>
          <w:pPr>
            <w:pStyle w:val="16"/>
            <w:tabs>
              <w:tab w:val="right" w:pos="9016"/>
            </w:tabs>
            <w:rPr>
              <w:rFonts w:asciiTheme="minorHAnsi" w:hAnsiTheme="minorHAnsi" w:eastAsiaTheme="minorEastAsia" w:cstheme="minorBidi"/>
              <w:lang w:eastAsia="en-GB"/>
            </w:rPr>
          </w:pPr>
          <w:r>
            <w:fldChar w:fldCharType="begin"/>
          </w:r>
          <w:r>
            <w:instrText xml:space="preserve"> HYPERLINK \l "_Toc112635966" </w:instrText>
          </w:r>
          <w:r>
            <w:fldChar w:fldCharType="separate"/>
          </w:r>
          <w:r>
            <w:rPr>
              <w:rStyle w:val="12"/>
            </w:rPr>
            <w:t>Discuss The Range Of Solutions</w:t>
          </w:r>
          <w:r>
            <w:tab/>
          </w:r>
          <w:r>
            <w:fldChar w:fldCharType="begin"/>
          </w:r>
          <w:r>
            <w:instrText xml:space="preserve"> PAGEREF _Toc112635966 \h </w:instrText>
          </w:r>
          <w:r>
            <w:fldChar w:fldCharType="separate"/>
          </w:r>
          <w:r>
            <w:t>5</w:t>
          </w:r>
          <w:r>
            <w:fldChar w:fldCharType="end"/>
          </w:r>
          <w:r>
            <w:fldChar w:fldCharType="end"/>
          </w:r>
        </w:p>
        <w:p>
          <w:pPr>
            <w:pStyle w:val="16"/>
            <w:tabs>
              <w:tab w:val="right" w:pos="9016"/>
            </w:tabs>
            <w:rPr>
              <w:rFonts w:asciiTheme="minorHAnsi" w:hAnsiTheme="minorHAnsi" w:eastAsiaTheme="minorEastAsia" w:cstheme="minorBidi"/>
              <w:lang w:eastAsia="en-GB"/>
            </w:rPr>
          </w:pPr>
          <w:r>
            <w:fldChar w:fldCharType="begin"/>
          </w:r>
          <w:r>
            <w:instrText xml:space="preserve"> HYPERLINK \l "_Toc112635967" </w:instrText>
          </w:r>
          <w:r>
            <w:fldChar w:fldCharType="separate"/>
          </w:r>
          <w:r>
            <w:rPr>
              <w:rStyle w:val="12"/>
            </w:rPr>
            <w:t>Plan For Implementing The Solution</w:t>
          </w:r>
          <w:r>
            <w:tab/>
          </w:r>
          <w:r>
            <w:fldChar w:fldCharType="begin"/>
          </w:r>
          <w:r>
            <w:instrText xml:space="preserve"> PAGEREF _Toc112635967 \h </w:instrText>
          </w:r>
          <w:r>
            <w:fldChar w:fldCharType="separate"/>
          </w:r>
          <w:r>
            <w:t>6</w:t>
          </w:r>
          <w:r>
            <w:fldChar w:fldCharType="end"/>
          </w:r>
          <w:r>
            <w:fldChar w:fldCharType="end"/>
          </w:r>
        </w:p>
        <w:p>
          <w:pPr>
            <w:pStyle w:val="16"/>
            <w:tabs>
              <w:tab w:val="right" w:pos="9016"/>
            </w:tabs>
            <w:rPr>
              <w:rFonts w:asciiTheme="minorHAnsi" w:hAnsiTheme="minorHAnsi" w:eastAsiaTheme="minorEastAsia" w:cstheme="minorBidi"/>
              <w:lang w:eastAsia="en-GB"/>
            </w:rPr>
          </w:pPr>
          <w:r>
            <w:fldChar w:fldCharType="begin"/>
          </w:r>
          <w:r>
            <w:instrText xml:space="preserve"> HYPERLINK \l "_Toc112635968" </w:instrText>
          </w:r>
          <w:r>
            <w:fldChar w:fldCharType="separate"/>
          </w:r>
          <w:r>
            <w:rPr>
              <w:rStyle w:val="12"/>
            </w:rPr>
            <w:t>Communicate The Plan To Stakeholders</w:t>
          </w:r>
          <w:r>
            <w:tab/>
          </w:r>
          <w:r>
            <w:fldChar w:fldCharType="begin"/>
          </w:r>
          <w:r>
            <w:instrText xml:space="preserve"> PAGEREF _Toc112635968 \h </w:instrText>
          </w:r>
          <w:r>
            <w:fldChar w:fldCharType="separate"/>
          </w:r>
          <w:r>
            <w:t>7</w:t>
          </w:r>
          <w:r>
            <w:fldChar w:fldCharType="end"/>
          </w:r>
          <w:r>
            <w:fldChar w:fldCharType="end"/>
          </w:r>
        </w:p>
        <w:p>
          <w:pPr>
            <w:pStyle w:val="16"/>
            <w:tabs>
              <w:tab w:val="right" w:pos="9016"/>
            </w:tabs>
            <w:rPr>
              <w:rFonts w:asciiTheme="minorHAnsi" w:hAnsiTheme="minorHAnsi" w:eastAsiaTheme="minorEastAsia" w:cstheme="minorBidi"/>
              <w:lang w:eastAsia="en-GB"/>
            </w:rPr>
          </w:pPr>
          <w:r>
            <w:fldChar w:fldCharType="begin"/>
          </w:r>
          <w:r>
            <w:instrText xml:space="preserve"> HYPERLINK \l "_Toc112635969" </w:instrText>
          </w:r>
          <w:r>
            <w:fldChar w:fldCharType="separate"/>
          </w:r>
          <w:r>
            <w:rPr>
              <w:rStyle w:val="12"/>
            </w:rPr>
            <w:t>Review For The Successful Implementation Of The Plan</w:t>
          </w:r>
          <w:r>
            <w:tab/>
          </w:r>
          <w:r>
            <w:fldChar w:fldCharType="begin"/>
          </w:r>
          <w:r>
            <w:instrText xml:space="preserve"> PAGEREF _Toc112635969 \h </w:instrText>
          </w:r>
          <w:r>
            <w:fldChar w:fldCharType="separate"/>
          </w:r>
          <w:r>
            <w:t>8</w:t>
          </w:r>
          <w:r>
            <w:fldChar w:fldCharType="end"/>
          </w:r>
          <w:r>
            <w:fldChar w:fldCharType="end"/>
          </w:r>
        </w:p>
        <w:p>
          <w:pPr>
            <w:pStyle w:val="16"/>
            <w:tabs>
              <w:tab w:val="right" w:pos="9016"/>
            </w:tabs>
            <w:rPr>
              <w:rFonts w:asciiTheme="minorHAnsi" w:hAnsiTheme="minorHAnsi" w:eastAsiaTheme="minorEastAsia" w:cstheme="minorBidi"/>
              <w:lang w:eastAsia="en-GB"/>
            </w:rPr>
          </w:pPr>
          <w:r>
            <w:fldChar w:fldCharType="begin"/>
          </w:r>
          <w:r>
            <w:instrText xml:space="preserve"> HYPERLINK \l "_Toc112635970" </w:instrText>
          </w:r>
          <w:r>
            <w:fldChar w:fldCharType="separate"/>
          </w:r>
          <w:r>
            <w:rPr>
              <w:rStyle w:val="12"/>
            </w:rPr>
            <w:t>Conclusion</w:t>
          </w:r>
          <w:r>
            <w:tab/>
          </w:r>
          <w:r>
            <w:fldChar w:fldCharType="begin"/>
          </w:r>
          <w:r>
            <w:instrText xml:space="preserve"> PAGEREF _Toc112635970 \h </w:instrText>
          </w:r>
          <w:r>
            <w:fldChar w:fldCharType="separate"/>
          </w:r>
          <w:r>
            <w:t>8</w:t>
          </w:r>
          <w:r>
            <w:fldChar w:fldCharType="end"/>
          </w:r>
          <w:r>
            <w:fldChar w:fldCharType="end"/>
          </w:r>
        </w:p>
        <w:p>
          <w:pPr>
            <w:pStyle w:val="15"/>
            <w:tabs>
              <w:tab w:val="right" w:pos="9016"/>
            </w:tabs>
            <w:rPr>
              <w:rFonts w:asciiTheme="minorHAnsi" w:hAnsiTheme="minorHAnsi" w:eastAsiaTheme="minorEastAsia" w:cstheme="minorBidi"/>
              <w:lang w:eastAsia="en-GB"/>
            </w:rPr>
          </w:pPr>
          <w:r>
            <w:fldChar w:fldCharType="begin"/>
          </w:r>
          <w:r>
            <w:instrText xml:space="preserve"> HYPERLINK \l "_Toc112635971" </w:instrText>
          </w:r>
          <w:r>
            <w:fldChar w:fldCharType="separate"/>
          </w:r>
          <w:r>
            <w:rPr>
              <w:rStyle w:val="12"/>
            </w:rPr>
            <w:t>Reference</w:t>
          </w:r>
          <w:r>
            <w:tab/>
          </w:r>
          <w:r>
            <w:fldChar w:fldCharType="begin"/>
          </w:r>
          <w:r>
            <w:instrText xml:space="preserve"> PAGEREF _Toc112635971 \h </w:instrText>
          </w:r>
          <w:r>
            <w:fldChar w:fldCharType="separate"/>
          </w:r>
          <w:r>
            <w:t>9</w:t>
          </w:r>
          <w:r>
            <w:fldChar w:fldCharType="end"/>
          </w:r>
          <w:r>
            <w:fldChar w:fldCharType="end"/>
          </w:r>
        </w:p>
        <w:p>
          <w:pPr>
            <w:pStyle w:val="15"/>
            <w:tabs>
              <w:tab w:val="right" w:pos="9016"/>
            </w:tabs>
            <w:rPr>
              <w:rFonts w:asciiTheme="minorHAnsi" w:hAnsiTheme="minorHAnsi" w:eastAsiaTheme="minorEastAsia" w:cstheme="minorBidi"/>
              <w:lang w:eastAsia="en-GB"/>
            </w:rPr>
          </w:pPr>
          <w:r>
            <w:fldChar w:fldCharType="begin"/>
          </w:r>
          <w:r>
            <w:instrText xml:space="preserve"> HYPERLINK \l "_Toc112635972" </w:instrText>
          </w:r>
          <w:r>
            <w:fldChar w:fldCharType="separate"/>
          </w:r>
          <w:r>
            <w:rPr>
              <w:rStyle w:val="12"/>
            </w:rPr>
            <w:t>Appendix</w:t>
          </w:r>
          <w:r>
            <w:tab/>
          </w:r>
          <w:r>
            <w:fldChar w:fldCharType="begin"/>
          </w:r>
          <w:r>
            <w:instrText xml:space="preserve"> PAGEREF _Toc112635972 \h </w:instrText>
          </w:r>
          <w:r>
            <w:fldChar w:fldCharType="separate"/>
          </w:r>
          <w:r>
            <w:t>11</w:t>
          </w:r>
          <w:r>
            <w:fldChar w:fldCharType="end"/>
          </w:r>
          <w:r>
            <w:fldChar w:fldCharType="end"/>
          </w:r>
        </w:p>
        <w:p>
          <w:pPr>
            <w:tabs>
              <w:tab w:val="right" w:pos="9025"/>
            </w:tabs>
            <w:spacing w:before="200" w:after="80" w:line="240" w:lineRule="auto"/>
            <w:rPr>
              <w:b/>
              <w:color w:val="000000"/>
            </w:rPr>
          </w:pPr>
          <w:r>
            <w:fldChar w:fldCharType="end"/>
          </w:r>
        </w:p>
      </w:sdtContent>
    </w:sdt>
    <w:p/>
    <w:p/>
    <w:p>
      <w:pPr>
        <w:pStyle w:val="2"/>
      </w:pPr>
      <w:bookmarkStart w:id="0" w:name="_heading=h.gjdgxs" w:colFirst="0" w:colLast="0"/>
      <w:bookmarkEnd w:id="0"/>
    </w:p>
    <w:p>
      <w:pPr>
        <w:pStyle w:val="2"/>
      </w:pPr>
      <w:bookmarkStart w:id="1" w:name="_heading=h.30j0zll" w:colFirst="0" w:colLast="0"/>
      <w:bookmarkEnd w:id="1"/>
      <w:r>
        <w:br w:type="page"/>
      </w:r>
    </w:p>
    <w:p>
      <w:pPr>
        <w:pStyle w:val="3"/>
      </w:pPr>
      <w:bookmarkStart w:id="2" w:name="_Toc112635962"/>
      <w:r>
        <w:t>Introduction</w:t>
      </w:r>
      <w:bookmarkEnd w:id="2"/>
      <w:r>
        <w:t xml:space="preserve"> </w:t>
      </w:r>
    </w:p>
    <w:p>
      <w:r>
        <w:t xml:space="preserve">Prejudice may manifest itself in a variety of ways and can arise out of a wide range of situations, such as working in an urban office building or living in a rural hamlet. Because their gender, race or skin colour, national origin or financial class or religion are different from those of others, it is feasible for them to be influenced by it. It is possible for them to have different political beliefs than others. Those individuals who are subjected to discrimination in the workplace are depriving society of the potentially great contributions they may make. The current study has shed light on a major issue of employee dissatisfaction i.e., workplace discrimination, with special reference to the plausible causes, consequence analysis and plan proposition for future reference with the help of the PMI tool and SMART objectives assessment. </w:t>
      </w:r>
    </w:p>
    <w:p>
      <w:pPr>
        <w:pStyle w:val="3"/>
      </w:pPr>
      <w:bookmarkStart w:id="3" w:name="_Toc112635963"/>
      <w:r>
        <w:t>A Complex Problem In The Workplace And Its Impact</w:t>
      </w:r>
      <w:bookmarkEnd w:id="3"/>
      <w:r>
        <w:t xml:space="preserve"> </w:t>
      </w:r>
    </w:p>
    <w:p>
      <w:r>
        <w:t>Gender, sexual orientation, colour, religion, pregnancy or disability may all be grounds for discrimination in the workplace. Prejudices based on an individual's location of employment can also be grounds for workplace discrimination. Harassment and other types of discrimination in the workplace may take place as single incidents or as components of a more pervasive pattern. It is possible for prejudice to take place in the workplace, either amongst colleagues or between an employee and their boss. The majority of individuals are aware of the negative effects that discrimination may have on a single worker, despite the fact that its repercussions may have far-reaching implications (Dhanani, Beus, and Joseph, 2018, p. 85).</w:t>
      </w:r>
    </w:p>
    <w:p>
      <w:pPr>
        <w:rPr>
          <w:b/>
        </w:rPr>
      </w:pPr>
      <w:r>
        <w:rPr>
          <w:b/>
        </w:rPr>
        <w:t>Concerns about one's health</w:t>
      </w:r>
    </w:p>
    <w:p>
      <w:r>
        <w:t>Stress levels grow as a direct result of unjust treatment, which may result in an increase in the number of health problems experienced by those who have been directly targeted. People who live with the constant dread that they will be persecuted on the basis of their race, religion, or gender may give excessive thought to the manner in which they present themselves, the topics they choose to discuss, and several other elements of their day-to-day life. It has been shown that excessive amounts of stress may disrupt sleep, which can then lead to binge eating or purging (Vargas, Huey Jr and Miranda, 2020, p. 265).</w:t>
      </w:r>
    </w:p>
    <w:p>
      <w:pPr>
        <w:rPr>
          <w:b/>
        </w:rPr>
      </w:pPr>
      <w:r>
        <w:rPr>
          <w:b/>
        </w:rPr>
        <w:t>The monetary losses incurred.</w:t>
      </w:r>
    </w:p>
    <w:p>
      <w:r>
        <w:t>Even if it just impacts one person at a time, discrimination may have a big impact on the bottom line of a firm. Businesses risk suffering monetary losses if they discriminate against women and members of underrepresented groups (Knight, Dobbin and Kalev, 2022, p.66). Due to the fact that it is necessary to address the underlying reasons for the poor treatment, it is possible that a productivity consultant or a lawyer will still be required even if the employee continues to work in their existing position.</w:t>
      </w:r>
    </w:p>
    <w:p>
      <w:pPr>
        <w:rPr>
          <w:b/>
        </w:rPr>
      </w:pPr>
      <w:r>
        <w:rPr>
          <w:b/>
        </w:rPr>
        <w:t>A slump in employee morale</w:t>
      </w:r>
    </w:p>
    <w:p>
      <w:r>
        <w:t>When employees feel as if they are not being treated appropriately, the potential for growing resentment against management and other workers who benefit from discrimination exists. For instance, if a female co-worker is ignored by new clients on a regular basis, she may start missing deadlines, calling in ill, or generally failing to meet her commitments. The reputation of her employer may suffer as a direct consequence of her actions. If she is treated with respect in her function as an employee, it is feasible that the same woman may take joy in both her job and the reputation of the firm she works for (Mousa, Massoud and Ayoubi, 2020, p. 657).</w:t>
      </w:r>
    </w:p>
    <w:p>
      <w:pPr>
        <w:jc w:val="center"/>
      </w:pPr>
      <w:r>
        <w:drawing>
          <wp:inline distT="114300" distB="114300" distL="114300" distR="114300">
            <wp:extent cx="5734050" cy="1994535"/>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referRelativeResize="0"/>
                  </pic:nvPicPr>
                  <pic:blipFill>
                    <a:blip r:embed="rId15"/>
                    <a:srcRect t="20861" b="15390"/>
                    <a:stretch>
                      <a:fillRect/>
                    </a:stretch>
                  </pic:blipFill>
                  <pic:spPr>
                    <a:xfrm>
                      <a:off x="0" y="0"/>
                      <a:ext cx="5734050" cy="1994781"/>
                    </a:xfrm>
                    <a:prstGeom prst="rect">
                      <a:avLst/>
                    </a:prstGeom>
                  </pic:spPr>
                </pic:pic>
              </a:graphicData>
            </a:graphic>
          </wp:inline>
        </w:drawing>
      </w:r>
    </w:p>
    <w:p>
      <w:pPr>
        <w:jc w:val="center"/>
      </w:pPr>
      <w:r>
        <w:t>Figure 1: Fishbone Diagram</w:t>
      </w:r>
    </w:p>
    <w:p>
      <w:pPr>
        <w:jc w:val="center"/>
      </w:pPr>
      <w:r>
        <w:t>(Source: Self-developed)</w:t>
      </w:r>
    </w:p>
    <w:p>
      <w:pPr>
        <w:pStyle w:val="3"/>
      </w:pPr>
      <w:bookmarkStart w:id="4" w:name="_Toc112635964"/>
      <w:r>
        <w:t>Analysis Of Information That Leads Decision-Making Process</w:t>
      </w:r>
      <w:bookmarkEnd w:id="4"/>
      <w:r>
        <w:t xml:space="preserve"> </w:t>
      </w:r>
    </w:p>
    <w:p>
      <w:r>
        <w:t>Equality in the workplace means that everyone should have the same opportunities to develop the knowledge, talents, and skills that are required to participate in the economic activity of their choice. It is imperative that efforts to advance equality take into consideration the cultural, linguistic, familial, and demographic diversity of their target populations. Small company owners, especially those from ethnic minorities, must have equal access to the property (even via inheritance), technology and capital. If the responsibilities of work and family were more equitably allocated among members of the home, a greater number of working women would have the opportunity to progress in their professions (Kossek and Lee, 2022, p. 27).</w:t>
      </w:r>
    </w:p>
    <w:p>
      <w:pPr>
        <w:rPr>
          <w:b/>
        </w:rPr>
      </w:pPr>
      <w:r>
        <w:rPr>
          <w:b/>
        </w:rPr>
        <w:t>Using the PMI method of decision-making:</w:t>
      </w:r>
    </w:p>
    <w:p>
      <w:r>
        <w:t>The PMI is a method for fostering critical thinking that encourages discourse about the benefits, drawbacks, and outcomes of a certain idea or concept that is being considered. When confronted with challenging decisions, issues, or situations in the classroom, educators may benefit greatly from using this useful resource (NSW, 2022).</w:t>
      </w:r>
    </w:p>
    <w:p>
      <w:pPr>
        <w:rPr>
          <w:b/>
        </w:rPr>
      </w:pPr>
      <w:r>
        <w:rPr>
          <w:b/>
        </w:rPr>
        <w:t>Step 1. Consider the Plus Points</w:t>
      </w:r>
    </w:p>
    <w:p>
      <w:pPr>
        <w:rPr>
          <w:b/>
        </w:rPr>
      </w:pPr>
      <w:r>
        <w:rPr>
          <w:b/>
        </w:rPr>
        <w:t>Conduct a diversity audit</w:t>
      </w:r>
    </w:p>
    <w:p>
      <w:r>
        <w:t>A diversity audit entails a look at all the company's procedures, policies, and practices that influence the workforce. Investigate possible instances of bias and discrimination in employee management and growth areas.</w:t>
      </w:r>
    </w:p>
    <w:p>
      <w:pPr>
        <w:rPr>
          <w:b/>
        </w:rPr>
      </w:pPr>
      <w:r>
        <w:rPr>
          <w:b/>
        </w:rPr>
        <w:t>Step 2. Consider the Minus Points</w:t>
      </w:r>
    </w:p>
    <w:p>
      <w:pPr>
        <w:rPr>
          <w:b/>
        </w:rPr>
      </w:pPr>
      <w:r>
        <w:rPr>
          <w:b/>
        </w:rPr>
        <w:t>Ensure policies and procedures are inclusive</w:t>
      </w:r>
    </w:p>
    <w:p>
      <w:r>
        <w:t>Discriminatory policies and practices are often adopted by businesses. An excellent illustration of this is the performance review. Companies may avoid the issue entirely by performing frequent evaluations and drafting policies that are easy to comprehend.</w:t>
      </w:r>
    </w:p>
    <w:p>
      <w:pPr>
        <w:rPr>
          <w:b/>
        </w:rPr>
      </w:pPr>
      <w:r>
        <w:rPr>
          <w:b/>
        </w:rPr>
        <w:t xml:space="preserve">Step 3. Consider the Interesting Points of the Situation. </w:t>
      </w:r>
    </w:p>
    <w:p>
      <w:pPr>
        <w:rPr>
          <w:b/>
        </w:rPr>
      </w:pPr>
      <w:r>
        <w:rPr>
          <w:b/>
        </w:rPr>
        <w:t>Welcome new employees with enhanced onboarding and training</w:t>
      </w:r>
    </w:p>
    <w:p>
      <w:r>
        <w:t xml:space="preserve">Employees new to the organisation should be informed about the company's values, inclusive workplace, and anti-discrimination rules. Also, they should be held accountable for following them (SHRM, 2022). </w:t>
      </w:r>
    </w:p>
    <w:p>
      <w:pPr>
        <w:rPr>
          <w:b/>
        </w:rPr>
      </w:pPr>
      <w:r>
        <w:rPr>
          <w:b/>
        </w:rPr>
        <w:t>Step 4. Make the conclusion</w:t>
      </w:r>
    </w:p>
    <w:p>
      <w:r>
        <w:t>Having scanned and organised the positives, the drawbacks, and the fascinating, companies can now make a decision since they have organised and categorised three key factors. Preventing prejudice may be accomplished in a number of ways, but setting an example is one of the most effective. It is up to the company to guarantee that the workplace is free of prejudice and bias. The organisational decision-makers must lead from the top down in order to implement cultural change. When the workers realise that the company care about diversity and inclusion, it encourages them to do the same (Indradevi, 2020, p. 256).</w:t>
      </w:r>
    </w:p>
    <w:p>
      <w:pPr>
        <w:pStyle w:val="3"/>
      </w:pPr>
      <w:bookmarkStart w:id="5" w:name="_Toc112635965"/>
      <w:r>
        <w:t>Alternative Solution</w:t>
      </w:r>
      <w:bookmarkEnd w:id="5"/>
    </w:p>
    <w:p>
      <w:r>
        <w:t xml:space="preserve">Assuming that the manager or other workers are at fault, the organisation is still responsible for coordinating, controlling, and aiding in the prevention of prejudice. Companies and workers are often in the dark about how to address prejudice since it is commonly disregarded or hardly mentioned. The lack of effective answers to the problem usually results in workforce turnover as a consequence. Teaching all workers about discriminatory behaviours, encouraging mutual respect, responding quickly and discreetly to any allegations of inappropriate conduct, establishing standards against discrimination, educating top management about how to manage accusations, and guaranteeing that the workforce plan is adequately implemented may all help to tackle this issue. </w:t>
      </w:r>
    </w:p>
    <w:p>
      <w:pPr>
        <w:pStyle w:val="3"/>
      </w:pPr>
      <w:bookmarkStart w:id="6" w:name="_Toc112635966"/>
      <w:r>
        <w:t>Discuss The Range Of Solutions</w:t>
      </w:r>
      <w:bookmarkEnd w:id="6"/>
    </w:p>
    <w:p>
      <w:r>
        <w:t>Eliminating prejudice and increasing workplace diversity should be the major priority for today's companies. To do this, one has a variety of choices to consider:</w:t>
      </w:r>
    </w:p>
    <w:p>
      <w:pPr>
        <w:rPr>
          <w:b/>
        </w:rPr>
      </w:pPr>
      <w:r>
        <w:rPr>
          <w:b/>
        </w:rPr>
        <w:t>Build a diverse workforce</w:t>
      </w:r>
    </w:p>
    <w:p>
      <w:r>
        <w:t>When putting up a team, one of the most crucial things to do is to go out and recruit members. It is possible to eradicate discrimination in the workplace by acting in accordance with the following steps:</w:t>
      </w:r>
    </w:p>
    <w:p>
      <w:pPr>
        <w:numPr>
          <w:ilvl w:val="0"/>
          <w:numId w:val="1"/>
        </w:numPr>
      </w:pPr>
      <w:r>
        <w:t>Create an environment that is open and welcoming to everyone.</w:t>
      </w:r>
    </w:p>
    <w:p>
      <w:pPr>
        <w:numPr>
          <w:ilvl w:val="0"/>
          <w:numId w:val="1"/>
        </w:numPr>
      </w:pPr>
      <w:r>
        <w:t>Internal promotion and advancement.</w:t>
      </w:r>
    </w:p>
    <w:p>
      <w:pPr>
        <w:numPr>
          <w:ilvl w:val="0"/>
          <w:numId w:val="1"/>
        </w:numPr>
      </w:pPr>
      <w:r>
        <w:t>It is essential for co-workers to have mutual trust.</w:t>
      </w:r>
    </w:p>
    <w:p>
      <w:pPr>
        <w:numPr>
          <w:ilvl w:val="0"/>
          <w:numId w:val="1"/>
        </w:numPr>
      </w:pPr>
      <w:r>
        <w:t>In order to provide possibilities for growth and education</w:t>
      </w:r>
    </w:p>
    <w:p>
      <w:pPr>
        <w:numPr>
          <w:ilvl w:val="0"/>
          <w:numId w:val="1"/>
        </w:numPr>
      </w:pPr>
      <w:r>
        <w:t>It is important that each individual get the same thing.</w:t>
      </w:r>
    </w:p>
    <w:p>
      <w:pPr>
        <w:rPr>
          <w:b/>
        </w:rPr>
      </w:pPr>
      <w:r>
        <w:rPr>
          <w:b/>
        </w:rPr>
        <w:t xml:space="preserve">Educate employees on inclusive behaviour </w:t>
      </w:r>
    </w:p>
    <w:p>
      <w:r>
        <w:t>Sometimes to avoid workplace discrimination, the company needs to educate their employees. The workplace should be a safe place where everyone can learn how to conduct themselves in a manner that is consistent with the company's values (BCC, 2022).</w:t>
      </w:r>
    </w:p>
    <w:p>
      <w:r>
        <w:t>It is possible to educate your team members in a variety of methods.</w:t>
      </w:r>
    </w:p>
    <w:p>
      <w:pPr>
        <w:numPr>
          <w:ilvl w:val="0"/>
          <w:numId w:val="2"/>
        </w:numPr>
      </w:pPr>
      <w:r>
        <w:t>Organise expert-led panel discussions.</w:t>
      </w:r>
    </w:p>
    <w:p>
      <w:pPr>
        <w:numPr>
          <w:ilvl w:val="0"/>
          <w:numId w:val="2"/>
        </w:numPr>
      </w:pPr>
      <w:r>
        <w:t>Webinars and in-house training may be conducted.</w:t>
      </w:r>
    </w:p>
    <w:p>
      <w:pPr>
        <w:numPr>
          <w:ilvl w:val="0"/>
          <w:numId w:val="2"/>
        </w:numPr>
      </w:pPr>
      <w:r>
        <w:t>Request that staff members schedule training events for their divisions.</w:t>
      </w:r>
    </w:p>
    <w:p>
      <w:pPr>
        <w:numPr>
          <w:ilvl w:val="0"/>
          <w:numId w:val="2"/>
        </w:numPr>
      </w:pPr>
      <w:r>
        <w:t>Make use of seminars and lunch-and-learn sessions.</w:t>
      </w:r>
    </w:p>
    <w:p>
      <w:pPr>
        <w:numPr>
          <w:ilvl w:val="0"/>
          <w:numId w:val="2"/>
        </w:numPr>
      </w:pPr>
      <w:r>
        <w:t>Invest in learning material that is targeted to the workforce's individual needs.</w:t>
      </w:r>
    </w:p>
    <w:p>
      <w:pPr>
        <w:rPr>
          <w:b/>
        </w:rPr>
      </w:pPr>
      <w:r>
        <w:rPr>
          <w:b/>
        </w:rPr>
        <w:t>Enhance the onboarding and training of new workers</w:t>
      </w:r>
    </w:p>
    <w:p>
      <w:r>
        <w:t>Diversity and inclusion in the onboarding process of new employees are sometimes overlooked by companies. Personnel joining the firm should be made aware of its mission and vision as well as its anti-discrimination policies, as well as the organisation's values. In addition, they should be held responsible for adhering to the rules (SHRM, 2022). Orientation and training for new workers should include information on how to speak out if they experience any type of bias or discrimination in the workplace.</w:t>
      </w:r>
    </w:p>
    <w:p>
      <w:pPr>
        <w:pStyle w:val="3"/>
      </w:pPr>
      <w:bookmarkStart w:id="7" w:name="_Toc112635967"/>
      <w:r>
        <w:t>Plan For Implementing The Solution</w:t>
      </w:r>
      <w:bookmarkEnd w:id="7"/>
      <w:r>
        <w:t xml:space="preserve"> </w:t>
      </w:r>
    </w:p>
    <w:p>
      <w:r>
        <w:t>When it comes to eliminating bias from the workplace, goals serve four key functions: providing guidance and direction, facilitating planning, inspiring and motivating employees, and assessing and regulating performance (ILO, 2022).</w:t>
      </w:r>
    </w:p>
    <w:p>
      <w:r>
        <w:t>It is possible to secure the company’s overall growth and employees’ personal growth and success by defining realistic and reachable goals using SMART targets.</w:t>
      </w:r>
    </w:p>
    <w:p>
      <w:pPr>
        <w:rPr>
          <w:b/>
        </w:rPr>
      </w:pPr>
      <w:r>
        <w:rPr>
          <w:b/>
        </w:rPr>
        <w:t>Specific</w:t>
      </w:r>
    </w:p>
    <w:p>
      <w:r>
        <w:t xml:space="preserve">In order to combat workplace discrimination, the first step is to establish the scale of the issue and identify the present methods for providing feedback. Not only will this offer the workers a voice in the feedback tools and messages they provide, but it will also show the dedication to eliminating prejudice in the workplace (Forbes, 2022). </w:t>
      </w:r>
    </w:p>
    <w:p>
      <w:pPr>
        <w:rPr>
          <w:b/>
        </w:rPr>
      </w:pPr>
      <w:r>
        <w:rPr>
          <w:b/>
        </w:rPr>
        <w:t>Measurable</w:t>
      </w:r>
    </w:p>
    <w:p>
      <w:r>
        <w:t xml:space="preserve">If companies want to know how to get better at getting feedback from the staff, they need to look at which methods of feedback are being used. Fewer than 29 per cent of workers believe that their complaints about discrimination are always taken seriously by management, and just 23 per cent of women believe that the company’s senior executives (Statista, 2022) always seriously take their issues. </w:t>
      </w:r>
    </w:p>
    <w:p>
      <w:pPr>
        <w:rPr>
          <w:b/>
        </w:rPr>
      </w:pPr>
      <w:r>
        <w:rPr>
          <w:b/>
        </w:rPr>
        <w:t>Achievable</w:t>
      </w:r>
    </w:p>
    <w:p>
      <w:r>
        <w:t>The more anonymous reporting options employees have, the more likely it is that workers will come forward with concerns about discrimination. To gather honest feedback, workers need to know that they can freely participate in a private way: one that precludes leaders or stakeholders from linking their comments directly to their identifying data, according to Qualtrics' study (Forbes, 2022). In order to ensure that reports are handled and resolved in a timely manner, it is beneficial to have systems that collect, allocate, and monitor them.</w:t>
      </w:r>
    </w:p>
    <w:p>
      <w:pPr>
        <w:rPr>
          <w:b/>
        </w:rPr>
      </w:pPr>
      <w:r>
        <w:rPr>
          <w:b/>
        </w:rPr>
        <w:t>Relevant</w:t>
      </w:r>
    </w:p>
    <w:p>
      <w:r>
        <w:t xml:space="preserve">To a large extent, this is because workers do not believe their experiences were significant enough to warrant filing a complaint. Discrimination is a sensitive issue for many people. Some employees may not think that their employer wants them to share their thoughts on their experiences. Discrimination may be prevented by being open to receiving comments and clearly defining discrimination (Forbes, 2022). </w:t>
      </w:r>
    </w:p>
    <w:p>
      <w:pPr>
        <w:rPr>
          <w:b/>
        </w:rPr>
      </w:pPr>
      <w:r>
        <w:rPr>
          <w:b/>
        </w:rPr>
        <w:t>Time Bound</w:t>
      </w:r>
    </w:p>
    <w:p>
      <w:r>
        <w:t>Analyse the data on the sources of the reports and the degree to which the company have been able to resolve them. This method lets these organisations observe what's working, modify what is not, and keep improving the outcomes.</w:t>
      </w:r>
    </w:p>
    <w:p>
      <w:pPr>
        <w:pStyle w:val="3"/>
      </w:pPr>
      <w:bookmarkStart w:id="8" w:name="_Toc112635968"/>
      <w:r>
        <w:t>Communicate The Plan To Stakeholders</w:t>
      </w:r>
      <w:bookmarkEnd w:id="8"/>
    </w:p>
    <w:p>
      <w:r>
        <w:t>It is possible to communicate with stakeholders through emails, social networking sites postings on the company website, or in person. Establishing a more informal style of communication, such as lunchtime conversations and continuing team engagement, should also be factored into the equation. Team members can recognise any discriminatory behaviours that might otherwise go unreported. This is a great opportunity to promote equality and diversity by hosting a picnic in which everyone is requested to contribute a cuisine from their own culture. Focus groups are a common tool for increasing employee involvement and may also act as a discussion forum for the strategy, during which participants are guided in a discourse about a specific subject. They are an extra way for the company to show how much it values its employees' ideas and how serious it is about moving forward. These discussions may also help employers recognise job pressures, potential conflict, and low morale concerns in advance.</w:t>
      </w:r>
    </w:p>
    <w:p>
      <w:pPr>
        <w:pStyle w:val="3"/>
      </w:pPr>
      <w:bookmarkStart w:id="9" w:name="_Toc112635969"/>
      <w:r>
        <w:t>Review For The Successful Implementation Of The Plan</w:t>
      </w:r>
      <w:bookmarkEnd w:id="9"/>
    </w:p>
    <w:p>
      <w:r>
        <w:t>A Post-Implementation Review (PIR) is conducted after the remedy for reducing workplace prejudice has been implemented successfully. As part of its work, it will determine whether the solution's objectives were met, as well as how well the strategy was followed, as well as any lessons learned for the future. The plan's implemented solution may be examined using an evaluation of workers' performance in contrast to periods because there was no formal agreement and no internal training on inequality. The adoption has been shown to boost employee satisfaction and engagement since workers feel willing to work and automatically report any problems of unprofessional conduct or bullying (Ng, Niven, and Notelaers, 2022, p. 45).</w:t>
      </w:r>
    </w:p>
    <w:p>
      <w:r>
        <w:t>In the infrastructure program, the goal was to ensure that all employees could work without fear of being harassed based on their age or religious beliefs or their, sexual preference or gender. Workplace discrimination rules have been explained to every employee so that they can readily adjust to any changes that may arise in future operations.</w:t>
      </w:r>
    </w:p>
    <w:p>
      <w:pPr>
        <w:pStyle w:val="3"/>
      </w:pPr>
      <w:bookmarkStart w:id="10" w:name="_Toc112635970"/>
      <w:r>
        <w:t>Conclusion</w:t>
      </w:r>
      <w:bookmarkEnd w:id="10"/>
    </w:p>
    <w:p>
      <w:r>
        <w:t xml:space="preserve">The current study has briefly demonstrated a workplace issue that causes damage to the organisational reputation, growth and profitability. The issue of discrimination has always been a major concern. The study has penetrated deep into the root causes of the circumstances with the use of the PMI tool and the proper application of SMART objectives in developing a situation-handling plan. Therefore, the study has thoroughly pointed out the notions of concerns as well as the necessary steps needed to be taken into consideration by the organisations in order to develop an employee-friendly, sustainable, flexible and growing work culture where each employee can function better, innovate, grow and become the best version of themselves precisely. </w:t>
      </w:r>
    </w:p>
    <w:p/>
    <w:p>
      <w:r>
        <w:br w:type="page"/>
      </w:r>
    </w:p>
    <w:p>
      <w:pPr>
        <w:pStyle w:val="2"/>
      </w:pPr>
      <w:bookmarkStart w:id="11" w:name="_Toc112635971"/>
      <w:r>
        <w:t>Reference</w:t>
      </w:r>
      <w:bookmarkEnd w:id="11"/>
    </w:p>
    <w:p>
      <w:r>
        <w:t>BCC, (2022), “</w:t>
      </w:r>
      <w:r>
        <w:rPr>
          <w:i/>
        </w:rPr>
        <w:t>The Workplace Environment and Working Conditions</w:t>
      </w:r>
      <w:r>
        <w:t xml:space="preserve">”, Available at  </w:t>
      </w:r>
      <w:r>
        <w:fldChar w:fldCharType="begin"/>
      </w:r>
      <w:r>
        <w:instrText xml:space="preserve"> HYPERLINK "https://opentextbc.ca/businessethicsopenstax/chapter/the-workplace-environment-and-working-conditions/" \h </w:instrText>
      </w:r>
      <w:r>
        <w:fldChar w:fldCharType="separate"/>
      </w:r>
      <w:r>
        <w:rPr>
          <w:color w:val="1155CC"/>
          <w:u w:val="single"/>
        </w:rPr>
        <w:t>https://opentextbc.ca/businessethicsopenstax/chapter/the-workplace-environment-and-working-conditions/</w:t>
      </w:r>
      <w:r>
        <w:rPr>
          <w:color w:val="1155CC"/>
          <w:u w:val="single"/>
        </w:rPr>
        <w:fldChar w:fldCharType="end"/>
      </w:r>
      <w:r>
        <w:t xml:space="preserve"> [Accessed on 25th July 2022]</w:t>
      </w:r>
    </w:p>
    <w:p>
      <w:r>
        <w:t xml:space="preserve">Dhanani, L.Y., Beus, J.M. and Joseph, D.L., (2018). Workplace discrimination: A meta‐analytic extension, critique, and future research agenda. Personnel Psychology, 71(2), pp.147-179. </w:t>
      </w:r>
    </w:p>
    <w:p>
      <w:r>
        <w:t>Forbes, (2022), “</w:t>
      </w:r>
      <w:r>
        <w:rPr>
          <w:i/>
        </w:rPr>
        <w:t>Five Ways Business Leaders Can Address Workplace Discrimination In 2022</w:t>
      </w:r>
      <w:r>
        <w:t xml:space="preserve">”, Available at  </w:t>
      </w:r>
      <w:r>
        <w:fldChar w:fldCharType="begin"/>
      </w:r>
      <w:r>
        <w:instrText xml:space="preserve"> HYPERLINK "https://www.forbes.com/sites/forbeshumanresourcescouncil/2022/03/11/five-ways-business-leaders-can-address-workplace-discrimination-in-2022/?sh=65ae600538ed" \h </w:instrText>
      </w:r>
      <w:r>
        <w:fldChar w:fldCharType="separate"/>
      </w:r>
      <w:r>
        <w:rPr>
          <w:color w:val="1155CC"/>
          <w:u w:val="single"/>
        </w:rPr>
        <w:t>https://www.forbes.com/sites/forbeshumanresourcescouncil/2022/03/11/five-ways-business-leaders-can-address-workplace-discrimination-in-2022/?sh=65ae600538ed</w:t>
      </w:r>
      <w:r>
        <w:rPr>
          <w:color w:val="1155CC"/>
          <w:u w:val="single"/>
        </w:rPr>
        <w:fldChar w:fldCharType="end"/>
      </w:r>
      <w:r>
        <w:t xml:space="preserve"> [Accessed on 25th July 2022]</w:t>
      </w:r>
    </w:p>
    <w:p>
      <w:r>
        <w:t>ILO, (2022), “</w:t>
      </w:r>
      <w:r>
        <w:rPr>
          <w:i/>
        </w:rPr>
        <w:t>Elimination of discrimination in respect of employment and occupation</w:t>
      </w:r>
      <w:r>
        <w:t xml:space="preserve">”, Available at  </w:t>
      </w:r>
      <w:r>
        <w:fldChar w:fldCharType="begin"/>
      </w:r>
      <w:r>
        <w:instrText xml:space="preserve"> HYPERLINK "https://www.ilo.org/declaration/principles/eliminationofdiscrimination/lang--en/index.htm" \h </w:instrText>
      </w:r>
      <w:r>
        <w:fldChar w:fldCharType="separate"/>
      </w:r>
      <w:r>
        <w:rPr>
          <w:color w:val="1155CC"/>
          <w:u w:val="single"/>
        </w:rPr>
        <w:t>https://www.ilo.org/declaration/principles/eliminationofdiscrimination/lang--en/index.htm</w:t>
      </w:r>
      <w:r>
        <w:rPr>
          <w:color w:val="1155CC"/>
          <w:u w:val="single"/>
        </w:rPr>
        <w:fldChar w:fldCharType="end"/>
      </w:r>
      <w:r>
        <w:t xml:space="preserve">  [Accessed on 25th July 2022]</w:t>
      </w:r>
    </w:p>
    <w:p>
      <w:r>
        <w:t xml:space="preserve">Indradevi, R., (2020). Workplace spirituality: Successful mantra for the modern organization. Journal of Critical Reviews, 7(6), pp.437-440. </w:t>
      </w:r>
    </w:p>
    <w:p>
      <w:r>
        <w:t>Knight, C., Dobbin, F. and Kalev, A., (2022). Under the radar: Visibility and the effects of discrimination lawsuits in small and large firms. American Sociological Review, 87(2), pp.175-201.</w:t>
      </w:r>
    </w:p>
    <w:p>
      <w:r>
        <w:t>Kossek, E.E. and Lee, K.H., (2022). Work-life inclusion for women’s career equality: Why it matters and what to do about it. Organizational Dynamics, 51(2), p.100818.</w:t>
      </w:r>
    </w:p>
    <w:p>
      <w:r>
        <w:t>Mousa, M., Massoud, H.K. and Ayoubi, R.M., (2020). Gender, diversity management perceptions, workplace happiness and organisational citizenship behaviour. Employee Relations: The International Journal, 42(6), pp.1249-1269.</w:t>
      </w:r>
    </w:p>
    <w:p>
      <w:r>
        <w:t>Ng, K., Niven, K. and Notelaers, G., (2022). Does bystander behaviour make a difference? How passive and active bystanders in the group moderate the effects of bullying exposure. Journal of occupational health psychology, 27(1), p.119.</w:t>
      </w:r>
    </w:p>
    <w:p>
      <w:r>
        <w:t>NSW, (2022), “</w:t>
      </w:r>
      <w:r>
        <w:rPr>
          <w:i/>
        </w:rPr>
        <w:t>Plus, Minus, Interesting (PMI)</w:t>
      </w:r>
      <w:r>
        <w:t xml:space="preserve">”, Available at  </w:t>
      </w:r>
      <w:r>
        <w:fldChar w:fldCharType="begin"/>
      </w:r>
      <w:r>
        <w:instrText xml:space="preserve"> HYPERLINK "https://app.education.nsw.gov.au/digital-learning-selector/LearningActivity/Card/551" \l ":~:text=PMI%20is%20a%20brainstorming%2C%20decision,difficult%20decisions%2C%20issues%20or%20situations" \h </w:instrText>
      </w:r>
      <w:r>
        <w:fldChar w:fldCharType="separate"/>
      </w:r>
      <w:r>
        <w:rPr>
          <w:color w:val="1155CC"/>
          <w:u w:val="single"/>
        </w:rPr>
        <w:t>https://app.education.nsw.gov.au/digital-learning-selector/LearningActivity/Card/551#:~:text=PMI%20is%20a%20brainstorming%2C%20decision,difficult%20decisions%2C%20issues%20or%20situations</w:t>
      </w:r>
      <w:r>
        <w:rPr>
          <w:color w:val="1155CC"/>
          <w:u w:val="single"/>
        </w:rPr>
        <w:fldChar w:fldCharType="end"/>
      </w:r>
      <w:r>
        <w:t xml:space="preserve">  [Accessed on 25th July 2022]</w:t>
      </w:r>
    </w:p>
    <w:p>
      <w:r>
        <w:t>SHRM, (2022), “</w:t>
      </w:r>
      <w:r>
        <w:rPr>
          <w:i/>
        </w:rPr>
        <w:t>Understanding and Developing Organizational Culture</w:t>
      </w:r>
      <w:r>
        <w:t xml:space="preserve">”, Available at  </w:t>
      </w:r>
      <w:r>
        <w:fldChar w:fldCharType="begin"/>
      </w:r>
      <w:r>
        <w:instrText xml:space="preserve"> HYPERLINK "https://www.shrm.org/resourcesandtools/tools-and-samples/toolkits/pages/understandinganddevelopingorganizationalculture.aspx" \h </w:instrText>
      </w:r>
      <w:r>
        <w:fldChar w:fldCharType="separate"/>
      </w:r>
      <w:r>
        <w:rPr>
          <w:color w:val="1155CC"/>
          <w:u w:val="single"/>
        </w:rPr>
        <w:t>https://www.shrm.org/resourcesandtools/tools-and-samples/toolkits/pages/understandinganddevelopingorganizationalculture.aspx</w:t>
      </w:r>
      <w:r>
        <w:rPr>
          <w:color w:val="1155CC"/>
          <w:u w:val="single"/>
        </w:rPr>
        <w:fldChar w:fldCharType="end"/>
      </w:r>
      <w:r>
        <w:t xml:space="preserve">  [Accessed on 25th July 2022]</w:t>
      </w:r>
    </w:p>
    <w:p>
      <w:r>
        <w:t>Statista, (2022), “</w:t>
      </w:r>
      <w:r>
        <w:rPr>
          <w:i/>
        </w:rPr>
        <w:t>Diversity and equality in European companies</w:t>
      </w:r>
      <w:r>
        <w:t xml:space="preserve">”, Available at  </w:t>
      </w:r>
      <w:r>
        <w:fldChar w:fldCharType="begin"/>
      </w:r>
      <w:r>
        <w:instrText xml:space="preserve"> HYPERLINK "https://www.statista.com/study/73678/diversity-and-equality-in-european-companies/" \h </w:instrText>
      </w:r>
      <w:r>
        <w:fldChar w:fldCharType="separate"/>
      </w:r>
      <w:r>
        <w:rPr>
          <w:color w:val="1155CC"/>
          <w:u w:val="single"/>
        </w:rPr>
        <w:t>https://www.statista.com/study/73678/diversity-and-equality-in-european-companies/</w:t>
      </w:r>
      <w:r>
        <w:rPr>
          <w:color w:val="1155CC"/>
          <w:u w:val="single"/>
        </w:rPr>
        <w:fldChar w:fldCharType="end"/>
      </w:r>
      <w:r>
        <w:t xml:space="preserve">  [Accessed on 25th July 2022]</w:t>
      </w:r>
    </w:p>
    <w:p>
      <w:r>
        <w:t>Vargas, S.M., Huey Jr, S.J. and Miranda, J., (2020). A critical review of current evidence on multiple types of discrimination and mental health. American Journal of Orthopsychiatry, 90(3), p.374.</w:t>
      </w:r>
    </w:p>
    <w:p/>
    <w:p/>
    <w:p/>
    <w:p/>
    <w:p/>
    <w:p/>
    <w:p/>
    <w:p>
      <w:pPr>
        <w:spacing w:line="240" w:lineRule="auto"/>
        <w:jc w:val="left"/>
      </w:pPr>
      <w:r>
        <w:br w:type="page"/>
      </w:r>
    </w:p>
    <w:p>
      <w:pPr>
        <w:pStyle w:val="2"/>
      </w:pPr>
      <w:bookmarkStart w:id="12" w:name="_Toc112635972"/>
      <w:r>
        <w:t>Appendix</w:t>
      </w:r>
      <w:bookmarkEnd w:id="12"/>
    </w:p>
    <w:p/>
    <w:p>
      <w:pPr>
        <w:spacing w:line="240" w:lineRule="auto"/>
        <w:jc w:val="left"/>
        <w:rPr>
          <w:rStyle w:val="12"/>
          <w:rFonts w:ascii="Segoe UI" w:hAnsi="Segoe UI" w:cs="Segoe UI"/>
          <w:color w:val="000A0F"/>
          <w:sz w:val="23"/>
          <w:szCs w:val="23"/>
        </w:rPr>
      </w:pPr>
      <w:r>
        <w:fldChar w:fldCharType="begin"/>
      </w:r>
      <w:r>
        <w:instrText xml:space="preserve"> HYPERLINK "https://moodle.uwtsd.ac.uk/course/view.php?id=7090" </w:instrText>
      </w:r>
      <w:r>
        <w:fldChar w:fldCharType="separate"/>
      </w:r>
    </w:p>
    <w:p>
      <w:pPr>
        <w:rPr>
          <w:b/>
          <w:sz w:val="24"/>
          <w:szCs w:val="24"/>
          <w:lang w:eastAsia="en-GB"/>
        </w:rPr>
      </w:pPr>
      <w:r>
        <w:rPr>
          <w:b/>
        </w:rPr>
        <w:t>Unsatisfied Employee- Rafael</w:t>
      </w:r>
    </w:p>
    <w:p>
      <w:pPr>
        <w:rPr>
          <w:b/>
        </w:rPr>
      </w:pPr>
      <w:r>
        <w:rPr>
          <w:b/>
        </w:rPr>
        <w:t>Handling Manager: Iulian</w:t>
      </w:r>
    </w:p>
    <w:p>
      <w:pPr>
        <w:rPr>
          <w:b/>
        </w:rPr>
      </w:pPr>
      <w:r>
        <w:rPr>
          <w:b/>
        </w:rPr>
        <w:t xml:space="preserve"> </w:t>
      </w:r>
    </w:p>
    <w:p>
      <w:r>
        <w:t xml:space="preserve">[Rafael is a persistent employee of the organisation, but lately, he has been really dissatisfied with her job role and pays scale. This is impacting his quality of work. The manager noticed the situation and decided to have a talk with him…..] </w:t>
      </w:r>
    </w:p>
    <w:p>
      <w:r>
        <w:t xml:space="preserve"> </w:t>
      </w:r>
    </w:p>
    <w:p>
      <w:pPr>
        <w:rPr>
          <w:rFonts w:ascii="Calibri" w:hAnsi="Calibri" w:cs="Times New Roman"/>
          <w:sz w:val="24"/>
          <w:szCs w:val="24"/>
        </w:rPr>
      </w:pPr>
      <w:r>
        <w:rPr>
          <w:b/>
        </w:rPr>
        <w:t>Rafael</w:t>
      </w:r>
      <w:r>
        <w:t>- Good afternoon, sir! May I come in?</w:t>
      </w:r>
    </w:p>
    <w:p>
      <w:r>
        <w:rPr>
          <w:b/>
        </w:rPr>
        <w:t>Iulian</w:t>
      </w:r>
      <w:r>
        <w:t>- Oh yes, please have a seat!</w:t>
      </w:r>
    </w:p>
    <w:p>
      <w:r>
        <w:rPr>
          <w:b/>
        </w:rPr>
        <w:t>Rafael</w:t>
      </w:r>
      <w:r>
        <w:t xml:space="preserve">- Sir, your assistant informed me you wanted to see me? </w:t>
      </w:r>
    </w:p>
    <w:p>
      <w:r>
        <w:rPr>
          <w:b/>
        </w:rPr>
        <w:t>Iulian</w:t>
      </w:r>
      <w:r>
        <w:t>- Yes, I do. I have some matters to discuss with you.</w:t>
      </w:r>
    </w:p>
    <w:p>
      <w:r>
        <w:rPr>
          <w:b/>
        </w:rPr>
        <w:t>Rafael</w:t>
      </w:r>
      <w:r>
        <w:t xml:space="preserve">- Sure, sir. </w:t>
      </w:r>
    </w:p>
    <w:p>
      <w:r>
        <w:rPr>
          <w:b/>
        </w:rPr>
        <w:t>Iulian</w:t>
      </w:r>
      <w:r>
        <w:t xml:space="preserve">- okay, so let us not go round and round. I am coming straight to the point now. </w:t>
      </w:r>
    </w:p>
    <w:p>
      <w:r>
        <w:rPr>
          <w:b/>
        </w:rPr>
        <w:t>Rafael</w:t>
      </w:r>
      <w:r>
        <w:t>- okay, sir.</w:t>
      </w:r>
    </w:p>
    <w:p>
      <w:r>
        <w:rPr>
          <w:b/>
        </w:rPr>
        <w:t>Iulian</w:t>
      </w:r>
      <w:r>
        <w:t xml:space="preserve">- Rafael, you are one of the Most aspiring employees of our company. I had personally chosen you for the job from several employees. You were the most promising one with the fit to the frame job profile, confidence and subject knowledge. We offered you the job, it has been 5 years. Am I right? </w:t>
      </w:r>
    </w:p>
    <w:p>
      <w:r>
        <w:rPr>
          <w:b/>
        </w:rPr>
        <w:t>Rafael</w:t>
      </w:r>
      <w:r>
        <w:t xml:space="preserve">- yes, sir. This is so generous of you that you still remember my potential. </w:t>
      </w:r>
    </w:p>
    <w:p>
      <w:r>
        <w:rPr>
          <w:b/>
        </w:rPr>
        <w:t>Iulian</w:t>
      </w:r>
      <w:r>
        <w:t xml:space="preserve">- yes, but this is not it; I have asked you to visit me here for a major concern which might lead you to some difficulties in maintaining your job position here at the company. </w:t>
      </w:r>
    </w:p>
    <w:p>
      <w:r>
        <w:rPr>
          <w:b/>
        </w:rPr>
        <w:t>Rafael</w:t>
      </w:r>
      <w:r>
        <w:t>- why, sir? What happened? What is wrong?</w:t>
      </w:r>
    </w:p>
    <w:p>
      <w:r>
        <w:rPr>
          <w:b/>
        </w:rPr>
        <w:t>Iulian</w:t>
      </w:r>
      <w:r>
        <w:t xml:space="preserve">- I have been seeing your progress report for the past few months, and there has been a sharp decline in your performance level. You have become less productive; you do not finish your tasks on time. You are missing deadlines. Not only that, you even do not pay good attention to the meetings and discussion sessions. Am I right? </w:t>
      </w:r>
    </w:p>
    <w:p>
      <w:r>
        <w:rPr>
          <w:b/>
        </w:rPr>
        <w:t>Rafael</w:t>
      </w:r>
      <w:r>
        <w:t xml:space="preserve">- yes, sir, sorry, sir. I will try to get better, Sir. </w:t>
      </w:r>
    </w:p>
    <w:p>
      <w:r>
        <w:rPr>
          <w:b/>
        </w:rPr>
        <w:t>Iulian</w:t>
      </w:r>
      <w:r>
        <w:t>- this is not about sorry! Is there any problem? Are you feeling troubled working here?</w:t>
      </w:r>
    </w:p>
    <w:p>
      <w:r>
        <w:rPr>
          <w:b/>
        </w:rPr>
        <w:t>Rafael</w:t>
      </w:r>
      <w:r>
        <w:t xml:space="preserve">- basically, sir, I have been working here for a long time now and lately, I have discovered that I have not been getting enough salary, incentives or at least promotional positions. This has made me hopeless about my job, and I am losing interest in my job. The dissatisfaction that the low wedge has caused in me, I cannot avoid anyway. I am sorry, Sir. </w:t>
      </w:r>
    </w:p>
    <w:p>
      <w:r>
        <w:rPr>
          <w:b/>
        </w:rPr>
        <w:t>Iulian</w:t>
      </w:r>
      <w:r>
        <w:t xml:space="preserve">- Rafael, you should have talked with your seniors, or at least you could have come to me earlier. This is no way to process any Situation! You could have asked the company for an increment. You should have mailed your concern to the authorities. </w:t>
      </w:r>
    </w:p>
    <w:p>
      <w:r>
        <w:rPr>
          <w:b/>
        </w:rPr>
        <w:t>Rafael</w:t>
      </w:r>
      <w:r>
        <w:t>- I understand, sir, but I could not make up my mind on how to handle the situation. But now that you have said that, I would like to discuss my issue. I would like to have a raise. As a loyal and efficient employee of your organisation, I sure hope I have the priority that I can at least ask for a raise in my current salary. After six months from now, you will reconsider my progress and work enthusiasm. Then we will be able to discuss the terms for my promotion?</w:t>
      </w:r>
    </w:p>
    <w:p>
      <w:r>
        <w:rPr>
          <w:b/>
        </w:rPr>
        <w:t>Iulian</w:t>
      </w:r>
      <w:r>
        <w:t xml:space="preserve">- hold up! I understand you are being cautious about your work position. Probably you feel the company does not need you anymore. But let me tell you, this is not at all the case. Currently, the company is dealing with some difficulties in coping with the changing external environment. This is impacting your wedge and workload as well. You may have observed that the workload has increased lately! </w:t>
      </w:r>
    </w:p>
    <w:p>
      <w:r>
        <w:rPr>
          <w:b/>
        </w:rPr>
        <w:t>Rafael</w:t>
      </w:r>
      <w:r>
        <w:t>- yes, Sir and this extra workload have made me extra conscious as I feel I am not getting paid according to my efforts. Further, with the extra workload, I am getting, I would like to finish that up by taking up some extra hours and doing overtime, but the company is not allowing that as well!</w:t>
      </w:r>
    </w:p>
    <w:p>
      <w:r>
        <w:rPr>
          <w:b/>
        </w:rPr>
        <w:t>Iulian</w:t>
      </w:r>
      <w:r>
        <w:t xml:space="preserve">- Yes, the political situation of the state is not good at this moment. The election is nearby. Therefore, there is political pressure to get extra work done, and, we are not getting anything in hand right now. Therefore, we cannot provide you with an extra wedge or overtime duties as overtime duties will mean extra pay. So, as you can see Economically, also we are not in a good position. All we can do is work hard and sustain until society chooses their preferable government and we get our due payments from the market. </w:t>
      </w:r>
    </w:p>
    <w:p>
      <w:r>
        <w:rPr>
          <w:b/>
        </w:rPr>
        <w:t>Rafael</w:t>
      </w:r>
      <w:r>
        <w:t xml:space="preserve">- Then, sir, can you give me your word that within the next six months, if the external environment gets stabilised, you will investigate my promotion and increment? </w:t>
      </w:r>
    </w:p>
    <w:p>
      <w:r>
        <w:rPr>
          <w:b/>
        </w:rPr>
        <w:t>Iulian</w:t>
      </w:r>
      <w:r>
        <w:t xml:space="preserve">- of course! We will be having some technological up-gradation in the upcoming months. We, Will, need you to handle the position of our social media marketing head. Our age-old advertisement policies also need some refreshments. </w:t>
      </w:r>
    </w:p>
    <w:p>
      <w:r>
        <w:rPr>
          <w:b/>
        </w:rPr>
        <w:t>Rafael</w:t>
      </w:r>
      <w:r>
        <w:t>- yes, sir, I would also like to discuss the current company policy.</w:t>
      </w:r>
    </w:p>
    <w:p>
      <w:r>
        <w:rPr>
          <w:b/>
        </w:rPr>
        <w:t>Iulian</w:t>
      </w:r>
      <w:r>
        <w:t>- yes, tell me!</w:t>
      </w:r>
    </w:p>
    <w:p>
      <w:r>
        <w:rPr>
          <w:b/>
        </w:rPr>
        <w:t>Rafael</w:t>
      </w:r>
      <w:r>
        <w:t xml:space="preserve">- sir, our company does not offer flexible working hours to needy employees. Specifically, many women with children face difficulty managing home and work environments. If you could make some changes to the policy, that would be a great help. Also, there is no assurance of getting an increment and promotion within a few years of working in the company. For this reason, many workers tend to leave their job and move to other companies. Isn't it causing loss to us? Our capable workers are moving elsewhere after learning everything from here? </w:t>
      </w:r>
    </w:p>
    <w:p>
      <w:r>
        <w:rPr>
          <w:b/>
        </w:rPr>
        <w:t>Iulian</w:t>
      </w:r>
      <w:r>
        <w:t xml:space="preserve">- I am aware of the situation. The work environment needs drastic change. I agree with this fact. But until and unless the higher authority takes some action, I am helpless here. There is a talk about changing the legal status of the company and turning the policies into a more employee-friendly manner. Hopefully, from the next financial year, all your complaints will be resolved. </w:t>
      </w:r>
    </w:p>
    <w:p>
      <w:r>
        <w:rPr>
          <w:b/>
        </w:rPr>
        <w:t>Rafael</w:t>
      </w:r>
      <w:r>
        <w:t xml:space="preserve">- Thank you, sir. Now I realise the severity of the situation. As you have given me your word, I will work hard and will take the company to greater heights. </w:t>
      </w:r>
    </w:p>
    <w:p>
      <w:r>
        <w:rPr>
          <w:b/>
        </w:rPr>
        <w:t>Iulian</w:t>
      </w:r>
      <w:r>
        <w:t>- That's what I expect from you.</w:t>
      </w:r>
    </w:p>
    <w:p>
      <w:r>
        <w:rPr>
          <w:b/>
        </w:rPr>
        <w:t>Rafael</w:t>
      </w:r>
      <w:r>
        <w:t xml:space="preserve">- Thank you for giving me your valuable time and making me feel important in the company again. This was an enriching afternoon indeed. </w:t>
      </w:r>
    </w:p>
    <w:p>
      <w:r>
        <w:t xml:space="preserve"> </w:t>
      </w:r>
    </w:p>
    <w:p>
      <w:r>
        <w:fldChar w:fldCharType="end"/>
      </w:r>
    </w:p>
    <w:sectPr>
      <w:headerReference r:id="rId7" w:type="first"/>
      <w:footerReference r:id="rId10" w:type="first"/>
      <w:headerReference r:id="rId5" w:type="default"/>
      <w:footerReference r:id="rId8" w:type="default"/>
      <w:headerReference r:id="rId6" w:type="even"/>
      <w:footerReference r:id="rId9" w:type="even"/>
      <w:pgSz w:w="11906" w:h="16838"/>
      <w:pgMar w:top="1440" w:right="1440" w:bottom="1440" w:left="1440" w:header="720" w:footer="720" w:gutter="0"/>
      <w:pgNumType w:start="1"/>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86"/>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DengXian">
    <w:altName w:val="SimSun"/>
    <w:panose1 w:val="02010600030101010101"/>
    <w:charset w:val="86"/>
    <w:family w:val="auto"/>
    <w:pitch w:val="default"/>
    <w:sig w:usb0="00000000" w:usb1="00000000" w:usb2="00000016" w:usb3="00000000" w:csb0="0004000F" w:csb1="00000000"/>
  </w:font>
  <w:font w:name="DengXian Light">
    <w:altName w:val="SimSun"/>
    <w:panose1 w:val="00000000000000000000"/>
    <w:charset w:val="86"/>
    <w:family w:val="auto"/>
    <w:pitch w:val="default"/>
    <w:sig w:usb0="00000000" w:usb1="00000000" w:usb2="00000016" w:usb3="00000000" w:csb0="0004000F" w:csb1="00000000"/>
  </w:font>
  <w:font w:name="Cambria">
    <w:panose1 w:val="02040503050406030204"/>
    <w:charset w:val="00"/>
    <w:family w:val="roman"/>
    <w:pitch w:val="default"/>
    <w:sig w:usb0="E00006FF" w:usb1="420024FF" w:usb2="02000000" w:usb3="00000000" w:csb0="2000019F" w:csb1="00000000"/>
  </w:font>
  <w:font w:name="Segoe UI">
    <w:panose1 w:val="020B0502040204020203"/>
    <w:charset w:val="00"/>
    <w:family w:val="swiss"/>
    <w:pitch w:val="default"/>
    <w:sig w:usb0="E4002EFF" w:usb1="C000E47F" w:usb2="00000009" w:usb3="00000000" w:csb0="200001FF" w:csb1="00000000"/>
  </w:font>
  <w:font w:name="MS PGothic">
    <w:panose1 w:val="020B0600070205080204"/>
    <w:charset w:val="80"/>
    <w:family w:val="auto"/>
    <w:pitch w:val="default"/>
    <w:sig w:usb0="E00002FF" w:usb1="6AC7FDFB" w:usb2="08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8432271"/>
    <w:multiLevelType w:val="multilevel"/>
    <w:tmpl w:val="08432271"/>
    <w:lvl w:ilvl="0" w:tentative="0">
      <w:start w:val="1"/>
      <w:numFmt w:val="bullet"/>
      <w:lvlText w:val="●"/>
      <w:lvlJc w:val="left"/>
      <w:pPr>
        <w:ind w:left="720" w:hanging="360"/>
      </w:pPr>
      <w:rPr>
        <w:u w:val="none"/>
      </w:rPr>
    </w:lvl>
    <w:lvl w:ilvl="1" w:tentative="0">
      <w:start w:val="1"/>
      <w:numFmt w:val="bullet"/>
      <w:lvlText w:val="○"/>
      <w:lvlJc w:val="left"/>
      <w:pPr>
        <w:ind w:left="1440" w:hanging="360"/>
      </w:pPr>
      <w:rPr>
        <w:u w:val="none"/>
      </w:rPr>
    </w:lvl>
    <w:lvl w:ilvl="2" w:tentative="0">
      <w:start w:val="1"/>
      <w:numFmt w:val="bullet"/>
      <w:lvlText w:val="■"/>
      <w:lvlJc w:val="left"/>
      <w:pPr>
        <w:ind w:left="2160" w:hanging="360"/>
      </w:pPr>
      <w:rPr>
        <w:u w:val="none"/>
      </w:rPr>
    </w:lvl>
    <w:lvl w:ilvl="3" w:tentative="0">
      <w:start w:val="1"/>
      <w:numFmt w:val="bullet"/>
      <w:lvlText w:val="●"/>
      <w:lvlJc w:val="left"/>
      <w:pPr>
        <w:ind w:left="2880" w:hanging="360"/>
      </w:pPr>
      <w:rPr>
        <w:u w:val="none"/>
      </w:rPr>
    </w:lvl>
    <w:lvl w:ilvl="4" w:tentative="0">
      <w:start w:val="1"/>
      <w:numFmt w:val="bullet"/>
      <w:lvlText w:val="○"/>
      <w:lvlJc w:val="left"/>
      <w:pPr>
        <w:ind w:left="3600" w:hanging="360"/>
      </w:pPr>
      <w:rPr>
        <w:u w:val="none"/>
      </w:rPr>
    </w:lvl>
    <w:lvl w:ilvl="5" w:tentative="0">
      <w:start w:val="1"/>
      <w:numFmt w:val="bullet"/>
      <w:lvlText w:val="■"/>
      <w:lvlJc w:val="left"/>
      <w:pPr>
        <w:ind w:left="4320" w:hanging="360"/>
      </w:pPr>
      <w:rPr>
        <w:u w:val="none"/>
      </w:rPr>
    </w:lvl>
    <w:lvl w:ilvl="6" w:tentative="0">
      <w:start w:val="1"/>
      <w:numFmt w:val="bullet"/>
      <w:lvlText w:val="●"/>
      <w:lvlJc w:val="left"/>
      <w:pPr>
        <w:ind w:left="5040" w:hanging="360"/>
      </w:pPr>
      <w:rPr>
        <w:u w:val="none"/>
      </w:rPr>
    </w:lvl>
    <w:lvl w:ilvl="7" w:tentative="0">
      <w:start w:val="1"/>
      <w:numFmt w:val="bullet"/>
      <w:lvlText w:val="○"/>
      <w:lvlJc w:val="left"/>
      <w:pPr>
        <w:ind w:left="5760" w:hanging="360"/>
      </w:pPr>
      <w:rPr>
        <w:u w:val="none"/>
      </w:rPr>
    </w:lvl>
    <w:lvl w:ilvl="8" w:tentative="0">
      <w:start w:val="1"/>
      <w:numFmt w:val="bullet"/>
      <w:lvlText w:val="■"/>
      <w:lvlJc w:val="left"/>
      <w:pPr>
        <w:ind w:left="6480" w:hanging="360"/>
      </w:pPr>
      <w:rPr>
        <w:u w:val="none"/>
      </w:rPr>
    </w:lvl>
  </w:abstractNum>
  <w:abstractNum w:abstractNumId="1">
    <w:nsid w:val="7EC77C2D"/>
    <w:multiLevelType w:val="multilevel"/>
    <w:tmpl w:val="7EC77C2D"/>
    <w:lvl w:ilvl="0" w:tentative="0">
      <w:start w:val="1"/>
      <w:numFmt w:val="bullet"/>
      <w:lvlText w:val="●"/>
      <w:lvlJc w:val="left"/>
      <w:pPr>
        <w:ind w:left="720" w:hanging="360"/>
      </w:pPr>
      <w:rPr>
        <w:u w:val="none"/>
      </w:rPr>
    </w:lvl>
    <w:lvl w:ilvl="1" w:tentative="0">
      <w:start w:val="1"/>
      <w:numFmt w:val="bullet"/>
      <w:lvlText w:val="○"/>
      <w:lvlJc w:val="left"/>
      <w:pPr>
        <w:ind w:left="1440" w:hanging="360"/>
      </w:pPr>
      <w:rPr>
        <w:u w:val="none"/>
      </w:rPr>
    </w:lvl>
    <w:lvl w:ilvl="2" w:tentative="0">
      <w:start w:val="1"/>
      <w:numFmt w:val="bullet"/>
      <w:lvlText w:val="■"/>
      <w:lvlJc w:val="left"/>
      <w:pPr>
        <w:ind w:left="2160" w:hanging="360"/>
      </w:pPr>
      <w:rPr>
        <w:u w:val="none"/>
      </w:rPr>
    </w:lvl>
    <w:lvl w:ilvl="3" w:tentative="0">
      <w:start w:val="1"/>
      <w:numFmt w:val="bullet"/>
      <w:lvlText w:val="●"/>
      <w:lvlJc w:val="left"/>
      <w:pPr>
        <w:ind w:left="2880" w:hanging="360"/>
      </w:pPr>
      <w:rPr>
        <w:u w:val="none"/>
      </w:rPr>
    </w:lvl>
    <w:lvl w:ilvl="4" w:tentative="0">
      <w:start w:val="1"/>
      <w:numFmt w:val="bullet"/>
      <w:lvlText w:val="○"/>
      <w:lvlJc w:val="left"/>
      <w:pPr>
        <w:ind w:left="3600" w:hanging="360"/>
      </w:pPr>
      <w:rPr>
        <w:u w:val="none"/>
      </w:rPr>
    </w:lvl>
    <w:lvl w:ilvl="5" w:tentative="0">
      <w:start w:val="1"/>
      <w:numFmt w:val="bullet"/>
      <w:lvlText w:val="■"/>
      <w:lvlJc w:val="left"/>
      <w:pPr>
        <w:ind w:left="4320" w:hanging="360"/>
      </w:pPr>
      <w:rPr>
        <w:u w:val="none"/>
      </w:rPr>
    </w:lvl>
    <w:lvl w:ilvl="6" w:tentative="0">
      <w:start w:val="1"/>
      <w:numFmt w:val="bullet"/>
      <w:lvlText w:val="●"/>
      <w:lvlJc w:val="left"/>
      <w:pPr>
        <w:ind w:left="5040" w:hanging="360"/>
      </w:pPr>
      <w:rPr>
        <w:u w:val="none"/>
      </w:rPr>
    </w:lvl>
    <w:lvl w:ilvl="7" w:tentative="0">
      <w:start w:val="1"/>
      <w:numFmt w:val="bullet"/>
      <w:lvlText w:val="○"/>
      <w:lvlJc w:val="left"/>
      <w:pPr>
        <w:ind w:left="5760" w:hanging="360"/>
      </w:pPr>
      <w:rPr>
        <w:u w:val="none"/>
      </w:rPr>
    </w:lvl>
    <w:lvl w:ilvl="8" w:tentative="0">
      <w:start w:val="1"/>
      <w:numFmt w:val="bullet"/>
      <w:lvlText w:val="■"/>
      <w:lvlJc w:val="left"/>
      <w:pPr>
        <w:ind w:left="6480" w:hanging="360"/>
      </w:pPr>
      <w:rPr>
        <w:u w:val="no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2MDMyNDI1t7A0NTA3NTRS0lEKTi0uzszPAykwrAUAUaxOTCwAAAA="/>
  </w:docVars>
  <w:rsids>
    <w:rsidRoot w:val="007910FF"/>
    <w:rsid w:val="001C2253"/>
    <w:rsid w:val="00402882"/>
    <w:rsid w:val="004B7D1E"/>
    <w:rsid w:val="006054D9"/>
    <w:rsid w:val="0060659B"/>
    <w:rsid w:val="006F203E"/>
    <w:rsid w:val="00785B67"/>
    <w:rsid w:val="007910FF"/>
    <w:rsid w:val="00797659"/>
    <w:rsid w:val="00A22B99"/>
    <w:rsid w:val="00DA2A0B"/>
    <w:rsid w:val="1016308B"/>
    <w:rsid w:val="5B41730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Arial" w:hAnsi="Arial" w:eastAsia="Arial" w:cs="Arial"/>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qFormat="1" w:unhideWhenUsed="0"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line="360" w:lineRule="auto"/>
      <w:jc w:val="both"/>
    </w:pPr>
    <w:rPr>
      <w:rFonts w:ascii="Arial" w:hAnsi="Arial" w:eastAsia="Arial" w:cs="Arial"/>
      <w:sz w:val="22"/>
      <w:szCs w:val="22"/>
      <w:lang w:val="en-GB" w:eastAsia="en-US" w:bidi="ar-SA"/>
    </w:rPr>
  </w:style>
  <w:style w:type="paragraph" w:styleId="2">
    <w:name w:val="heading 1"/>
    <w:basedOn w:val="1"/>
    <w:next w:val="1"/>
    <w:qFormat/>
    <w:uiPriority w:val="9"/>
    <w:pPr>
      <w:keepNext/>
      <w:keepLines/>
      <w:spacing w:before="400" w:after="120"/>
      <w:outlineLvl w:val="0"/>
    </w:pPr>
    <w:rPr>
      <w:b/>
      <w:sz w:val="28"/>
      <w:szCs w:val="28"/>
    </w:rPr>
  </w:style>
  <w:style w:type="paragraph" w:styleId="3">
    <w:name w:val="heading 2"/>
    <w:basedOn w:val="1"/>
    <w:next w:val="1"/>
    <w:unhideWhenUsed/>
    <w:qFormat/>
    <w:uiPriority w:val="9"/>
    <w:pPr>
      <w:keepNext/>
      <w:keepLines/>
      <w:spacing w:before="360" w:after="120"/>
      <w:outlineLvl w:val="1"/>
    </w:pPr>
    <w:rPr>
      <w:b/>
      <w:sz w:val="24"/>
      <w:szCs w:val="24"/>
    </w:rPr>
  </w:style>
  <w:style w:type="paragraph" w:styleId="4">
    <w:name w:val="heading 3"/>
    <w:basedOn w:val="1"/>
    <w:next w:val="1"/>
    <w:semiHidden/>
    <w:unhideWhenUsed/>
    <w:qFormat/>
    <w:uiPriority w:val="9"/>
    <w:pPr>
      <w:keepNext/>
      <w:keepLines/>
      <w:spacing w:before="320" w:after="80"/>
      <w:outlineLvl w:val="2"/>
    </w:pPr>
    <w:rPr>
      <w:color w:val="434343"/>
      <w:sz w:val="28"/>
      <w:szCs w:val="28"/>
    </w:rPr>
  </w:style>
  <w:style w:type="paragraph" w:styleId="5">
    <w:name w:val="heading 4"/>
    <w:basedOn w:val="1"/>
    <w:next w:val="1"/>
    <w:semiHidden/>
    <w:unhideWhenUsed/>
    <w:qFormat/>
    <w:uiPriority w:val="9"/>
    <w:pPr>
      <w:keepNext/>
      <w:keepLines/>
      <w:spacing w:before="280" w:after="80"/>
      <w:outlineLvl w:val="3"/>
    </w:pPr>
    <w:rPr>
      <w:color w:val="666666"/>
      <w:sz w:val="24"/>
      <w:szCs w:val="24"/>
    </w:rPr>
  </w:style>
  <w:style w:type="paragraph" w:styleId="6">
    <w:name w:val="heading 5"/>
    <w:basedOn w:val="1"/>
    <w:next w:val="1"/>
    <w:semiHidden/>
    <w:unhideWhenUsed/>
    <w:qFormat/>
    <w:uiPriority w:val="9"/>
    <w:pPr>
      <w:keepNext/>
      <w:keepLines/>
      <w:spacing w:before="240" w:after="80"/>
      <w:outlineLvl w:val="4"/>
    </w:pPr>
    <w:rPr>
      <w:color w:val="666666"/>
    </w:rPr>
  </w:style>
  <w:style w:type="paragraph" w:styleId="7">
    <w:name w:val="heading 6"/>
    <w:basedOn w:val="1"/>
    <w:next w:val="1"/>
    <w:semiHidden/>
    <w:unhideWhenUsed/>
    <w:qFormat/>
    <w:uiPriority w:val="9"/>
    <w:pPr>
      <w:keepNext/>
      <w:keepLines/>
      <w:spacing w:before="240" w:after="80"/>
      <w:outlineLvl w:val="5"/>
    </w:pPr>
    <w:rPr>
      <w:i/>
      <w:color w:val="666666"/>
    </w:rPr>
  </w:style>
  <w:style w:type="character" w:default="1" w:styleId="8">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10">
    <w:name w:val="footer"/>
    <w:basedOn w:val="1"/>
    <w:link w:val="18"/>
    <w:unhideWhenUsed/>
    <w:uiPriority w:val="99"/>
    <w:pPr>
      <w:tabs>
        <w:tab w:val="center" w:pos="4680"/>
        <w:tab w:val="right" w:pos="9360"/>
      </w:tabs>
      <w:spacing w:line="240" w:lineRule="auto"/>
    </w:pPr>
  </w:style>
  <w:style w:type="paragraph" w:styleId="11">
    <w:name w:val="header"/>
    <w:basedOn w:val="1"/>
    <w:link w:val="17"/>
    <w:unhideWhenUsed/>
    <w:qFormat/>
    <w:uiPriority w:val="99"/>
    <w:pPr>
      <w:tabs>
        <w:tab w:val="center" w:pos="4680"/>
        <w:tab w:val="right" w:pos="9360"/>
      </w:tabs>
      <w:spacing w:line="240" w:lineRule="auto"/>
    </w:pPr>
  </w:style>
  <w:style w:type="character" w:styleId="12">
    <w:name w:val="Hyperlink"/>
    <w:basedOn w:val="8"/>
    <w:unhideWhenUsed/>
    <w:qFormat/>
    <w:uiPriority w:val="99"/>
    <w:rPr>
      <w:color w:val="0000FF" w:themeColor="hyperlink"/>
      <w:u w:val="single"/>
      <w14:textFill>
        <w14:solidFill>
          <w14:schemeClr w14:val="hlink"/>
        </w14:solidFill>
      </w14:textFill>
    </w:rPr>
  </w:style>
  <w:style w:type="paragraph" w:styleId="13">
    <w:name w:val="Subtitle"/>
    <w:basedOn w:val="1"/>
    <w:next w:val="1"/>
    <w:qFormat/>
    <w:uiPriority w:val="11"/>
    <w:pPr>
      <w:keepNext/>
      <w:keepLines/>
      <w:spacing w:after="320"/>
    </w:pPr>
    <w:rPr>
      <w:color w:val="666666"/>
      <w:sz w:val="30"/>
      <w:szCs w:val="30"/>
    </w:rPr>
  </w:style>
  <w:style w:type="paragraph" w:styleId="14">
    <w:name w:val="Title"/>
    <w:basedOn w:val="1"/>
    <w:next w:val="1"/>
    <w:qFormat/>
    <w:uiPriority w:val="10"/>
    <w:pPr>
      <w:keepNext/>
      <w:keepLines/>
      <w:spacing w:after="60"/>
    </w:pPr>
    <w:rPr>
      <w:sz w:val="52"/>
      <w:szCs w:val="52"/>
    </w:rPr>
  </w:style>
  <w:style w:type="paragraph" w:styleId="15">
    <w:name w:val="toc 1"/>
    <w:basedOn w:val="1"/>
    <w:next w:val="1"/>
    <w:unhideWhenUsed/>
    <w:qFormat/>
    <w:uiPriority w:val="39"/>
    <w:pPr>
      <w:spacing w:after="100"/>
    </w:pPr>
  </w:style>
  <w:style w:type="paragraph" w:styleId="16">
    <w:name w:val="toc 2"/>
    <w:basedOn w:val="1"/>
    <w:next w:val="1"/>
    <w:unhideWhenUsed/>
    <w:qFormat/>
    <w:uiPriority w:val="39"/>
    <w:pPr>
      <w:spacing w:after="100"/>
      <w:ind w:left="220"/>
    </w:pPr>
  </w:style>
  <w:style w:type="character" w:customStyle="1" w:styleId="17">
    <w:name w:val="Header Char"/>
    <w:basedOn w:val="8"/>
    <w:link w:val="11"/>
    <w:qFormat/>
    <w:uiPriority w:val="99"/>
  </w:style>
  <w:style w:type="character" w:customStyle="1" w:styleId="18">
    <w:name w:val="Footer Char"/>
    <w:basedOn w:val="8"/>
    <w:link w:val="10"/>
    <w:qFormat/>
    <w:uiPriority w:val="99"/>
  </w:style>
  <w:style w:type="paragraph" w:styleId="19">
    <w:name w:val="No Spacing"/>
    <w:basedOn w:val="1"/>
    <w:qFormat/>
    <w:uiPriority w:val="99"/>
    <w:pPr>
      <w:spacing w:before="100" w:beforeAutospacing="1" w:line="240" w:lineRule="auto"/>
      <w:jc w:val="left"/>
    </w:pPr>
    <w:rPr>
      <w:rFonts w:ascii="DengXian" w:hAnsi="DengXian" w:eastAsia="DengXian" w:cs="Times New Roman"/>
      <w:lang w:eastAsia="en-GB"/>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customXml" Target="../customXml/item1.xml"/><Relationship Id="rId16" Type="http://schemas.openxmlformats.org/officeDocument/2006/relationships/numbering" Target="numbering.xml"/><Relationship Id="rId15" Type="http://schemas.openxmlformats.org/officeDocument/2006/relationships/image" Target="media/image4.png"/><Relationship Id="rId14" Type="http://schemas.openxmlformats.org/officeDocument/2006/relationships/image" Target="media/image3.jpeg"/><Relationship Id="rId13" Type="http://schemas.openxmlformats.org/officeDocument/2006/relationships/image" Target="media/image2.jpeg"/><Relationship Id="rId12" Type="http://schemas.openxmlformats.org/officeDocument/2006/relationships/image" Target="media/image1.jpeg"/><Relationship Id="rId11" Type="http://schemas.openxmlformats.org/officeDocument/2006/relationships/theme" Target="theme/theme1.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c1DxLusuqNM/u5VJ/yiOpcJgEgA==">AMUW2mWCxjjYL1hahd7f5q7iiqNSlxKM70KeitYiuSR8WgGbN2Cm6SY6pfsFA0uiHank9gObrfwTaoVMuOkqdYrdLt48075LmKBpWAhI8wK0b5z4wwFfNWAN7uFZrT9ESlsSPhSZo/43dMQECeGUkP4/shTmDEXgHNXSYuesqLpeMhujNmKl/Y8vev/MePunuXoe1BWsMLR+X2GSfXg2aDcW9iSFwaZEjQg2KC+FVCck4rxPSpXjyER132z6I7hiVT5VyIv0rdN/3JW2I4/YH9Yrso4Jb3c89ur6Zxj/F2g6e5yqUl11lVor3VCILC+HbLM2k5VmszNR</go:docsCustomData>
</go:gDocsCustomXmlDataStorage>
</file>

<file path=customXml/itemProps1.xml><?xml version="1.0" encoding="utf-8"?>
<ds:datastoreItem xmlns:ds="http://schemas.openxmlformats.org/officeDocument/2006/customXml" ds:itemID="{11111111-1234-1234-1234-123412341234}">
  <ds:schemaRefs/>
</ds:datastoreItem>
</file>

<file path=docProps/app.xml><?xml version="1.0" encoding="utf-8"?>
<Properties xmlns="http://schemas.openxmlformats.org/officeDocument/2006/extended-properties" xmlns:vt="http://schemas.openxmlformats.org/officeDocument/2006/docPropsVTypes">
  <Template>Normal</Template>
  <Pages>13</Pages>
  <Words>3766</Words>
  <Characters>21472</Characters>
  <Lines>178</Lines>
  <Paragraphs>50</Paragraphs>
  <TotalTime>40</TotalTime>
  <ScaleCrop>false</ScaleCrop>
  <LinksUpToDate>false</LinksUpToDate>
  <CharactersWithSpaces>25188</CharactersWithSpaces>
  <Application>WPS Office_11.2.0.11254_F1E327BC-269C-435d-A152-05C5408002CA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2022-08-29T02:26:00Z</dcterms:created>
  <dc:creator>iulian teaca</dc:creator>
  <cp:lastModifiedBy>teaca</cp:lastModifiedBy>
  <dcterms:modified xsi:type="dcterms:W3CDTF">2022-08-29T03:31:40Z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1033-11.2.0.11254</vt:lpwstr>
  </property>
  <property fmtid="{D5CDD505-2E9C-101B-9397-08002B2CF9AE}" pid="3" name="ICV">
    <vt:lpwstr>3AFA8FAFEA9F4891B95F2965CDC98A13</vt:lpwstr>
  </property>
</Properties>
</file>