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3033F" w14:textId="77777777" w:rsidR="00766884" w:rsidRDefault="00766884" w:rsidP="00766884">
      <w:pPr>
        <w:pStyle w:val="NormalWeb"/>
        <w:spacing w:before="0" w:beforeAutospacing="0" w:after="0" w:afterAutospacing="0"/>
        <w:rPr>
          <w:rFonts w:ascii="Arial" w:hAnsi="Arial" w:cs="Arial"/>
          <w:b/>
          <w:bCs/>
          <w:color w:val="000000"/>
          <w:sz w:val="27"/>
          <w:szCs w:val="27"/>
        </w:rPr>
      </w:pPr>
      <w:r>
        <w:rPr>
          <w:rFonts w:ascii="Arial" w:hAnsi="Arial" w:cs="Arial"/>
          <w:b/>
          <w:bCs/>
          <w:color w:val="000000"/>
          <w:sz w:val="27"/>
          <w:szCs w:val="27"/>
        </w:rPr>
        <w:t>Module name: Professional Career Development</w:t>
      </w:r>
    </w:p>
    <w:p w14:paraId="088039F1" w14:textId="77777777"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 xml:space="preserve">Lecturer name: Muhammad </w:t>
      </w:r>
      <w:proofErr w:type="spellStart"/>
      <w:r>
        <w:rPr>
          <w:rFonts w:ascii="Arial" w:hAnsi="Arial" w:cs="Arial"/>
          <w:color w:val="000000"/>
          <w:sz w:val="27"/>
          <w:szCs w:val="27"/>
        </w:rPr>
        <w:t>Cassamo</w:t>
      </w:r>
      <w:proofErr w:type="spellEnd"/>
    </w:p>
    <w:p w14:paraId="3A3B92EA" w14:textId="77777777"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Student name: Lukas Ferenc (2423020)</w:t>
      </w:r>
    </w:p>
    <w:p w14:paraId="1A7FF5F9" w14:textId="77777777" w:rsidR="00766884" w:rsidRDefault="00766884" w:rsidP="00766884">
      <w:pPr>
        <w:pStyle w:val="NormalWeb"/>
        <w:spacing w:before="0" w:beforeAutospacing="0" w:after="120" w:afterAutospacing="0"/>
        <w:rPr>
          <w:rFonts w:ascii="Arial" w:hAnsi="Arial" w:cs="Arial"/>
          <w:b/>
          <w:bCs/>
          <w:color w:val="000000"/>
          <w:sz w:val="27"/>
          <w:szCs w:val="27"/>
        </w:rPr>
      </w:pPr>
      <w:r>
        <w:rPr>
          <w:rFonts w:ascii="Arial" w:hAnsi="Arial" w:cs="Arial"/>
          <w:b/>
          <w:bCs/>
          <w:color w:val="000000"/>
          <w:sz w:val="27"/>
          <w:szCs w:val="27"/>
        </w:rPr>
        <w:t> </w:t>
      </w:r>
    </w:p>
    <w:p w14:paraId="3A0C1891" w14:textId="77777777" w:rsidR="00766884" w:rsidRDefault="00766884" w:rsidP="00766884">
      <w:pPr>
        <w:pStyle w:val="NormalWeb"/>
        <w:spacing w:before="0" w:beforeAutospacing="0" w:after="120" w:afterAutospacing="0"/>
        <w:rPr>
          <w:rFonts w:ascii="Arial" w:hAnsi="Arial" w:cs="Arial"/>
          <w:b/>
          <w:bCs/>
          <w:color w:val="000000"/>
          <w:sz w:val="27"/>
          <w:szCs w:val="27"/>
        </w:rPr>
      </w:pPr>
      <w:r>
        <w:rPr>
          <w:rFonts w:ascii="Arial" w:hAnsi="Arial" w:cs="Arial"/>
          <w:b/>
          <w:bCs/>
          <w:color w:val="000000"/>
          <w:sz w:val="27"/>
          <w:szCs w:val="27"/>
        </w:rPr>
        <w:t> </w:t>
      </w:r>
    </w:p>
    <w:p w14:paraId="7D17349C" w14:textId="77777777" w:rsidR="00766884" w:rsidRDefault="00766884" w:rsidP="00766884">
      <w:pPr>
        <w:pStyle w:val="NormalWeb"/>
        <w:spacing w:before="0" w:beforeAutospacing="0" w:after="120" w:afterAutospacing="0"/>
        <w:rPr>
          <w:rFonts w:ascii="Arial" w:hAnsi="Arial" w:cs="Arial"/>
          <w:b/>
          <w:bCs/>
          <w:color w:val="000000"/>
          <w:sz w:val="27"/>
          <w:szCs w:val="27"/>
        </w:rPr>
      </w:pPr>
      <w:r>
        <w:rPr>
          <w:rFonts w:ascii="Arial" w:hAnsi="Arial" w:cs="Arial"/>
          <w:b/>
          <w:bCs/>
          <w:color w:val="000000"/>
          <w:sz w:val="27"/>
          <w:szCs w:val="27"/>
        </w:rPr>
        <w:t> </w:t>
      </w:r>
    </w:p>
    <w:p w14:paraId="7E4A3EE0" w14:textId="77777777" w:rsidR="00766884" w:rsidRDefault="00766884" w:rsidP="00766884">
      <w:pPr>
        <w:pStyle w:val="NormalWeb"/>
        <w:spacing w:before="0" w:beforeAutospacing="0" w:after="120" w:afterAutospacing="0"/>
        <w:rPr>
          <w:rFonts w:ascii="Arial" w:hAnsi="Arial" w:cs="Arial"/>
          <w:b/>
          <w:bCs/>
          <w:color w:val="000000"/>
          <w:sz w:val="27"/>
          <w:szCs w:val="27"/>
        </w:rPr>
      </w:pPr>
      <w:r>
        <w:rPr>
          <w:rFonts w:ascii="Arial" w:hAnsi="Arial" w:cs="Arial"/>
          <w:b/>
          <w:bCs/>
          <w:color w:val="000000"/>
          <w:sz w:val="27"/>
          <w:szCs w:val="27"/>
        </w:rPr>
        <w:t>Rolfe`s reflective cycle</w:t>
      </w:r>
    </w:p>
    <w:p w14:paraId="015B2179" w14:textId="77777777" w:rsidR="00766884" w:rsidRDefault="00766884" w:rsidP="00766884">
      <w:pPr>
        <w:pStyle w:val="NormalWeb"/>
        <w:spacing w:before="0" w:beforeAutospacing="0" w:after="120" w:afterAutospacing="0"/>
        <w:rPr>
          <w:rFonts w:ascii="Arial" w:hAnsi="Arial" w:cs="Arial"/>
          <w:b/>
          <w:bCs/>
          <w:color w:val="000000"/>
          <w:sz w:val="27"/>
          <w:szCs w:val="27"/>
        </w:rPr>
      </w:pPr>
      <w:r>
        <w:rPr>
          <w:rFonts w:ascii="Arial" w:hAnsi="Arial" w:cs="Arial"/>
          <w:b/>
          <w:bCs/>
          <w:color w:val="000000"/>
          <w:sz w:val="27"/>
          <w:szCs w:val="27"/>
        </w:rPr>
        <w:t> </w:t>
      </w:r>
    </w:p>
    <w:p w14:paraId="37234D1A" w14:textId="77777777" w:rsidR="00766884" w:rsidRDefault="00766884" w:rsidP="00766884">
      <w:pPr>
        <w:pStyle w:val="NormalWeb"/>
        <w:spacing w:before="0" w:beforeAutospacing="0" w:after="120" w:afterAutospacing="0"/>
        <w:rPr>
          <w:rFonts w:ascii="Arial" w:hAnsi="Arial" w:cs="Arial"/>
          <w:b/>
          <w:bCs/>
          <w:color w:val="000000"/>
          <w:sz w:val="27"/>
          <w:szCs w:val="27"/>
        </w:rPr>
      </w:pPr>
    </w:p>
    <w:p w14:paraId="201FC972" w14:textId="6786BD91"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b/>
          <w:bCs/>
          <w:color w:val="000000"/>
          <w:sz w:val="27"/>
          <w:szCs w:val="27"/>
        </w:rPr>
        <w:t>Introduction</w:t>
      </w:r>
    </w:p>
    <w:p w14:paraId="7E7FCD83" w14:textId="77777777"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Professional development is a lifelong process that includes intentional improvement, self-awareness, and ongoing learning. I worked with a variety of theoretical models and tools during the Professional Career Development (PCD401) module, which influenced how I perceive career planning and personal development. I critically assess the abilities and knowledge I have gained in this reflective essay using the reflective model developed by Rolfe et al. (2001) "What? So What? Now What?" Myers-Briggs Type Indicator (MBTI), Pragmatism personality theory, Maslow's Hierarchy of Needs, SMART goals, Johari Window, SWOT analysis, and the Ikigai model are some of the theories I study. Using scholarly references as support, I will illustrate how these have been used—or not—in my professional and personal growth.</w:t>
      </w:r>
    </w:p>
    <w:p w14:paraId="07FC21A7" w14:textId="77777777"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 </w:t>
      </w:r>
    </w:p>
    <w:p w14:paraId="6EA3B38B" w14:textId="77777777" w:rsidR="00766884" w:rsidRDefault="00766884" w:rsidP="00766884">
      <w:pPr>
        <w:pStyle w:val="NormalWeb"/>
        <w:spacing w:before="0" w:beforeAutospacing="0" w:after="120" w:afterAutospacing="0"/>
        <w:rPr>
          <w:rFonts w:ascii="Arial" w:hAnsi="Arial" w:cs="Arial"/>
          <w:b/>
          <w:bCs/>
          <w:color w:val="000000"/>
          <w:sz w:val="27"/>
          <w:szCs w:val="27"/>
        </w:rPr>
      </w:pPr>
      <w:r>
        <w:rPr>
          <w:rFonts w:ascii="Arial" w:hAnsi="Arial" w:cs="Arial"/>
          <w:b/>
          <w:bCs/>
          <w:color w:val="000000"/>
          <w:sz w:val="27"/>
          <w:szCs w:val="27"/>
        </w:rPr>
        <w:t>What? – Description of My Experience</w:t>
      </w:r>
    </w:p>
    <w:p w14:paraId="192BDE53" w14:textId="73F0E3EB"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W</w:t>
      </w:r>
      <w:r>
        <w:rPr>
          <w:color w:val="000000"/>
          <w:sz w:val="27"/>
          <w:szCs w:val="27"/>
        </w:rPr>
        <w:t>e</w:t>
      </w:r>
      <w:r>
        <w:rPr>
          <w:rFonts w:ascii="Arial" w:hAnsi="Arial" w:cs="Arial"/>
          <w:color w:val="000000"/>
          <w:sz w:val="27"/>
          <w:szCs w:val="27"/>
        </w:rPr>
        <w:t xml:space="preserve"> learnt about </w:t>
      </w:r>
      <w:r>
        <w:rPr>
          <w:rFonts w:ascii="Arial" w:hAnsi="Arial" w:cs="Arial"/>
          <w:color w:val="000000"/>
          <w:sz w:val="27"/>
          <w:szCs w:val="27"/>
        </w:rPr>
        <w:t>several</w:t>
      </w:r>
      <w:r>
        <w:rPr>
          <w:rFonts w:ascii="Arial" w:hAnsi="Arial" w:cs="Arial"/>
          <w:color w:val="000000"/>
          <w:sz w:val="27"/>
          <w:szCs w:val="27"/>
        </w:rPr>
        <w:t xml:space="preserve"> models intended to improve our self-awareness, goal setting, and career planning during the Professional Career Development lectures. SWOT analysis was one of the first tools I used. </w:t>
      </w:r>
      <w:r>
        <w:rPr>
          <w:rFonts w:ascii="Arial" w:hAnsi="Arial" w:cs="Arial"/>
          <w:color w:val="000000"/>
          <w:sz w:val="27"/>
          <w:szCs w:val="27"/>
        </w:rPr>
        <w:t>To determine</w:t>
      </w:r>
      <w:r>
        <w:rPr>
          <w:rFonts w:ascii="Arial" w:hAnsi="Arial" w:cs="Arial"/>
          <w:color w:val="000000"/>
          <w:sz w:val="27"/>
          <w:szCs w:val="27"/>
        </w:rPr>
        <w:t xml:space="preserve"> my strengths (like problem-solving), weaknesses (like time management), opportunities (like university resources), and threats (like a competitive job market), I made a personal SWOT analysis. </w:t>
      </w:r>
      <w:r>
        <w:rPr>
          <w:rFonts w:ascii="Arial" w:hAnsi="Arial" w:cs="Arial"/>
          <w:color w:val="000000"/>
          <w:sz w:val="27"/>
          <w:szCs w:val="27"/>
        </w:rPr>
        <w:br/>
        <w:t xml:space="preserve">We also looked at a model that encourages self-disclosure and feedback: the Johari Window. When I finished the Johari Window exercise in class, I </w:t>
      </w:r>
      <w:r>
        <w:rPr>
          <w:rFonts w:ascii="Arial" w:hAnsi="Arial" w:cs="Arial"/>
          <w:color w:val="000000"/>
          <w:sz w:val="27"/>
          <w:szCs w:val="27"/>
        </w:rPr>
        <w:t>realized</w:t>
      </w:r>
      <w:r>
        <w:rPr>
          <w:rFonts w:ascii="Arial" w:hAnsi="Arial" w:cs="Arial"/>
          <w:color w:val="000000"/>
          <w:sz w:val="27"/>
          <w:szCs w:val="27"/>
        </w:rPr>
        <w:t xml:space="preserve"> how much my opinion of myself was different from other people's. In the end, this inspired me to be more open with peers, even though it was eye-opening and a little awkward. </w:t>
      </w:r>
      <w:r>
        <w:rPr>
          <w:rFonts w:ascii="Arial" w:hAnsi="Arial" w:cs="Arial"/>
          <w:color w:val="000000"/>
          <w:sz w:val="27"/>
          <w:szCs w:val="27"/>
        </w:rPr>
        <w:br/>
        <w:t xml:space="preserve">We took the MBTI test in a different session, and I was given the ISTP personality type closely associated with a practical thinker. This supported my preference for practical problem-solving and logic, which I had always sensed </w:t>
      </w:r>
      <w:r>
        <w:rPr>
          <w:rFonts w:ascii="Arial" w:hAnsi="Arial" w:cs="Arial"/>
          <w:color w:val="000000"/>
          <w:sz w:val="27"/>
          <w:szCs w:val="27"/>
        </w:rPr>
        <w:lastRenderedPageBreak/>
        <w:t>but had never fully comprehended in a theoretical setting. </w:t>
      </w:r>
      <w:r>
        <w:rPr>
          <w:rFonts w:ascii="Arial" w:hAnsi="Arial" w:cs="Arial"/>
          <w:color w:val="000000"/>
          <w:sz w:val="27"/>
          <w:szCs w:val="27"/>
        </w:rPr>
        <w:br/>
        <w:t>Another important subject was SMART goals. I created specific academic goals using this model, like starting two weeks ahead of time to improve my assignment submissions. </w:t>
      </w:r>
      <w:r>
        <w:rPr>
          <w:rFonts w:ascii="Arial" w:hAnsi="Arial" w:cs="Arial"/>
          <w:color w:val="000000"/>
          <w:sz w:val="27"/>
          <w:szCs w:val="27"/>
        </w:rPr>
        <w:br/>
        <w:t>We then looked at the Ikigai model and Maslow's Hierarchy of Needs. Both provided frameworks for comprehending life purpose and personal motivation. I hadn't thought about how my sense of purpose could influence my career choices before, but these models made me really think about what motivates me.</w:t>
      </w:r>
    </w:p>
    <w:p w14:paraId="42FCCF2C" w14:textId="5F64DC57"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 xml:space="preserve">In addition to these models, we also discussed the importance of personal values and ethical decision-making. One lecture focused on identifying what truly matters to us beyond professional success. I reflected on moments in my life when I had to choose between doing what was easy and what was right, and I </w:t>
      </w:r>
      <w:r>
        <w:rPr>
          <w:rFonts w:ascii="Arial" w:hAnsi="Arial" w:cs="Arial"/>
          <w:color w:val="000000"/>
          <w:sz w:val="27"/>
          <w:szCs w:val="27"/>
        </w:rPr>
        <w:t>realized</w:t>
      </w:r>
      <w:r>
        <w:rPr>
          <w:rFonts w:ascii="Arial" w:hAnsi="Arial" w:cs="Arial"/>
          <w:color w:val="000000"/>
          <w:sz w:val="27"/>
          <w:szCs w:val="27"/>
        </w:rPr>
        <w:t xml:space="preserve"> that values such as honesty, compassion, and resilience shape not only our careers but our identities. This idea helped me to connect more deeply with the Ikigai model, as it encouraged me to look inward and clarify what I stand for — not just what I’m good at.</w:t>
      </w:r>
    </w:p>
    <w:p w14:paraId="77A4AD96" w14:textId="77777777"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 </w:t>
      </w:r>
    </w:p>
    <w:p w14:paraId="03A45532" w14:textId="77777777" w:rsidR="00766884" w:rsidRDefault="00766884" w:rsidP="00766884">
      <w:pPr>
        <w:pStyle w:val="NormalWeb"/>
        <w:spacing w:before="0" w:beforeAutospacing="0" w:after="120" w:afterAutospacing="0"/>
        <w:rPr>
          <w:rFonts w:ascii="Arial" w:hAnsi="Arial" w:cs="Arial"/>
          <w:b/>
          <w:bCs/>
          <w:color w:val="000000"/>
          <w:sz w:val="27"/>
          <w:szCs w:val="27"/>
        </w:rPr>
      </w:pPr>
      <w:r>
        <w:rPr>
          <w:rFonts w:ascii="Arial" w:hAnsi="Arial" w:cs="Arial"/>
          <w:b/>
          <w:bCs/>
          <w:color w:val="000000"/>
          <w:sz w:val="27"/>
          <w:szCs w:val="27"/>
        </w:rPr>
        <w:t>So What? – Analysis of What I’ve Learned</w:t>
      </w:r>
    </w:p>
    <w:p w14:paraId="526522D3" w14:textId="223E68DF"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 xml:space="preserve">Every theory offered a unique perspective that helped me better understand who I am and advance my career. I was able to examine both external and internal factors influencing my career in an </w:t>
      </w:r>
      <w:r>
        <w:rPr>
          <w:rFonts w:ascii="Arial" w:hAnsi="Arial" w:cs="Arial"/>
          <w:color w:val="000000"/>
          <w:sz w:val="27"/>
          <w:szCs w:val="27"/>
        </w:rPr>
        <w:t>organized</w:t>
      </w:r>
      <w:r>
        <w:rPr>
          <w:rFonts w:ascii="Arial" w:hAnsi="Arial" w:cs="Arial"/>
          <w:color w:val="000000"/>
          <w:sz w:val="27"/>
          <w:szCs w:val="27"/>
        </w:rPr>
        <w:t xml:space="preserve"> manner thanks to my SWOT analysis (</w:t>
      </w:r>
      <w:proofErr w:type="spellStart"/>
      <w:r>
        <w:rPr>
          <w:rFonts w:ascii="Arial" w:hAnsi="Arial" w:cs="Arial"/>
          <w:color w:val="000000"/>
          <w:sz w:val="27"/>
          <w:szCs w:val="27"/>
        </w:rPr>
        <w:t>Gürel</w:t>
      </w:r>
      <w:proofErr w:type="spellEnd"/>
      <w:r>
        <w:rPr>
          <w:rFonts w:ascii="Arial" w:hAnsi="Arial" w:cs="Arial"/>
          <w:color w:val="000000"/>
          <w:sz w:val="27"/>
          <w:szCs w:val="27"/>
        </w:rPr>
        <w:t xml:space="preserve"> &amp; Tat, 2017). The most important lesson I learnt was that, despite my technical prowess, I still need to work on my </w:t>
      </w:r>
      <w:r>
        <w:rPr>
          <w:rFonts w:ascii="Arial" w:hAnsi="Arial" w:cs="Arial"/>
          <w:color w:val="000000"/>
          <w:sz w:val="27"/>
          <w:szCs w:val="27"/>
        </w:rPr>
        <w:t>organizational</w:t>
      </w:r>
      <w:r>
        <w:rPr>
          <w:rFonts w:ascii="Arial" w:hAnsi="Arial" w:cs="Arial"/>
          <w:color w:val="000000"/>
          <w:sz w:val="27"/>
          <w:szCs w:val="27"/>
        </w:rPr>
        <w:t xml:space="preserve"> abilities. I've been inspired to use planners and </w:t>
      </w:r>
      <w:r>
        <w:rPr>
          <w:rFonts w:ascii="Arial" w:hAnsi="Arial" w:cs="Arial"/>
          <w:color w:val="000000"/>
          <w:sz w:val="27"/>
          <w:szCs w:val="27"/>
        </w:rPr>
        <w:t>prioritization</w:t>
      </w:r>
      <w:r>
        <w:rPr>
          <w:rFonts w:ascii="Arial" w:hAnsi="Arial" w:cs="Arial"/>
          <w:color w:val="000000"/>
          <w:sz w:val="27"/>
          <w:szCs w:val="27"/>
        </w:rPr>
        <w:t xml:space="preserve"> tools by this </w:t>
      </w:r>
      <w:r>
        <w:rPr>
          <w:rFonts w:ascii="Arial" w:hAnsi="Arial" w:cs="Arial"/>
          <w:color w:val="000000"/>
          <w:sz w:val="27"/>
          <w:szCs w:val="27"/>
        </w:rPr>
        <w:t>realization</w:t>
      </w:r>
      <w:r>
        <w:rPr>
          <w:rFonts w:ascii="Arial" w:hAnsi="Arial" w:cs="Arial"/>
          <w:color w:val="000000"/>
          <w:sz w:val="27"/>
          <w:szCs w:val="27"/>
        </w:rPr>
        <w:t>. </w:t>
      </w:r>
      <w:r>
        <w:rPr>
          <w:rFonts w:ascii="Arial" w:hAnsi="Arial" w:cs="Arial"/>
          <w:color w:val="000000"/>
          <w:sz w:val="27"/>
          <w:szCs w:val="27"/>
        </w:rPr>
        <w:br/>
        <w:t xml:space="preserve">I learnt the importance of feedback and the effects of blind spots from the Johari Window (Luft &amp; Ingham, 1955). I discovered that enhancing interpersonal relationships is just as important to professional development as acquiring new skills. I've observed an increase in trust and collaboration after being more forthcoming with peers and tutors. These are critical abilities in any workplace (McCarthy &amp; </w:t>
      </w:r>
      <w:proofErr w:type="spellStart"/>
      <w:r>
        <w:rPr>
          <w:rFonts w:ascii="Arial" w:hAnsi="Arial" w:cs="Arial"/>
          <w:color w:val="000000"/>
          <w:sz w:val="27"/>
          <w:szCs w:val="27"/>
        </w:rPr>
        <w:t>Garavan</w:t>
      </w:r>
      <w:proofErr w:type="spellEnd"/>
      <w:r>
        <w:rPr>
          <w:rFonts w:ascii="Arial" w:hAnsi="Arial" w:cs="Arial"/>
          <w:color w:val="000000"/>
          <w:sz w:val="27"/>
          <w:szCs w:val="27"/>
        </w:rPr>
        <w:t>, 2006).</w:t>
      </w:r>
    </w:p>
    <w:p w14:paraId="0CF5D352" w14:textId="77777777"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I was able to comprehend why I prefer practical, hands-on learning over extensive planning thanks to the MBTI and Pragmatism personality theories (Myers &amp; Briggs Foundation, 2018). Since I am a pragmatist, I have begun to select learning opportunities that let me put my knowledge to use right away, like project-based work or volunteer work, rather than just theoretical ones.</w:t>
      </w:r>
    </w:p>
    <w:p w14:paraId="4DB89C06" w14:textId="70987B8E"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 xml:space="preserve">Making SMART goals was a life-changing experience. I started to take charge of my own development by putting precise, quantifiable goals in writing </w:t>
      </w:r>
      <w:r>
        <w:rPr>
          <w:rFonts w:ascii="Arial" w:hAnsi="Arial" w:cs="Arial"/>
          <w:color w:val="000000"/>
          <w:sz w:val="27"/>
          <w:szCs w:val="27"/>
        </w:rPr>
        <w:lastRenderedPageBreak/>
        <w:t>(Doran, 1981). For instance, I made it a SMART goal to attend two workshops and have the career service review my resume to improve it. After achieving this objective, I felt more focused. </w:t>
      </w:r>
      <w:r>
        <w:rPr>
          <w:rFonts w:ascii="Arial" w:hAnsi="Arial" w:cs="Arial"/>
          <w:color w:val="000000"/>
          <w:sz w:val="27"/>
          <w:szCs w:val="27"/>
        </w:rPr>
        <w:br/>
        <w:t>The Ikigai model held special significance. It inspired me to think about what constitutes a fulfilling career rather than just "getting a job" (Garcia &amp; Miralles, 2017). I began to enquire, "What do I love? What is needed in the world? These enquiries have motivated me to </w:t>
      </w:r>
      <w:r>
        <w:rPr>
          <w:rFonts w:ascii="Arial" w:hAnsi="Arial" w:cs="Arial"/>
          <w:color w:val="000000"/>
          <w:sz w:val="27"/>
          <w:szCs w:val="27"/>
        </w:rPr>
        <w:t>investigate positions</w:t>
      </w:r>
      <w:r>
        <w:rPr>
          <w:rFonts w:ascii="Arial" w:hAnsi="Arial" w:cs="Arial"/>
          <w:color w:val="000000"/>
          <w:sz w:val="27"/>
          <w:szCs w:val="27"/>
        </w:rPr>
        <w:t xml:space="preserve"> that fit with my values, like sustainable business or community development.</w:t>
      </w:r>
    </w:p>
    <w:p w14:paraId="3E46649A" w14:textId="77777777"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I learnt from Maslow's Hierarchy of Needs (1943) that my motivation differs according to my sense of security. For instance, I found it difficult to concentrate on my self-actualization objectives during a time of financial hardship. This theory served as a reminder to me to attend to basic needs before anticipating optimal performance from others and from myself.</w:t>
      </w:r>
    </w:p>
    <w:p w14:paraId="2D8E3A4B" w14:textId="1120E42B"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 xml:space="preserve">Through these reflections, I also became more aware of how these </w:t>
      </w:r>
      <w:r>
        <w:rPr>
          <w:rFonts w:ascii="Arial" w:hAnsi="Arial" w:cs="Arial"/>
          <w:color w:val="000000"/>
          <w:sz w:val="27"/>
          <w:szCs w:val="27"/>
        </w:rPr>
        <w:t>model’s</w:t>
      </w:r>
      <w:r>
        <w:rPr>
          <w:rFonts w:ascii="Arial" w:hAnsi="Arial" w:cs="Arial"/>
          <w:color w:val="000000"/>
          <w:sz w:val="27"/>
          <w:szCs w:val="27"/>
        </w:rPr>
        <w:t xml:space="preserve"> interconnect. For example, the self-awareness promoted by the Johari Window complements the goal-setting structure of SMART goals, while the motivational layers in Maslow’s Hierarchy can be used to understand why some goals succeed and others fail. This holistic approach allowed me to start viewing my development as more than just ticking boxes. It became a process of aligning internal motivation with practical action. I now see that professional growth is not linear — it requires emotional intelligence, adaptability, and a willingness to revisit and revise our strategies as we change.</w:t>
      </w:r>
    </w:p>
    <w:p w14:paraId="445F1AA0" w14:textId="4792D4B8"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 xml:space="preserve">Looking ahead, I also aim to apply these models in group or team-based environments. During my university group projects, I often struggled with communicating my ideas confidently, partly due to anxiety. By using the Johari Window, I plan to </w:t>
      </w:r>
      <w:r>
        <w:rPr>
          <w:rFonts w:ascii="Arial" w:hAnsi="Arial" w:cs="Arial"/>
          <w:color w:val="000000"/>
          <w:sz w:val="27"/>
          <w:szCs w:val="27"/>
        </w:rPr>
        <w:t xml:space="preserve">open </w:t>
      </w:r>
      <w:r>
        <w:rPr>
          <w:rFonts w:ascii="Arial" w:hAnsi="Arial" w:cs="Arial"/>
          <w:color w:val="000000"/>
          <w:sz w:val="27"/>
          <w:szCs w:val="27"/>
        </w:rPr>
        <w:t xml:space="preserve">more and seek feedback earlier, which can improve both my self-esteem and the team’s outcomes. Additionally, understanding team members’ personality types through MBTI can help me collaborate more effectively. For example, </w:t>
      </w:r>
      <w:r>
        <w:rPr>
          <w:rFonts w:ascii="Arial" w:hAnsi="Arial" w:cs="Arial"/>
          <w:color w:val="000000"/>
          <w:sz w:val="27"/>
          <w:szCs w:val="27"/>
        </w:rPr>
        <w:t>recognizing</w:t>
      </w:r>
      <w:r>
        <w:rPr>
          <w:rFonts w:ascii="Arial" w:hAnsi="Arial" w:cs="Arial"/>
          <w:color w:val="000000"/>
          <w:sz w:val="27"/>
          <w:szCs w:val="27"/>
        </w:rPr>
        <w:t xml:space="preserve"> whether someone is more introverted or extroverted can help avoid misunderstandings. These small but intentional actions will make me a better team member and prepare me for the dynamics of the professional world.</w:t>
      </w:r>
    </w:p>
    <w:p w14:paraId="0F8D3BA1" w14:textId="77777777"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 </w:t>
      </w:r>
    </w:p>
    <w:p w14:paraId="38353840" w14:textId="77777777" w:rsidR="00766884" w:rsidRDefault="00766884" w:rsidP="00766884">
      <w:pPr>
        <w:pStyle w:val="NormalWeb"/>
        <w:spacing w:before="0" w:beforeAutospacing="0" w:after="120" w:afterAutospacing="0"/>
        <w:rPr>
          <w:rFonts w:ascii="Arial" w:hAnsi="Arial" w:cs="Arial"/>
          <w:b/>
          <w:bCs/>
          <w:color w:val="000000"/>
          <w:sz w:val="27"/>
          <w:szCs w:val="27"/>
        </w:rPr>
      </w:pPr>
      <w:r>
        <w:rPr>
          <w:rFonts w:ascii="Arial" w:hAnsi="Arial" w:cs="Arial"/>
          <w:b/>
          <w:bCs/>
          <w:color w:val="000000"/>
          <w:sz w:val="27"/>
          <w:szCs w:val="27"/>
        </w:rPr>
        <w:t>Now What? – Implications for My Future Professional Development</w:t>
      </w:r>
    </w:p>
    <w:p w14:paraId="6CBBC1E5" w14:textId="77777777"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I plan to incorporate these models into my continued personal growth in the future. Every six months, the SWOT analysis will be revised to reflect my development and spot new problems. To lessen blind spots and enhance team dynamics, I also intend to keep asking for feedback from mentors and peers using the Johari Window technique. </w:t>
      </w:r>
      <w:r>
        <w:rPr>
          <w:rFonts w:ascii="Arial" w:hAnsi="Arial" w:cs="Arial"/>
          <w:color w:val="000000"/>
          <w:sz w:val="27"/>
          <w:szCs w:val="27"/>
        </w:rPr>
        <w:br/>
      </w:r>
      <w:r>
        <w:rPr>
          <w:rFonts w:ascii="Arial" w:hAnsi="Arial" w:cs="Arial"/>
          <w:color w:val="000000"/>
          <w:sz w:val="27"/>
          <w:szCs w:val="27"/>
        </w:rPr>
        <w:lastRenderedPageBreak/>
        <w:t>I will give priority to development strategies that align with my pragmatic personality, such as internships, simulations, and real-world projects. This strategy is in line with Kolb's experiential learning theory, which contends that active experimentation is the most effective way for individuals like me to learn (Kolb, 1984).</w:t>
      </w:r>
    </w:p>
    <w:p w14:paraId="7A0A5570" w14:textId="77777777"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My academic and professional lives will continue to revolve around the SMART goals model. I now write down my goals in a special journal and monitor my progress on a regular basis. My confidence and time management have increased because of this habit, which is crucial for adjusting to a professional environment (Locke &amp; Latham, 2002). </w:t>
      </w:r>
      <w:r>
        <w:rPr>
          <w:rFonts w:ascii="Arial" w:hAnsi="Arial" w:cs="Arial"/>
          <w:color w:val="000000"/>
          <w:sz w:val="27"/>
          <w:szCs w:val="27"/>
        </w:rPr>
        <w:br/>
        <w:t>The Ikigai model will assist me in assessing job opportunities as I develop my career, considering factors like personal fulfilment and meaning in addition to pay. I want to work in positions that let me use my skills and contribute; ideally, these positions will be in fields that have a social impact.</w:t>
      </w:r>
    </w:p>
    <w:p w14:paraId="797CB56D" w14:textId="25595D7C"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 xml:space="preserve">Maslow’s theory taught me to acknowledge that motivation isn’t constant and that wellbeing matters. Going forward, I will </w:t>
      </w:r>
      <w:r>
        <w:rPr>
          <w:rFonts w:ascii="Arial" w:hAnsi="Arial" w:cs="Arial"/>
          <w:color w:val="000000"/>
          <w:sz w:val="27"/>
          <w:szCs w:val="27"/>
        </w:rPr>
        <w:t xml:space="preserve">prioritize </w:t>
      </w:r>
      <w:r>
        <w:rPr>
          <w:rFonts w:ascii="Arial" w:hAnsi="Arial" w:cs="Arial"/>
          <w:color w:val="000000"/>
          <w:sz w:val="27"/>
          <w:szCs w:val="27"/>
        </w:rPr>
        <w:t>mental health, work-life balance, and supportive environments. I now understand that no matter how ambitious my goals are, I need a strong foundation of safety and belonging to succeed.</w:t>
      </w:r>
    </w:p>
    <w:p w14:paraId="40490DA9" w14:textId="77777777"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Finally, I’ve started mentoring younger students, which has been a big step for me as someone who struggles with anxiety. Applying the reflective models — like the Johari Window and Maslow’s Hierarchy — has helped me build the confidence to engage with others. Sharing what I’ve learned has not only supported their development but also helped me feel more connected and less isolated, creating a stronger sense of community.</w:t>
      </w:r>
    </w:p>
    <w:p w14:paraId="4D9DD7FF" w14:textId="77777777" w:rsidR="00766884" w:rsidRDefault="00766884" w:rsidP="00766884">
      <w:pPr>
        <w:pStyle w:val="NormalWeb"/>
        <w:spacing w:before="0" w:beforeAutospacing="0" w:after="120" w:afterAutospacing="0"/>
        <w:rPr>
          <w:rFonts w:ascii="Arial" w:hAnsi="Arial" w:cs="Arial"/>
          <w:b/>
          <w:bCs/>
          <w:color w:val="000000"/>
          <w:sz w:val="27"/>
          <w:szCs w:val="27"/>
        </w:rPr>
      </w:pPr>
      <w:r>
        <w:rPr>
          <w:rFonts w:ascii="Arial" w:hAnsi="Arial" w:cs="Arial"/>
          <w:b/>
          <w:bCs/>
          <w:color w:val="000000"/>
          <w:sz w:val="27"/>
          <w:szCs w:val="27"/>
        </w:rPr>
        <w:t>Conclusion</w:t>
      </w:r>
    </w:p>
    <w:p w14:paraId="3B74360B" w14:textId="77777777" w:rsidR="00766884" w:rsidRDefault="00766884" w:rsidP="00766884">
      <w:pPr>
        <w:pStyle w:val="NormalWeb"/>
        <w:spacing w:before="0" w:beforeAutospacing="0" w:after="120" w:afterAutospacing="0"/>
        <w:rPr>
          <w:rFonts w:ascii="Arial" w:hAnsi="Arial" w:cs="Arial"/>
          <w:color w:val="000000"/>
          <w:sz w:val="27"/>
          <w:szCs w:val="27"/>
        </w:rPr>
      </w:pPr>
      <w:r>
        <w:rPr>
          <w:rFonts w:ascii="Arial" w:hAnsi="Arial" w:cs="Arial"/>
          <w:color w:val="000000"/>
          <w:sz w:val="27"/>
          <w:szCs w:val="27"/>
        </w:rPr>
        <w:t>This essay has examined my learning experience with the Professional Career Development module using Rolfe's reflective cycle. Every model, from Ikigai to SWOT, helped me better understand who I am and what kind of career I might pursue. I was able to relate theory to practice and pinpoint tactics for ongoing development through reflection. Even though I still have issues, particularly with self-confidence and time management, I now have the tools to deal with them. The ideas that I used to consider academic material are now ingrained in my self-perception and outlook on the future; this shift will continue into my career.</w:t>
      </w:r>
    </w:p>
    <w:p w14:paraId="3ED88DAB" w14:textId="77777777" w:rsidR="00766884" w:rsidRDefault="00766884" w:rsidP="00766884">
      <w:pPr>
        <w:pStyle w:val="NormalWeb"/>
        <w:spacing w:before="0" w:beforeAutospacing="0" w:after="120" w:afterAutospacing="0"/>
        <w:rPr>
          <w:rFonts w:ascii="Arial" w:hAnsi="Arial" w:cs="Arial"/>
          <w:color w:val="000000"/>
          <w:sz w:val="27"/>
          <w:szCs w:val="27"/>
        </w:rPr>
      </w:pPr>
    </w:p>
    <w:p w14:paraId="17950C50" w14:textId="77777777" w:rsidR="00766884" w:rsidRDefault="00766884" w:rsidP="00766884">
      <w:pPr>
        <w:pStyle w:val="NormalWeb"/>
        <w:spacing w:before="0" w:beforeAutospacing="0" w:after="120" w:afterAutospacing="0"/>
        <w:rPr>
          <w:rFonts w:ascii="Arial" w:hAnsi="Arial" w:cs="Arial"/>
          <w:color w:val="000000"/>
          <w:sz w:val="27"/>
          <w:szCs w:val="27"/>
        </w:rPr>
      </w:pPr>
    </w:p>
    <w:p w14:paraId="2D254854" w14:textId="77777777" w:rsidR="00766884" w:rsidRPr="00766884" w:rsidRDefault="00766884" w:rsidP="00766884">
      <w:pPr>
        <w:spacing w:after="120" w:line="240" w:lineRule="auto"/>
        <w:rPr>
          <w:rFonts w:ascii="Arial" w:eastAsia="Times New Roman" w:hAnsi="Arial" w:cs="Arial"/>
          <w:b/>
          <w:bCs/>
          <w:color w:val="000000"/>
          <w:kern w:val="0"/>
          <w:sz w:val="27"/>
          <w:szCs w:val="27"/>
          <w14:ligatures w14:val="none"/>
        </w:rPr>
      </w:pPr>
      <w:r w:rsidRPr="00766884">
        <w:rPr>
          <w:rFonts w:ascii="Arial" w:eastAsia="Times New Roman" w:hAnsi="Arial" w:cs="Arial"/>
          <w:b/>
          <w:bCs/>
          <w:color w:val="000000"/>
          <w:kern w:val="0"/>
          <w:sz w:val="27"/>
          <w:szCs w:val="27"/>
          <w14:ligatures w14:val="none"/>
        </w:rPr>
        <w:t>References</w:t>
      </w:r>
    </w:p>
    <w:p w14:paraId="0A5481CE" w14:textId="77777777" w:rsidR="00766884" w:rsidRPr="00766884" w:rsidRDefault="00766884" w:rsidP="00766884">
      <w:pPr>
        <w:spacing w:after="120" w:line="240" w:lineRule="auto"/>
        <w:rPr>
          <w:rFonts w:ascii="Arial" w:eastAsia="Times New Roman" w:hAnsi="Arial" w:cs="Arial"/>
          <w:color w:val="000000"/>
          <w:kern w:val="0"/>
          <w:sz w:val="27"/>
          <w:szCs w:val="27"/>
          <w14:ligatures w14:val="none"/>
        </w:rPr>
      </w:pPr>
      <w:r w:rsidRPr="00766884">
        <w:rPr>
          <w:rFonts w:ascii="Arial" w:eastAsia="Times New Roman" w:hAnsi="Arial" w:cs="Arial"/>
          <w:color w:val="000000"/>
          <w:kern w:val="0"/>
          <w:sz w:val="27"/>
          <w:szCs w:val="27"/>
          <w14:ligatures w14:val="none"/>
        </w:rPr>
        <w:lastRenderedPageBreak/>
        <w:t>1. Doran, G. T. (1981). There's a S.M.A.R.T. way to write management's goals and objectives. </w:t>
      </w:r>
      <w:r w:rsidRPr="00766884">
        <w:rPr>
          <w:rFonts w:ascii="Arial" w:eastAsia="Times New Roman" w:hAnsi="Arial" w:cs="Arial"/>
          <w:i/>
          <w:iCs/>
          <w:color w:val="000000"/>
          <w:kern w:val="0"/>
          <w:sz w:val="27"/>
          <w:szCs w:val="27"/>
          <w14:ligatures w14:val="none"/>
        </w:rPr>
        <w:t>Management Review</w:t>
      </w:r>
      <w:r w:rsidRPr="00766884">
        <w:rPr>
          <w:rFonts w:ascii="Arial" w:eastAsia="Times New Roman" w:hAnsi="Arial" w:cs="Arial"/>
          <w:color w:val="000000"/>
          <w:kern w:val="0"/>
          <w:sz w:val="27"/>
          <w:szCs w:val="27"/>
          <w14:ligatures w14:val="none"/>
        </w:rPr>
        <w:t>, 70(11), 35–36.</w:t>
      </w:r>
    </w:p>
    <w:p w14:paraId="670473A8" w14:textId="77777777" w:rsidR="00766884" w:rsidRPr="00766884" w:rsidRDefault="00766884" w:rsidP="00766884">
      <w:pPr>
        <w:spacing w:after="120" w:line="240" w:lineRule="auto"/>
        <w:rPr>
          <w:rFonts w:ascii="Arial" w:eastAsia="Times New Roman" w:hAnsi="Arial" w:cs="Arial"/>
          <w:color w:val="000000"/>
          <w:kern w:val="0"/>
          <w:sz w:val="27"/>
          <w:szCs w:val="27"/>
          <w14:ligatures w14:val="none"/>
        </w:rPr>
      </w:pPr>
      <w:r w:rsidRPr="00766884">
        <w:rPr>
          <w:rFonts w:ascii="Arial" w:eastAsia="Times New Roman" w:hAnsi="Arial" w:cs="Arial"/>
          <w:color w:val="000000"/>
          <w:kern w:val="0"/>
          <w:sz w:val="27"/>
          <w:szCs w:val="27"/>
          <w14:ligatures w14:val="none"/>
        </w:rPr>
        <w:t>2. Garcia, H., &amp; Miralles, F. (2017). </w:t>
      </w:r>
      <w:r w:rsidRPr="00766884">
        <w:rPr>
          <w:rFonts w:ascii="Arial" w:eastAsia="Times New Roman" w:hAnsi="Arial" w:cs="Arial"/>
          <w:i/>
          <w:iCs/>
          <w:color w:val="000000"/>
          <w:kern w:val="0"/>
          <w:sz w:val="27"/>
          <w:szCs w:val="27"/>
          <w14:ligatures w14:val="none"/>
        </w:rPr>
        <w:t>Ikigai: The Japanese Secret to a Long and Happy Life</w:t>
      </w:r>
      <w:r w:rsidRPr="00766884">
        <w:rPr>
          <w:rFonts w:ascii="Arial" w:eastAsia="Times New Roman" w:hAnsi="Arial" w:cs="Arial"/>
          <w:color w:val="000000"/>
          <w:kern w:val="0"/>
          <w:sz w:val="27"/>
          <w:szCs w:val="27"/>
          <w14:ligatures w14:val="none"/>
        </w:rPr>
        <w:t>. Penguin.</w:t>
      </w:r>
    </w:p>
    <w:p w14:paraId="30D5DA3C" w14:textId="77777777" w:rsidR="00766884" w:rsidRPr="00766884" w:rsidRDefault="00766884" w:rsidP="00766884">
      <w:pPr>
        <w:spacing w:after="120" w:line="240" w:lineRule="auto"/>
        <w:rPr>
          <w:rFonts w:ascii="Arial" w:eastAsia="Times New Roman" w:hAnsi="Arial" w:cs="Arial"/>
          <w:color w:val="000000"/>
          <w:kern w:val="0"/>
          <w:sz w:val="27"/>
          <w:szCs w:val="27"/>
          <w14:ligatures w14:val="none"/>
        </w:rPr>
      </w:pPr>
      <w:r w:rsidRPr="00766884">
        <w:rPr>
          <w:rFonts w:ascii="Arial" w:eastAsia="Times New Roman" w:hAnsi="Arial" w:cs="Arial"/>
          <w:color w:val="000000"/>
          <w:kern w:val="0"/>
          <w:sz w:val="27"/>
          <w:szCs w:val="27"/>
          <w14:ligatures w14:val="none"/>
        </w:rPr>
        <w:t>3. </w:t>
      </w:r>
      <w:proofErr w:type="spellStart"/>
      <w:r w:rsidRPr="00766884">
        <w:rPr>
          <w:rFonts w:ascii="Arial" w:eastAsia="Times New Roman" w:hAnsi="Arial" w:cs="Arial"/>
          <w:color w:val="000000"/>
          <w:kern w:val="0"/>
          <w:sz w:val="27"/>
          <w:szCs w:val="27"/>
          <w14:ligatures w14:val="none"/>
        </w:rPr>
        <w:t>Gürel</w:t>
      </w:r>
      <w:proofErr w:type="spellEnd"/>
      <w:r w:rsidRPr="00766884">
        <w:rPr>
          <w:rFonts w:ascii="Arial" w:eastAsia="Times New Roman" w:hAnsi="Arial" w:cs="Arial"/>
          <w:color w:val="000000"/>
          <w:kern w:val="0"/>
          <w:sz w:val="27"/>
          <w:szCs w:val="27"/>
          <w14:ligatures w14:val="none"/>
        </w:rPr>
        <w:t>, E., &amp; Tat, M. (2017). SWOT analysis: A theoretical review. </w:t>
      </w:r>
      <w:r w:rsidRPr="00766884">
        <w:rPr>
          <w:rFonts w:ascii="Arial" w:eastAsia="Times New Roman" w:hAnsi="Arial" w:cs="Arial"/>
          <w:i/>
          <w:iCs/>
          <w:color w:val="000000"/>
          <w:kern w:val="0"/>
          <w:sz w:val="27"/>
          <w:szCs w:val="27"/>
          <w14:ligatures w14:val="none"/>
        </w:rPr>
        <w:t>Journal of International Social Research</w:t>
      </w:r>
      <w:r w:rsidRPr="00766884">
        <w:rPr>
          <w:rFonts w:ascii="Arial" w:eastAsia="Times New Roman" w:hAnsi="Arial" w:cs="Arial"/>
          <w:color w:val="000000"/>
          <w:kern w:val="0"/>
          <w:sz w:val="27"/>
          <w:szCs w:val="27"/>
          <w14:ligatures w14:val="none"/>
        </w:rPr>
        <w:t>, 10(51), 994–1006.</w:t>
      </w:r>
    </w:p>
    <w:p w14:paraId="17220059" w14:textId="77777777" w:rsidR="00766884" w:rsidRPr="00766884" w:rsidRDefault="00766884" w:rsidP="00766884">
      <w:pPr>
        <w:spacing w:after="120" w:line="240" w:lineRule="auto"/>
        <w:rPr>
          <w:rFonts w:ascii="Arial" w:eastAsia="Times New Roman" w:hAnsi="Arial" w:cs="Arial"/>
          <w:color w:val="000000"/>
          <w:kern w:val="0"/>
          <w:sz w:val="27"/>
          <w:szCs w:val="27"/>
          <w14:ligatures w14:val="none"/>
        </w:rPr>
      </w:pPr>
      <w:r w:rsidRPr="00766884">
        <w:rPr>
          <w:rFonts w:ascii="Arial" w:eastAsia="Times New Roman" w:hAnsi="Arial" w:cs="Arial"/>
          <w:color w:val="000000"/>
          <w:kern w:val="0"/>
          <w:sz w:val="27"/>
          <w:szCs w:val="27"/>
          <w14:ligatures w14:val="none"/>
        </w:rPr>
        <w:t>4. Kolb, D. A. (1984). </w:t>
      </w:r>
      <w:r w:rsidRPr="00766884">
        <w:rPr>
          <w:rFonts w:ascii="Arial" w:eastAsia="Times New Roman" w:hAnsi="Arial" w:cs="Arial"/>
          <w:i/>
          <w:iCs/>
          <w:color w:val="000000"/>
          <w:kern w:val="0"/>
          <w:sz w:val="27"/>
          <w:szCs w:val="27"/>
          <w14:ligatures w14:val="none"/>
        </w:rPr>
        <w:t>Experiential Learning: Experience as the Source of Learning and Development</w:t>
      </w:r>
      <w:r w:rsidRPr="00766884">
        <w:rPr>
          <w:rFonts w:ascii="Arial" w:eastAsia="Times New Roman" w:hAnsi="Arial" w:cs="Arial"/>
          <w:color w:val="000000"/>
          <w:kern w:val="0"/>
          <w:sz w:val="27"/>
          <w:szCs w:val="27"/>
          <w14:ligatures w14:val="none"/>
        </w:rPr>
        <w:t>. Prentice Hall.</w:t>
      </w:r>
    </w:p>
    <w:p w14:paraId="0E7413ED" w14:textId="77777777" w:rsidR="00766884" w:rsidRPr="00766884" w:rsidRDefault="00766884" w:rsidP="00766884">
      <w:pPr>
        <w:spacing w:after="120" w:line="240" w:lineRule="auto"/>
        <w:rPr>
          <w:rFonts w:ascii="Arial" w:eastAsia="Times New Roman" w:hAnsi="Arial" w:cs="Arial"/>
          <w:color w:val="000000"/>
          <w:kern w:val="0"/>
          <w:sz w:val="27"/>
          <w:szCs w:val="27"/>
          <w14:ligatures w14:val="none"/>
        </w:rPr>
      </w:pPr>
      <w:r w:rsidRPr="00766884">
        <w:rPr>
          <w:rFonts w:ascii="Arial" w:eastAsia="Times New Roman" w:hAnsi="Arial" w:cs="Arial"/>
          <w:color w:val="000000"/>
          <w:kern w:val="0"/>
          <w:sz w:val="27"/>
          <w:szCs w:val="27"/>
          <w14:ligatures w14:val="none"/>
        </w:rPr>
        <w:t>5. Locke, E. A., &amp; Latham, G. P. (2002). Building a practically useful theory of goal setting and task motivation. </w:t>
      </w:r>
      <w:r w:rsidRPr="00766884">
        <w:rPr>
          <w:rFonts w:ascii="Arial" w:eastAsia="Times New Roman" w:hAnsi="Arial" w:cs="Arial"/>
          <w:i/>
          <w:iCs/>
          <w:color w:val="000000"/>
          <w:kern w:val="0"/>
          <w:sz w:val="27"/>
          <w:szCs w:val="27"/>
          <w14:ligatures w14:val="none"/>
        </w:rPr>
        <w:t>American Psychologist</w:t>
      </w:r>
      <w:r w:rsidRPr="00766884">
        <w:rPr>
          <w:rFonts w:ascii="Arial" w:eastAsia="Times New Roman" w:hAnsi="Arial" w:cs="Arial"/>
          <w:color w:val="000000"/>
          <w:kern w:val="0"/>
          <w:sz w:val="27"/>
          <w:szCs w:val="27"/>
          <w14:ligatures w14:val="none"/>
        </w:rPr>
        <w:t>, 57(9), 705–717.</w:t>
      </w:r>
    </w:p>
    <w:p w14:paraId="162D2A6A" w14:textId="77777777" w:rsidR="00766884" w:rsidRPr="00766884" w:rsidRDefault="00766884" w:rsidP="00766884">
      <w:pPr>
        <w:spacing w:after="120" w:line="240" w:lineRule="auto"/>
        <w:rPr>
          <w:rFonts w:ascii="Arial" w:eastAsia="Times New Roman" w:hAnsi="Arial" w:cs="Arial"/>
          <w:color w:val="000000"/>
          <w:kern w:val="0"/>
          <w:sz w:val="27"/>
          <w:szCs w:val="27"/>
          <w14:ligatures w14:val="none"/>
        </w:rPr>
      </w:pPr>
      <w:r w:rsidRPr="00766884">
        <w:rPr>
          <w:rFonts w:ascii="Arial" w:eastAsia="Times New Roman" w:hAnsi="Arial" w:cs="Arial"/>
          <w:color w:val="000000"/>
          <w:kern w:val="0"/>
          <w:sz w:val="27"/>
          <w:szCs w:val="27"/>
          <w14:ligatures w14:val="none"/>
        </w:rPr>
        <w:t>6. Luft, J., &amp; Ingham, H. (1955). The Johari Window: A graphic model for interpersonal relations. </w:t>
      </w:r>
      <w:r w:rsidRPr="00766884">
        <w:rPr>
          <w:rFonts w:ascii="Arial" w:eastAsia="Times New Roman" w:hAnsi="Arial" w:cs="Arial"/>
          <w:i/>
          <w:iCs/>
          <w:color w:val="000000"/>
          <w:kern w:val="0"/>
          <w:sz w:val="27"/>
          <w:szCs w:val="27"/>
          <w14:ligatures w14:val="none"/>
        </w:rPr>
        <w:t>University of California Western Training Lab</w:t>
      </w:r>
      <w:r w:rsidRPr="00766884">
        <w:rPr>
          <w:rFonts w:ascii="Arial" w:eastAsia="Times New Roman" w:hAnsi="Arial" w:cs="Arial"/>
          <w:color w:val="000000"/>
          <w:kern w:val="0"/>
          <w:sz w:val="27"/>
          <w:szCs w:val="27"/>
          <w14:ligatures w14:val="none"/>
        </w:rPr>
        <w:t>.</w:t>
      </w:r>
    </w:p>
    <w:p w14:paraId="5DC0EAA4" w14:textId="77777777" w:rsidR="00766884" w:rsidRPr="00766884" w:rsidRDefault="00766884" w:rsidP="00766884">
      <w:pPr>
        <w:spacing w:after="120" w:line="240" w:lineRule="auto"/>
        <w:rPr>
          <w:rFonts w:ascii="Arial" w:eastAsia="Times New Roman" w:hAnsi="Arial" w:cs="Arial"/>
          <w:color w:val="000000"/>
          <w:kern w:val="0"/>
          <w:sz w:val="27"/>
          <w:szCs w:val="27"/>
          <w14:ligatures w14:val="none"/>
        </w:rPr>
      </w:pPr>
      <w:r w:rsidRPr="00766884">
        <w:rPr>
          <w:rFonts w:ascii="Arial" w:eastAsia="Times New Roman" w:hAnsi="Arial" w:cs="Arial"/>
          <w:color w:val="000000"/>
          <w:kern w:val="0"/>
          <w:sz w:val="27"/>
          <w:szCs w:val="27"/>
          <w14:ligatures w14:val="none"/>
        </w:rPr>
        <w:t>7. Maslow, A. H. (1943). A theory of human motivation. </w:t>
      </w:r>
      <w:r w:rsidRPr="00766884">
        <w:rPr>
          <w:rFonts w:ascii="Arial" w:eastAsia="Times New Roman" w:hAnsi="Arial" w:cs="Arial"/>
          <w:i/>
          <w:iCs/>
          <w:color w:val="000000"/>
          <w:kern w:val="0"/>
          <w:sz w:val="27"/>
          <w:szCs w:val="27"/>
          <w14:ligatures w14:val="none"/>
        </w:rPr>
        <w:t>Psychological Review</w:t>
      </w:r>
      <w:r w:rsidRPr="00766884">
        <w:rPr>
          <w:rFonts w:ascii="Arial" w:eastAsia="Times New Roman" w:hAnsi="Arial" w:cs="Arial"/>
          <w:color w:val="000000"/>
          <w:kern w:val="0"/>
          <w:sz w:val="27"/>
          <w:szCs w:val="27"/>
          <w14:ligatures w14:val="none"/>
        </w:rPr>
        <w:t>, 50(4), 370–396.</w:t>
      </w:r>
    </w:p>
    <w:p w14:paraId="4CF67004" w14:textId="77777777" w:rsidR="00766884" w:rsidRPr="00766884" w:rsidRDefault="00766884" w:rsidP="00766884">
      <w:pPr>
        <w:spacing w:after="120" w:line="240" w:lineRule="auto"/>
        <w:rPr>
          <w:rFonts w:ascii="Arial" w:eastAsia="Times New Roman" w:hAnsi="Arial" w:cs="Arial"/>
          <w:color w:val="000000"/>
          <w:kern w:val="0"/>
          <w:sz w:val="27"/>
          <w:szCs w:val="27"/>
          <w14:ligatures w14:val="none"/>
        </w:rPr>
      </w:pPr>
      <w:r w:rsidRPr="00766884">
        <w:rPr>
          <w:rFonts w:ascii="Arial" w:eastAsia="Times New Roman" w:hAnsi="Arial" w:cs="Arial"/>
          <w:color w:val="000000"/>
          <w:kern w:val="0"/>
          <w:sz w:val="27"/>
          <w:szCs w:val="27"/>
          <w14:ligatures w14:val="none"/>
        </w:rPr>
        <w:t xml:space="preserve">8. McCarthy, A. M., &amp; </w:t>
      </w:r>
      <w:proofErr w:type="spellStart"/>
      <w:r w:rsidRPr="00766884">
        <w:rPr>
          <w:rFonts w:ascii="Arial" w:eastAsia="Times New Roman" w:hAnsi="Arial" w:cs="Arial"/>
          <w:color w:val="000000"/>
          <w:kern w:val="0"/>
          <w:sz w:val="27"/>
          <w:szCs w:val="27"/>
          <w14:ligatures w14:val="none"/>
        </w:rPr>
        <w:t>Garavan</w:t>
      </w:r>
      <w:proofErr w:type="spellEnd"/>
      <w:r w:rsidRPr="00766884">
        <w:rPr>
          <w:rFonts w:ascii="Arial" w:eastAsia="Times New Roman" w:hAnsi="Arial" w:cs="Arial"/>
          <w:color w:val="000000"/>
          <w:kern w:val="0"/>
          <w:sz w:val="27"/>
          <w:szCs w:val="27"/>
          <w14:ligatures w14:val="none"/>
        </w:rPr>
        <w:t>, T. N. (2006). Developing self</w:t>
      </w:r>
      <w:r w:rsidRPr="00766884">
        <w:rPr>
          <w:rFonts w:ascii="Cambria Math" w:eastAsia="Times New Roman" w:hAnsi="Cambria Math" w:cs="Arial"/>
          <w:color w:val="000000"/>
          <w:kern w:val="0"/>
          <w:sz w:val="27"/>
          <w:szCs w:val="27"/>
          <w14:ligatures w14:val="none"/>
        </w:rPr>
        <w:t>‐</w:t>
      </w:r>
      <w:r w:rsidRPr="00766884">
        <w:rPr>
          <w:rFonts w:ascii="Arial" w:eastAsia="Times New Roman" w:hAnsi="Arial" w:cs="Arial"/>
          <w:color w:val="000000"/>
          <w:kern w:val="0"/>
          <w:sz w:val="27"/>
          <w:szCs w:val="27"/>
          <w14:ligatures w14:val="none"/>
        </w:rPr>
        <w:t>awareness in the managerial career development process. </w:t>
      </w:r>
      <w:r w:rsidRPr="00766884">
        <w:rPr>
          <w:rFonts w:ascii="Arial" w:eastAsia="Times New Roman" w:hAnsi="Arial" w:cs="Arial"/>
          <w:i/>
          <w:iCs/>
          <w:color w:val="000000"/>
          <w:kern w:val="0"/>
          <w:sz w:val="27"/>
          <w:szCs w:val="27"/>
          <w14:ligatures w14:val="none"/>
        </w:rPr>
        <w:t>Journal of European Industrial Training</w:t>
      </w:r>
      <w:r w:rsidRPr="00766884">
        <w:rPr>
          <w:rFonts w:ascii="Arial" w:eastAsia="Times New Roman" w:hAnsi="Arial" w:cs="Arial"/>
          <w:color w:val="000000"/>
          <w:kern w:val="0"/>
          <w:sz w:val="27"/>
          <w:szCs w:val="27"/>
          <w14:ligatures w14:val="none"/>
        </w:rPr>
        <w:t>, 30(1), 43–58.</w:t>
      </w:r>
    </w:p>
    <w:p w14:paraId="25342C83" w14:textId="77777777" w:rsidR="00766884" w:rsidRPr="00766884" w:rsidRDefault="00766884" w:rsidP="00766884">
      <w:pPr>
        <w:spacing w:after="120" w:line="240" w:lineRule="auto"/>
        <w:rPr>
          <w:rFonts w:ascii="Arial" w:eastAsia="Times New Roman" w:hAnsi="Arial" w:cs="Arial"/>
          <w:color w:val="000000"/>
          <w:kern w:val="0"/>
          <w:sz w:val="27"/>
          <w:szCs w:val="27"/>
          <w14:ligatures w14:val="none"/>
        </w:rPr>
      </w:pPr>
      <w:r w:rsidRPr="00766884">
        <w:rPr>
          <w:rFonts w:ascii="Arial" w:eastAsia="Times New Roman" w:hAnsi="Arial" w:cs="Arial"/>
          <w:color w:val="000000"/>
          <w:kern w:val="0"/>
          <w:sz w:val="27"/>
          <w:szCs w:val="27"/>
          <w14:ligatures w14:val="none"/>
        </w:rPr>
        <w:t>9. Myers &amp; Briggs Foundation. (2018). MBTI Basics. [Online] Available at: </w:t>
      </w:r>
      <w:hyperlink r:id="rId4" w:tgtFrame="_blank" w:history="1">
        <w:r w:rsidRPr="00766884">
          <w:rPr>
            <w:rFonts w:ascii="Arial" w:eastAsia="Times New Roman" w:hAnsi="Arial" w:cs="Arial"/>
            <w:color w:val="0563C1"/>
            <w:kern w:val="0"/>
            <w:sz w:val="27"/>
            <w:szCs w:val="27"/>
            <w:u w:val="single"/>
            <w14:ligatures w14:val="none"/>
          </w:rPr>
          <w:t>https://www.myersbriggs.org</w:t>
        </w:r>
      </w:hyperlink>
    </w:p>
    <w:p w14:paraId="5D9C5602" w14:textId="77777777" w:rsidR="00766884" w:rsidRPr="00766884" w:rsidRDefault="00766884" w:rsidP="00766884">
      <w:pPr>
        <w:spacing w:after="120" w:line="240" w:lineRule="auto"/>
        <w:rPr>
          <w:rFonts w:ascii="Arial" w:eastAsia="Times New Roman" w:hAnsi="Arial" w:cs="Arial"/>
          <w:color w:val="000000"/>
          <w:kern w:val="0"/>
          <w:sz w:val="27"/>
          <w:szCs w:val="27"/>
          <w14:ligatures w14:val="none"/>
        </w:rPr>
      </w:pPr>
      <w:r w:rsidRPr="00766884">
        <w:rPr>
          <w:rFonts w:ascii="Arial" w:eastAsia="Times New Roman" w:hAnsi="Arial" w:cs="Arial"/>
          <w:color w:val="000000"/>
          <w:kern w:val="0"/>
          <w:sz w:val="27"/>
          <w:szCs w:val="27"/>
          <w14:ligatures w14:val="none"/>
        </w:rPr>
        <w:t>10. Rolfe, G., Freshwater, D., &amp; Jasper, M. (2001). </w:t>
      </w:r>
      <w:r w:rsidRPr="00766884">
        <w:rPr>
          <w:rFonts w:ascii="Arial" w:eastAsia="Times New Roman" w:hAnsi="Arial" w:cs="Arial"/>
          <w:i/>
          <w:iCs/>
          <w:color w:val="000000"/>
          <w:kern w:val="0"/>
          <w:sz w:val="27"/>
          <w:szCs w:val="27"/>
          <w14:ligatures w14:val="none"/>
        </w:rPr>
        <w:t>Critical Reflection for Nursing and the Helping Professions: A User's Guide</w:t>
      </w:r>
      <w:r w:rsidRPr="00766884">
        <w:rPr>
          <w:rFonts w:ascii="Arial" w:eastAsia="Times New Roman" w:hAnsi="Arial" w:cs="Arial"/>
          <w:color w:val="000000"/>
          <w:kern w:val="0"/>
          <w:sz w:val="27"/>
          <w:szCs w:val="27"/>
          <w14:ligatures w14:val="none"/>
        </w:rPr>
        <w:t>. Palgrave Macmillan.</w:t>
      </w:r>
    </w:p>
    <w:p w14:paraId="1F133C32" w14:textId="77777777" w:rsidR="00766884" w:rsidRDefault="00766884" w:rsidP="00766884">
      <w:pPr>
        <w:pStyle w:val="NormalWeb"/>
        <w:spacing w:before="0" w:beforeAutospacing="0" w:after="120" w:afterAutospacing="0"/>
        <w:rPr>
          <w:rFonts w:ascii="Arial" w:hAnsi="Arial" w:cs="Arial"/>
          <w:color w:val="000000"/>
          <w:sz w:val="27"/>
          <w:szCs w:val="27"/>
        </w:rPr>
      </w:pPr>
    </w:p>
    <w:p w14:paraId="4D518B73" w14:textId="77777777" w:rsidR="00766884" w:rsidRDefault="00766884"/>
    <w:sectPr w:rsidR="007668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884"/>
    <w:rsid w:val="00766884"/>
    <w:rsid w:val="00C82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7CC9B3E"/>
  <w15:chartTrackingRefBased/>
  <w15:docId w15:val="{048D8A24-6EF4-F44A-A28E-6ED5BD78B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68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68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68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68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68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68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68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68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68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8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68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68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68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68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68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68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68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6884"/>
    <w:rPr>
      <w:rFonts w:eastAsiaTheme="majorEastAsia" w:cstheme="majorBidi"/>
      <w:color w:val="272727" w:themeColor="text1" w:themeTint="D8"/>
    </w:rPr>
  </w:style>
  <w:style w:type="paragraph" w:styleId="Title">
    <w:name w:val="Title"/>
    <w:basedOn w:val="Normal"/>
    <w:next w:val="Normal"/>
    <w:link w:val="TitleChar"/>
    <w:uiPriority w:val="10"/>
    <w:qFormat/>
    <w:rsid w:val="007668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68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68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68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6884"/>
    <w:pPr>
      <w:spacing w:before="160"/>
      <w:jc w:val="center"/>
    </w:pPr>
    <w:rPr>
      <w:i/>
      <w:iCs/>
      <w:color w:val="404040" w:themeColor="text1" w:themeTint="BF"/>
    </w:rPr>
  </w:style>
  <w:style w:type="character" w:customStyle="1" w:styleId="QuoteChar">
    <w:name w:val="Quote Char"/>
    <w:basedOn w:val="DefaultParagraphFont"/>
    <w:link w:val="Quote"/>
    <w:uiPriority w:val="29"/>
    <w:rsid w:val="00766884"/>
    <w:rPr>
      <w:i/>
      <w:iCs/>
      <w:color w:val="404040" w:themeColor="text1" w:themeTint="BF"/>
    </w:rPr>
  </w:style>
  <w:style w:type="paragraph" w:styleId="ListParagraph">
    <w:name w:val="List Paragraph"/>
    <w:basedOn w:val="Normal"/>
    <w:uiPriority w:val="34"/>
    <w:qFormat/>
    <w:rsid w:val="00766884"/>
    <w:pPr>
      <w:ind w:left="720"/>
      <w:contextualSpacing/>
    </w:pPr>
  </w:style>
  <w:style w:type="character" w:styleId="IntenseEmphasis">
    <w:name w:val="Intense Emphasis"/>
    <w:basedOn w:val="DefaultParagraphFont"/>
    <w:uiPriority w:val="21"/>
    <w:qFormat/>
    <w:rsid w:val="00766884"/>
    <w:rPr>
      <w:i/>
      <w:iCs/>
      <w:color w:val="0F4761" w:themeColor="accent1" w:themeShade="BF"/>
    </w:rPr>
  </w:style>
  <w:style w:type="paragraph" w:styleId="IntenseQuote">
    <w:name w:val="Intense Quote"/>
    <w:basedOn w:val="Normal"/>
    <w:next w:val="Normal"/>
    <w:link w:val="IntenseQuoteChar"/>
    <w:uiPriority w:val="30"/>
    <w:qFormat/>
    <w:rsid w:val="007668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6884"/>
    <w:rPr>
      <w:i/>
      <w:iCs/>
      <w:color w:val="0F4761" w:themeColor="accent1" w:themeShade="BF"/>
    </w:rPr>
  </w:style>
  <w:style w:type="character" w:styleId="IntenseReference">
    <w:name w:val="Intense Reference"/>
    <w:basedOn w:val="DefaultParagraphFont"/>
    <w:uiPriority w:val="32"/>
    <w:qFormat/>
    <w:rsid w:val="00766884"/>
    <w:rPr>
      <w:b/>
      <w:bCs/>
      <w:smallCaps/>
      <w:color w:val="0F4761" w:themeColor="accent1" w:themeShade="BF"/>
      <w:spacing w:val="5"/>
    </w:rPr>
  </w:style>
  <w:style w:type="paragraph" w:styleId="NormalWeb">
    <w:name w:val="Normal (Web)"/>
    <w:basedOn w:val="Normal"/>
    <w:uiPriority w:val="99"/>
    <w:semiHidden/>
    <w:unhideWhenUsed/>
    <w:rsid w:val="0076688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7668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703084">
      <w:bodyDiv w:val="1"/>
      <w:marLeft w:val="0"/>
      <w:marRight w:val="0"/>
      <w:marTop w:val="0"/>
      <w:marBottom w:val="0"/>
      <w:divBdr>
        <w:top w:val="none" w:sz="0" w:space="0" w:color="auto"/>
        <w:left w:val="none" w:sz="0" w:space="0" w:color="auto"/>
        <w:bottom w:val="none" w:sz="0" w:space="0" w:color="auto"/>
        <w:right w:val="none" w:sz="0" w:space="0" w:color="auto"/>
      </w:divBdr>
      <w:divsChild>
        <w:div w:id="1387030212">
          <w:marLeft w:val="540"/>
          <w:marRight w:val="0"/>
          <w:marTop w:val="0"/>
          <w:marBottom w:val="120"/>
          <w:divBdr>
            <w:top w:val="none" w:sz="0" w:space="0" w:color="auto"/>
            <w:left w:val="none" w:sz="0" w:space="0" w:color="auto"/>
            <w:bottom w:val="none" w:sz="0" w:space="0" w:color="auto"/>
            <w:right w:val="none" w:sz="0" w:space="0" w:color="auto"/>
          </w:divBdr>
        </w:div>
        <w:div w:id="219050526">
          <w:marLeft w:val="540"/>
          <w:marRight w:val="0"/>
          <w:marTop w:val="0"/>
          <w:marBottom w:val="120"/>
          <w:divBdr>
            <w:top w:val="none" w:sz="0" w:space="0" w:color="auto"/>
            <w:left w:val="none" w:sz="0" w:space="0" w:color="auto"/>
            <w:bottom w:val="none" w:sz="0" w:space="0" w:color="auto"/>
            <w:right w:val="none" w:sz="0" w:space="0" w:color="auto"/>
          </w:divBdr>
        </w:div>
        <w:div w:id="558900319">
          <w:marLeft w:val="540"/>
          <w:marRight w:val="0"/>
          <w:marTop w:val="0"/>
          <w:marBottom w:val="120"/>
          <w:divBdr>
            <w:top w:val="none" w:sz="0" w:space="0" w:color="auto"/>
            <w:left w:val="none" w:sz="0" w:space="0" w:color="auto"/>
            <w:bottom w:val="none" w:sz="0" w:space="0" w:color="auto"/>
            <w:right w:val="none" w:sz="0" w:space="0" w:color="auto"/>
          </w:divBdr>
        </w:div>
        <w:div w:id="1801071580">
          <w:marLeft w:val="540"/>
          <w:marRight w:val="0"/>
          <w:marTop w:val="0"/>
          <w:marBottom w:val="120"/>
          <w:divBdr>
            <w:top w:val="none" w:sz="0" w:space="0" w:color="auto"/>
            <w:left w:val="none" w:sz="0" w:space="0" w:color="auto"/>
            <w:bottom w:val="none" w:sz="0" w:space="0" w:color="auto"/>
            <w:right w:val="none" w:sz="0" w:space="0" w:color="auto"/>
          </w:divBdr>
        </w:div>
        <w:div w:id="550112025">
          <w:marLeft w:val="540"/>
          <w:marRight w:val="0"/>
          <w:marTop w:val="0"/>
          <w:marBottom w:val="120"/>
          <w:divBdr>
            <w:top w:val="none" w:sz="0" w:space="0" w:color="auto"/>
            <w:left w:val="none" w:sz="0" w:space="0" w:color="auto"/>
            <w:bottom w:val="none" w:sz="0" w:space="0" w:color="auto"/>
            <w:right w:val="none" w:sz="0" w:space="0" w:color="auto"/>
          </w:divBdr>
        </w:div>
        <w:div w:id="1197081146">
          <w:marLeft w:val="540"/>
          <w:marRight w:val="0"/>
          <w:marTop w:val="0"/>
          <w:marBottom w:val="120"/>
          <w:divBdr>
            <w:top w:val="none" w:sz="0" w:space="0" w:color="auto"/>
            <w:left w:val="none" w:sz="0" w:space="0" w:color="auto"/>
            <w:bottom w:val="none" w:sz="0" w:space="0" w:color="auto"/>
            <w:right w:val="none" w:sz="0" w:space="0" w:color="auto"/>
          </w:divBdr>
        </w:div>
        <w:div w:id="1881546889">
          <w:marLeft w:val="540"/>
          <w:marRight w:val="0"/>
          <w:marTop w:val="0"/>
          <w:marBottom w:val="120"/>
          <w:divBdr>
            <w:top w:val="none" w:sz="0" w:space="0" w:color="auto"/>
            <w:left w:val="none" w:sz="0" w:space="0" w:color="auto"/>
            <w:bottom w:val="none" w:sz="0" w:space="0" w:color="auto"/>
            <w:right w:val="none" w:sz="0" w:space="0" w:color="auto"/>
          </w:divBdr>
        </w:div>
        <w:div w:id="1108936867">
          <w:marLeft w:val="540"/>
          <w:marRight w:val="0"/>
          <w:marTop w:val="0"/>
          <w:marBottom w:val="120"/>
          <w:divBdr>
            <w:top w:val="none" w:sz="0" w:space="0" w:color="auto"/>
            <w:left w:val="none" w:sz="0" w:space="0" w:color="auto"/>
            <w:bottom w:val="none" w:sz="0" w:space="0" w:color="auto"/>
            <w:right w:val="none" w:sz="0" w:space="0" w:color="auto"/>
          </w:divBdr>
        </w:div>
        <w:div w:id="1439328949">
          <w:marLeft w:val="540"/>
          <w:marRight w:val="0"/>
          <w:marTop w:val="0"/>
          <w:marBottom w:val="120"/>
          <w:divBdr>
            <w:top w:val="none" w:sz="0" w:space="0" w:color="auto"/>
            <w:left w:val="none" w:sz="0" w:space="0" w:color="auto"/>
            <w:bottom w:val="none" w:sz="0" w:space="0" w:color="auto"/>
            <w:right w:val="none" w:sz="0" w:space="0" w:color="auto"/>
          </w:divBdr>
        </w:div>
        <w:div w:id="1053695452">
          <w:marLeft w:val="540"/>
          <w:marRight w:val="0"/>
          <w:marTop w:val="0"/>
          <w:marBottom w:val="120"/>
          <w:divBdr>
            <w:top w:val="none" w:sz="0" w:space="0" w:color="auto"/>
            <w:left w:val="none" w:sz="0" w:space="0" w:color="auto"/>
            <w:bottom w:val="none" w:sz="0" w:space="0" w:color="auto"/>
            <w:right w:val="none" w:sz="0" w:space="0" w:color="auto"/>
          </w:divBdr>
        </w:div>
      </w:divsChild>
    </w:div>
    <w:div w:id="1229539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yersbrigg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1636</Words>
  <Characters>9330</Characters>
  <Application>Microsoft Office Word</Application>
  <DocSecurity>0</DocSecurity>
  <Lines>77</Lines>
  <Paragraphs>21</Paragraphs>
  <ScaleCrop>false</ScaleCrop>
  <Company/>
  <LinksUpToDate>false</LinksUpToDate>
  <CharactersWithSpaces>10945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lukasferenc789@gmail.com</dc:creator>
  <cp:keywords/>
  <dc:description/>
  <cp:lastModifiedBy>lukasferenc789@gmail.com</cp:lastModifiedBy>
  <cp:revision>1</cp:revision>
  <dcterms:created xsi:type="dcterms:W3CDTF">2025-06-30T21:42:00Z</dcterms:created>
  <dcterms:modified xsi:type="dcterms:W3CDTF">2025-06-30T21:48:00Z</dcterms:modified>
</cp:coreProperties>
</file>