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5E7" w:rsidRPr="001C25E7" w:rsidRDefault="001C25E7" w:rsidP="001C25E7">
      <w:pPr>
        <w:spacing w:line="480" w:lineRule="auto"/>
        <w:outlineLvl w:val="0"/>
        <w:rPr>
          <w:rFonts w:cstheme="minorHAnsi"/>
        </w:rPr>
      </w:pPr>
      <w:r w:rsidRPr="001C25E7">
        <w:rPr>
          <w:rFonts w:cstheme="minorHAnsi"/>
        </w:rPr>
        <w:t>Kirsty Phillips 1704246</w:t>
      </w:r>
    </w:p>
    <w:p w:rsidR="001C25E7" w:rsidRPr="001C25E7" w:rsidRDefault="001C25E7" w:rsidP="001C25E7">
      <w:pPr>
        <w:spacing w:line="480" w:lineRule="auto"/>
        <w:outlineLvl w:val="0"/>
        <w:rPr>
          <w:rFonts w:cstheme="minorHAnsi"/>
        </w:rPr>
      </w:pPr>
      <w:r w:rsidRPr="001C25E7">
        <w:rPr>
          <w:rFonts w:cstheme="minorHAnsi"/>
        </w:rPr>
        <w:t>HPEN5006: The Rational World: Enlightenment and the Novel – Essay 2</w:t>
      </w:r>
    </w:p>
    <w:p w:rsidR="001C25E7" w:rsidRPr="001C25E7" w:rsidRDefault="001C25E7" w:rsidP="001C25E7">
      <w:pPr>
        <w:spacing w:line="480" w:lineRule="auto"/>
        <w:outlineLvl w:val="0"/>
        <w:rPr>
          <w:rFonts w:cstheme="minorHAnsi"/>
        </w:rPr>
      </w:pPr>
    </w:p>
    <w:p w:rsidR="005E0FD5" w:rsidRPr="001C25E7" w:rsidRDefault="00EE6A50" w:rsidP="001C25E7">
      <w:pPr>
        <w:spacing w:line="480" w:lineRule="auto"/>
        <w:outlineLvl w:val="0"/>
        <w:rPr>
          <w:rFonts w:cstheme="minorHAnsi"/>
        </w:rPr>
      </w:pPr>
      <w:r w:rsidRPr="001C25E7">
        <w:rPr>
          <w:rFonts w:cstheme="minorHAnsi"/>
        </w:rPr>
        <w:t>Confining and defining female identities in the 19</w:t>
      </w:r>
      <w:r w:rsidRPr="001C25E7">
        <w:rPr>
          <w:rFonts w:cstheme="minorHAnsi"/>
          <w:vertAlign w:val="superscript"/>
        </w:rPr>
        <w:t>th</w:t>
      </w:r>
      <w:r w:rsidRPr="001C25E7">
        <w:rPr>
          <w:rFonts w:cstheme="minorHAnsi"/>
        </w:rPr>
        <w:t xml:space="preserve"> century novel.</w:t>
      </w:r>
    </w:p>
    <w:p w:rsidR="00EE6A50" w:rsidRPr="001C25E7" w:rsidRDefault="00EE6A50" w:rsidP="001C25E7">
      <w:pPr>
        <w:spacing w:line="480" w:lineRule="auto"/>
        <w:rPr>
          <w:rFonts w:cstheme="minorHAnsi"/>
        </w:rPr>
      </w:pPr>
    </w:p>
    <w:p w:rsidR="00DB39CD" w:rsidRPr="001C25E7" w:rsidRDefault="00C12D17" w:rsidP="001C25E7">
      <w:pPr>
        <w:spacing w:line="480" w:lineRule="auto"/>
        <w:rPr>
          <w:rFonts w:cstheme="minorHAnsi"/>
        </w:rPr>
      </w:pPr>
      <w:r w:rsidRPr="001C25E7">
        <w:rPr>
          <w:rFonts w:cstheme="minorHAnsi"/>
        </w:rPr>
        <w:t>In the 19</w:t>
      </w:r>
      <w:r w:rsidRPr="001C25E7">
        <w:rPr>
          <w:rFonts w:cstheme="minorHAnsi"/>
          <w:vertAlign w:val="superscript"/>
        </w:rPr>
        <w:t>th</w:t>
      </w:r>
      <w:r w:rsidRPr="001C25E7">
        <w:rPr>
          <w:rFonts w:cstheme="minorHAnsi"/>
        </w:rPr>
        <w:t xml:space="preserve"> century, </w:t>
      </w:r>
      <w:r w:rsidR="00B5307A">
        <w:rPr>
          <w:rFonts w:cstheme="minorHAnsi"/>
        </w:rPr>
        <w:t>the expansion of trade and awareness of other cultures led to</w:t>
      </w:r>
      <w:r w:rsidRPr="001C25E7">
        <w:rPr>
          <w:rFonts w:cstheme="minorHAnsi"/>
        </w:rPr>
        <w:t xml:space="preserve"> a fascination for </w:t>
      </w:r>
      <w:r w:rsidR="00DA65E0" w:rsidRPr="001C25E7">
        <w:rPr>
          <w:rFonts w:cstheme="minorHAnsi"/>
        </w:rPr>
        <w:t xml:space="preserve">alternative worlds </w:t>
      </w:r>
      <w:r w:rsidR="00392E16">
        <w:rPr>
          <w:rFonts w:cstheme="minorHAnsi"/>
        </w:rPr>
        <w:t>even as it</w:t>
      </w:r>
      <w:r w:rsidR="00DA65E0" w:rsidRPr="001C25E7">
        <w:rPr>
          <w:rFonts w:cstheme="minorHAnsi"/>
        </w:rPr>
        <w:t xml:space="preserve"> had many anxieties about slavery and imperialism.</w:t>
      </w:r>
      <w:r w:rsidR="0070147F" w:rsidRPr="001C25E7">
        <w:rPr>
          <w:rStyle w:val="FootnoteReference"/>
          <w:rFonts w:cstheme="minorHAnsi"/>
        </w:rPr>
        <w:footnoteReference w:id="1"/>
      </w:r>
      <w:r w:rsidR="00DA65E0" w:rsidRPr="001C25E7">
        <w:rPr>
          <w:rFonts w:cstheme="minorHAnsi"/>
        </w:rPr>
        <w:t xml:space="preserve"> </w:t>
      </w:r>
      <w:r w:rsidR="00392E16">
        <w:rPr>
          <w:rFonts w:cstheme="minorHAnsi"/>
        </w:rPr>
        <w:t xml:space="preserve"> Exploring the cultural importance of imperialism</w:t>
      </w:r>
      <w:r w:rsidR="00127234">
        <w:rPr>
          <w:rFonts w:cstheme="minorHAnsi"/>
        </w:rPr>
        <w:t xml:space="preserve"> Gayatri C. Spivak states that: </w:t>
      </w:r>
      <w:r w:rsidR="00DA65E0" w:rsidRPr="001C25E7">
        <w:rPr>
          <w:rFonts w:cstheme="minorHAnsi"/>
        </w:rPr>
        <w:t>‘The role of literature in the production of cultural representation should not be ignored’.</w:t>
      </w:r>
      <w:r w:rsidR="00DA65E0" w:rsidRPr="001C25E7">
        <w:rPr>
          <w:rStyle w:val="FootnoteReference"/>
          <w:rFonts w:cstheme="minorHAnsi"/>
        </w:rPr>
        <w:footnoteReference w:id="2"/>
      </w:r>
      <w:r w:rsidR="00127234">
        <w:rPr>
          <w:rFonts w:cstheme="minorHAnsi"/>
        </w:rPr>
        <w:t xml:space="preserve"> In addition, after</w:t>
      </w:r>
      <w:r w:rsidR="00DF413E" w:rsidRPr="001C25E7">
        <w:rPr>
          <w:rFonts w:cstheme="minorHAnsi"/>
        </w:rPr>
        <w:t xml:space="preserve"> the Napoleonic</w:t>
      </w:r>
      <w:r w:rsidR="00060DF5" w:rsidRPr="001C25E7">
        <w:rPr>
          <w:rFonts w:cstheme="minorHAnsi"/>
        </w:rPr>
        <w:t xml:space="preserve"> wars, the question of the nation and the relation to others became key</w:t>
      </w:r>
      <w:r w:rsidR="00060DF5" w:rsidRPr="001C25E7">
        <w:rPr>
          <w:rStyle w:val="FootnoteReference"/>
          <w:rFonts w:cstheme="minorHAnsi"/>
        </w:rPr>
        <w:footnoteReference w:id="3"/>
      </w:r>
      <w:r w:rsidR="00060DF5" w:rsidRPr="001C25E7">
        <w:rPr>
          <w:rFonts w:cstheme="minorHAnsi"/>
        </w:rPr>
        <w:t xml:space="preserve"> which lead to increasing emphasis on Englishness.</w:t>
      </w:r>
      <w:r w:rsidR="00060DF5" w:rsidRPr="001C25E7">
        <w:rPr>
          <w:rStyle w:val="FootnoteReference"/>
          <w:rFonts w:cstheme="minorHAnsi"/>
        </w:rPr>
        <w:footnoteReference w:id="4"/>
      </w:r>
      <w:r w:rsidR="003E68C5" w:rsidRPr="001C25E7">
        <w:rPr>
          <w:rFonts w:cstheme="minorHAnsi"/>
        </w:rPr>
        <w:t xml:space="preserve"> </w:t>
      </w:r>
      <w:r w:rsidR="00127234">
        <w:rPr>
          <w:rFonts w:cstheme="minorHAnsi"/>
        </w:rPr>
        <w:t>All of these issues can be seen in the writing of the time. During</w:t>
      </w:r>
      <w:r w:rsidR="003E68C5" w:rsidRPr="001C25E7">
        <w:rPr>
          <w:rFonts w:cstheme="minorHAnsi"/>
        </w:rPr>
        <w:t xml:space="preserve"> the 19</w:t>
      </w:r>
      <w:r w:rsidR="003E68C5" w:rsidRPr="001C25E7">
        <w:rPr>
          <w:rFonts w:cstheme="minorHAnsi"/>
          <w:vertAlign w:val="superscript"/>
        </w:rPr>
        <w:t>th</w:t>
      </w:r>
      <w:r w:rsidR="003E68C5" w:rsidRPr="001C25E7">
        <w:rPr>
          <w:rFonts w:cstheme="minorHAnsi"/>
        </w:rPr>
        <w:t xml:space="preserve"> century, the nuclear family became </w:t>
      </w:r>
      <w:r w:rsidR="00127234">
        <w:rPr>
          <w:rFonts w:cstheme="minorHAnsi"/>
        </w:rPr>
        <w:t>the dominant class</w:t>
      </w:r>
      <w:r w:rsidR="003E68C5" w:rsidRPr="001C25E7">
        <w:rPr>
          <w:rFonts w:cstheme="minorHAnsi"/>
        </w:rPr>
        <w:t xml:space="preserve"> due to being functionally adapted to the newly industrial society. The entire structure of the family adapted from the</w:t>
      </w:r>
      <w:r w:rsidR="00054ADA">
        <w:rPr>
          <w:rFonts w:cstheme="minorHAnsi"/>
        </w:rPr>
        <w:t xml:space="preserve"> previously popular</w:t>
      </w:r>
      <w:r w:rsidR="003E68C5" w:rsidRPr="001C25E7">
        <w:rPr>
          <w:rFonts w:cstheme="minorHAnsi"/>
        </w:rPr>
        <w:t xml:space="preserve"> extended to the nuclear family.</w:t>
      </w:r>
      <w:r w:rsidR="003E68C5" w:rsidRPr="001C25E7">
        <w:rPr>
          <w:rStyle w:val="FootnoteReference"/>
          <w:rFonts w:cstheme="minorHAnsi"/>
        </w:rPr>
        <w:footnoteReference w:id="5"/>
      </w:r>
      <w:r w:rsidR="005968D5" w:rsidRPr="001C25E7">
        <w:rPr>
          <w:rFonts w:cstheme="minorHAnsi"/>
        </w:rPr>
        <w:t xml:space="preserve"> </w:t>
      </w:r>
    </w:p>
    <w:p w:rsidR="00DB39CD" w:rsidRPr="001C25E7" w:rsidRDefault="00DB39CD" w:rsidP="001C25E7">
      <w:pPr>
        <w:spacing w:line="480" w:lineRule="auto"/>
        <w:rPr>
          <w:rFonts w:cstheme="minorHAnsi"/>
        </w:rPr>
      </w:pPr>
    </w:p>
    <w:p w:rsidR="00DB39CD" w:rsidRPr="001C25E7" w:rsidRDefault="00156296" w:rsidP="001C25E7">
      <w:pPr>
        <w:spacing w:line="480" w:lineRule="auto"/>
        <w:rPr>
          <w:rFonts w:cstheme="minorHAnsi"/>
        </w:rPr>
      </w:pPr>
      <w:r w:rsidRPr="001C25E7">
        <w:rPr>
          <w:rFonts w:cstheme="minorHAnsi"/>
        </w:rPr>
        <w:t xml:space="preserve">John Clarke states that although the nineteenth century had an ideology that the child was central to the family, </w:t>
      </w:r>
      <w:r w:rsidR="00CA5981">
        <w:rPr>
          <w:rFonts w:cstheme="minorHAnsi"/>
        </w:rPr>
        <w:t>there was</w:t>
      </w:r>
      <w:r w:rsidRPr="001C25E7">
        <w:rPr>
          <w:rFonts w:cstheme="minorHAnsi"/>
        </w:rPr>
        <w:t xml:space="preserve"> more of a chance of exploitation of the child due to the impact of industrialisation.</w:t>
      </w:r>
      <w:r w:rsidR="00106273" w:rsidRPr="001C25E7">
        <w:rPr>
          <w:rFonts w:cstheme="minorHAnsi"/>
        </w:rPr>
        <w:t xml:space="preserve"> As well as this, there was a new emergence of the commercial class which suggested that the father was the head of the family and the holding the </w:t>
      </w:r>
      <w:r w:rsidR="00106273" w:rsidRPr="001C25E7">
        <w:rPr>
          <w:rFonts w:cstheme="minorHAnsi"/>
        </w:rPr>
        <w:lastRenderedPageBreak/>
        <w:t>strongest parental role.</w:t>
      </w:r>
      <w:r w:rsidR="002B60D0" w:rsidRPr="001C25E7">
        <w:rPr>
          <w:rStyle w:val="FootnoteReference"/>
          <w:rFonts w:cstheme="minorHAnsi"/>
        </w:rPr>
        <w:footnoteReference w:id="6"/>
      </w:r>
      <w:r w:rsidR="00711A09">
        <w:rPr>
          <w:rFonts w:cstheme="minorHAnsi"/>
        </w:rPr>
        <w:t xml:space="preserve"> Lawrence Stone </w:t>
      </w:r>
      <w:r w:rsidR="006A0F51" w:rsidRPr="001C25E7">
        <w:rPr>
          <w:rFonts w:cstheme="minorHAnsi"/>
        </w:rPr>
        <w:t xml:space="preserve">echoes his view and suggests that the </w:t>
      </w:r>
      <w:r w:rsidR="00711A09">
        <w:rPr>
          <w:rFonts w:cstheme="minorHAnsi"/>
        </w:rPr>
        <w:t>earlier model of the family had a negative view of the child as he felt there was an emotional detachment between the child and the rest of the family.</w:t>
      </w:r>
      <w:r w:rsidR="006A0F51" w:rsidRPr="001C25E7">
        <w:rPr>
          <w:rStyle w:val="FootnoteReference"/>
          <w:rFonts w:cstheme="minorHAnsi"/>
        </w:rPr>
        <w:footnoteReference w:id="7"/>
      </w:r>
    </w:p>
    <w:p w:rsidR="0064747A" w:rsidRPr="001C25E7" w:rsidRDefault="0064747A" w:rsidP="001C25E7">
      <w:pPr>
        <w:spacing w:line="480" w:lineRule="auto"/>
        <w:rPr>
          <w:rFonts w:cstheme="minorHAnsi"/>
        </w:rPr>
      </w:pPr>
    </w:p>
    <w:p w:rsidR="0064747A" w:rsidRPr="001C25E7" w:rsidRDefault="008F5534" w:rsidP="001C25E7">
      <w:pPr>
        <w:spacing w:line="480" w:lineRule="auto"/>
        <w:rPr>
          <w:rFonts w:cstheme="minorHAnsi"/>
        </w:rPr>
      </w:pPr>
      <w:r w:rsidRPr="001C25E7">
        <w:rPr>
          <w:rFonts w:cstheme="minorHAnsi"/>
        </w:rPr>
        <w:t>The 19</w:t>
      </w:r>
      <w:r w:rsidRPr="001C25E7">
        <w:rPr>
          <w:rFonts w:cstheme="minorHAnsi"/>
          <w:vertAlign w:val="superscript"/>
        </w:rPr>
        <w:t>th</w:t>
      </w:r>
      <w:r w:rsidRPr="001C25E7">
        <w:rPr>
          <w:rFonts w:cstheme="minorHAnsi"/>
        </w:rPr>
        <w:t xml:space="preserve"> century nuclear family had specific roles in </w:t>
      </w:r>
      <w:r w:rsidR="00711A09">
        <w:rPr>
          <w:rFonts w:cstheme="minorHAnsi"/>
        </w:rPr>
        <w:t>place for both women and child.</w:t>
      </w:r>
      <w:r w:rsidRPr="001C25E7">
        <w:rPr>
          <w:rFonts w:cstheme="minorHAnsi"/>
        </w:rPr>
        <w:t xml:space="preserve"> In</w:t>
      </w:r>
      <w:r w:rsidR="00711A09">
        <w:rPr>
          <w:rFonts w:cstheme="minorHAnsi"/>
        </w:rPr>
        <w:t>deed</w:t>
      </w:r>
      <w:r w:rsidR="00BC525F">
        <w:rPr>
          <w:rFonts w:cstheme="minorHAnsi"/>
        </w:rPr>
        <w:t xml:space="preserve"> J. R. Gillis claims that in</w:t>
      </w:r>
      <w:r w:rsidRPr="001C25E7">
        <w:rPr>
          <w:rFonts w:cstheme="minorHAnsi"/>
        </w:rPr>
        <w:t xml:space="preserve"> the 19</w:t>
      </w:r>
      <w:r w:rsidRPr="001C25E7">
        <w:rPr>
          <w:rFonts w:cstheme="minorHAnsi"/>
          <w:vertAlign w:val="superscript"/>
        </w:rPr>
        <w:t>th</w:t>
      </w:r>
      <w:r w:rsidRPr="001C25E7">
        <w:rPr>
          <w:rFonts w:cstheme="minorHAnsi"/>
        </w:rPr>
        <w:t xml:space="preserve"> century, motherhood became a career for the </w:t>
      </w:r>
      <w:r w:rsidR="009F1273" w:rsidRPr="001C25E7">
        <w:rPr>
          <w:rFonts w:cstheme="minorHAnsi"/>
        </w:rPr>
        <w:t>middle-class</w:t>
      </w:r>
      <w:r w:rsidRPr="001C25E7">
        <w:rPr>
          <w:rFonts w:cstheme="minorHAnsi"/>
        </w:rPr>
        <w:t xml:space="preserve"> women in the same way as a paid job for men.</w:t>
      </w:r>
      <w:r w:rsidRPr="001C25E7">
        <w:rPr>
          <w:rStyle w:val="FootnoteReference"/>
          <w:rFonts w:cstheme="minorHAnsi"/>
        </w:rPr>
        <w:footnoteReference w:id="8"/>
      </w:r>
      <w:r w:rsidR="009F1273" w:rsidRPr="001C25E7">
        <w:rPr>
          <w:rFonts w:cstheme="minorHAnsi"/>
        </w:rPr>
        <w:t xml:space="preserve"> These ideals came with new boundaries and the new identities of individuals were strongly policed. If a woman was to ignore the boundaries that were put in front of her, she was often referred to as a ‘fallen woman’.</w:t>
      </w:r>
      <w:r w:rsidR="009F1273" w:rsidRPr="001C25E7">
        <w:rPr>
          <w:rStyle w:val="FootnoteReference"/>
          <w:rFonts w:cstheme="minorHAnsi"/>
        </w:rPr>
        <w:footnoteReference w:id="9"/>
      </w:r>
    </w:p>
    <w:p w:rsidR="003932D1" w:rsidRPr="001C25E7" w:rsidRDefault="003932D1" w:rsidP="001C25E7">
      <w:pPr>
        <w:spacing w:line="480" w:lineRule="auto"/>
        <w:rPr>
          <w:rFonts w:cstheme="minorHAnsi"/>
        </w:rPr>
      </w:pPr>
    </w:p>
    <w:p w:rsidR="003932D1" w:rsidRPr="001C25E7" w:rsidRDefault="003932D1" w:rsidP="001C25E7">
      <w:pPr>
        <w:spacing w:line="480" w:lineRule="auto"/>
        <w:rPr>
          <w:rFonts w:cstheme="minorHAnsi"/>
        </w:rPr>
      </w:pPr>
      <w:r w:rsidRPr="001C25E7">
        <w:rPr>
          <w:rFonts w:cstheme="minorHAnsi"/>
        </w:rPr>
        <w:t xml:space="preserve">In this essay I will split my focus between the role of a woman in a newly dominant bourgeois family as it moves in to the gentry by discussing </w:t>
      </w:r>
      <w:r w:rsidRPr="001C25E7">
        <w:rPr>
          <w:rFonts w:cstheme="minorHAnsi"/>
          <w:i/>
        </w:rPr>
        <w:t>Mansfield Park</w:t>
      </w:r>
      <w:r w:rsidRPr="001C25E7">
        <w:rPr>
          <w:rFonts w:cstheme="minorHAnsi"/>
        </w:rPr>
        <w:t xml:space="preserve"> </w:t>
      </w:r>
      <w:r w:rsidR="00C478B9" w:rsidRPr="001C25E7">
        <w:rPr>
          <w:rFonts w:cstheme="minorHAnsi"/>
        </w:rPr>
        <w:t xml:space="preserve">and then turn to the new sphere of the female child in </w:t>
      </w:r>
      <w:r w:rsidR="00C478B9" w:rsidRPr="001C25E7">
        <w:rPr>
          <w:rFonts w:cstheme="minorHAnsi"/>
          <w:i/>
        </w:rPr>
        <w:t xml:space="preserve">Alice’s Adventures in Wonderland. </w:t>
      </w:r>
      <w:r w:rsidR="00C478B9" w:rsidRPr="001C25E7">
        <w:rPr>
          <w:rFonts w:cstheme="minorHAnsi"/>
        </w:rPr>
        <w:t>Both texts are equally bound up with defining their worlds against a model of otherness.</w:t>
      </w:r>
    </w:p>
    <w:p w:rsidR="000760E5" w:rsidRPr="001C25E7" w:rsidRDefault="000760E5" w:rsidP="001C25E7">
      <w:pPr>
        <w:spacing w:line="480" w:lineRule="auto"/>
        <w:rPr>
          <w:rFonts w:cstheme="minorHAnsi"/>
        </w:rPr>
      </w:pPr>
    </w:p>
    <w:p w:rsidR="000760E5" w:rsidRPr="001C25E7" w:rsidRDefault="000760E5" w:rsidP="001C25E7">
      <w:pPr>
        <w:spacing w:line="480" w:lineRule="auto"/>
        <w:rPr>
          <w:rFonts w:cstheme="minorHAnsi"/>
        </w:rPr>
      </w:pPr>
      <w:r w:rsidRPr="001C25E7">
        <w:rPr>
          <w:rFonts w:cstheme="minorHAnsi"/>
        </w:rPr>
        <w:t>To begin, the opening of both texts is instructive and fit with the 19</w:t>
      </w:r>
      <w:r w:rsidRPr="001C25E7">
        <w:rPr>
          <w:rFonts w:cstheme="minorHAnsi"/>
          <w:vertAlign w:val="superscript"/>
        </w:rPr>
        <w:t>th</w:t>
      </w:r>
      <w:r w:rsidRPr="001C25E7">
        <w:rPr>
          <w:rFonts w:cstheme="minorHAnsi"/>
        </w:rPr>
        <w:t xml:space="preserve"> century ideals. </w:t>
      </w:r>
      <w:r w:rsidR="00E004C3" w:rsidRPr="001C25E7">
        <w:rPr>
          <w:rFonts w:cstheme="minorHAnsi"/>
        </w:rPr>
        <w:t xml:space="preserve">The beginning of </w:t>
      </w:r>
      <w:r w:rsidR="00E004C3" w:rsidRPr="001C25E7">
        <w:rPr>
          <w:rFonts w:cstheme="minorHAnsi"/>
          <w:i/>
        </w:rPr>
        <w:t xml:space="preserve">Mansfield Park </w:t>
      </w:r>
      <w:r w:rsidR="00E004C3" w:rsidRPr="001C25E7">
        <w:rPr>
          <w:rFonts w:cstheme="minorHAnsi"/>
        </w:rPr>
        <w:t>shows the monetary model for women and how women were able to move classes going up and down depending on who they married compared to men that were always stable.</w:t>
      </w:r>
      <w:r w:rsidR="00E004C3" w:rsidRPr="001C25E7">
        <w:rPr>
          <w:rStyle w:val="FootnoteReference"/>
          <w:rFonts w:cstheme="minorHAnsi"/>
        </w:rPr>
        <w:footnoteReference w:id="10"/>
      </w:r>
      <w:r w:rsidR="00E004C3" w:rsidRPr="001C25E7">
        <w:rPr>
          <w:rFonts w:cstheme="minorHAnsi"/>
        </w:rPr>
        <w:t xml:space="preserve"> This idea can be seen in the first chapter of the book as it states that; “Miss Maria Ward of Huntington, with only seven thousand pounds, had the good luck </w:t>
      </w:r>
      <w:r w:rsidR="00E004C3" w:rsidRPr="001C25E7">
        <w:rPr>
          <w:rFonts w:cstheme="minorHAnsi"/>
        </w:rPr>
        <w:lastRenderedPageBreak/>
        <w:t>to captivate Sir Thomas Bertram, of Mansfield Park”.</w:t>
      </w:r>
      <w:r w:rsidR="00E004C3" w:rsidRPr="001C25E7">
        <w:rPr>
          <w:rStyle w:val="FootnoteReference"/>
          <w:rFonts w:cstheme="minorHAnsi"/>
        </w:rPr>
        <w:footnoteReference w:id="11"/>
      </w:r>
      <w:r w:rsidR="008108E1" w:rsidRPr="001C25E7">
        <w:rPr>
          <w:rFonts w:cstheme="minorHAnsi"/>
        </w:rPr>
        <w:t xml:space="preserve"> The words “good luck” suggest </w:t>
      </w:r>
      <w:r w:rsidR="008D4DB4" w:rsidRPr="001C25E7">
        <w:rPr>
          <w:rFonts w:cstheme="minorHAnsi"/>
        </w:rPr>
        <w:t xml:space="preserve">that Maria should feel happy to have the opportunity to marry up in to a better class than her original class. The entirety of the beginning of </w:t>
      </w:r>
      <w:r w:rsidR="008D4DB4" w:rsidRPr="001C25E7">
        <w:rPr>
          <w:rFonts w:cstheme="minorHAnsi"/>
          <w:i/>
        </w:rPr>
        <w:t xml:space="preserve">Mansfield Park </w:t>
      </w:r>
      <w:r w:rsidR="008D4DB4" w:rsidRPr="001C25E7">
        <w:rPr>
          <w:rFonts w:cstheme="minorHAnsi"/>
        </w:rPr>
        <w:t>is written in th</w:t>
      </w:r>
      <w:r w:rsidR="00E44BF5" w:rsidRPr="001C25E7">
        <w:rPr>
          <w:rFonts w:cstheme="minorHAnsi"/>
        </w:rPr>
        <w:t>is way</w:t>
      </w:r>
      <w:r w:rsidR="008D4DB4" w:rsidRPr="001C25E7">
        <w:rPr>
          <w:rFonts w:cstheme="minorHAnsi"/>
        </w:rPr>
        <w:t>, going through each of the three sisters and explaining their classes and whether they got better or worse.</w:t>
      </w:r>
    </w:p>
    <w:p w:rsidR="009726DA" w:rsidRPr="001C25E7" w:rsidRDefault="009726DA" w:rsidP="001C25E7">
      <w:pPr>
        <w:spacing w:line="480" w:lineRule="auto"/>
        <w:rPr>
          <w:rFonts w:cstheme="minorHAnsi"/>
        </w:rPr>
      </w:pPr>
    </w:p>
    <w:p w:rsidR="009726DA" w:rsidRPr="001C25E7" w:rsidRDefault="009726DA" w:rsidP="001C25E7">
      <w:pPr>
        <w:spacing w:line="480" w:lineRule="auto"/>
        <w:rPr>
          <w:rFonts w:cstheme="minorHAnsi"/>
        </w:rPr>
      </w:pPr>
      <w:r w:rsidRPr="001C25E7">
        <w:rPr>
          <w:rFonts w:cstheme="minorHAnsi"/>
        </w:rPr>
        <w:t xml:space="preserve">The beginning of </w:t>
      </w:r>
      <w:r w:rsidRPr="001C25E7">
        <w:rPr>
          <w:rFonts w:cstheme="minorHAnsi"/>
          <w:i/>
        </w:rPr>
        <w:t xml:space="preserve">Alice </w:t>
      </w:r>
      <w:r w:rsidRPr="001C25E7">
        <w:rPr>
          <w:rFonts w:cstheme="minorHAnsi"/>
        </w:rPr>
        <w:t>is different although still instructive to the reader. It goes back to the idea of ‘the fallen woman’ although more literally as Alice falls down the rabbit hole after falling a male figure yet she does not hurt herself.</w:t>
      </w:r>
      <w:r w:rsidR="004E2B03" w:rsidRPr="001C25E7">
        <w:rPr>
          <w:rStyle w:val="FootnoteReference"/>
          <w:rFonts w:cstheme="minorHAnsi"/>
        </w:rPr>
        <w:footnoteReference w:id="12"/>
      </w:r>
      <w:r w:rsidRPr="001C25E7">
        <w:rPr>
          <w:rFonts w:cstheme="minorHAnsi"/>
        </w:rPr>
        <w:t xml:space="preserve"> She is also given </w:t>
      </w:r>
      <w:r w:rsidR="00787191" w:rsidRPr="001C25E7">
        <w:rPr>
          <w:rFonts w:cstheme="minorHAnsi"/>
        </w:rPr>
        <w:t>imaginative freedom as she falls down the rabbit hole as she has plenty of time to think while falling.</w:t>
      </w:r>
    </w:p>
    <w:p w:rsidR="00011D2E" w:rsidRPr="001C25E7" w:rsidRDefault="00011D2E" w:rsidP="001C25E7">
      <w:pPr>
        <w:spacing w:line="480" w:lineRule="auto"/>
        <w:rPr>
          <w:rFonts w:cstheme="minorHAnsi"/>
        </w:rPr>
      </w:pPr>
    </w:p>
    <w:p w:rsidR="00011D2E" w:rsidRPr="001C25E7" w:rsidRDefault="00525580" w:rsidP="001C25E7">
      <w:pPr>
        <w:spacing w:line="480" w:lineRule="auto"/>
        <w:rPr>
          <w:rFonts w:cstheme="minorHAnsi"/>
        </w:rPr>
      </w:pPr>
      <w:r w:rsidRPr="001C25E7">
        <w:rPr>
          <w:rFonts w:cstheme="minorHAnsi"/>
        </w:rPr>
        <w:t xml:space="preserve">When Fanny moves in with the </w:t>
      </w:r>
      <w:r w:rsidR="005D2455">
        <w:rPr>
          <w:rFonts w:cstheme="minorHAnsi"/>
        </w:rPr>
        <w:t>Bertrams at Mansfield, she moves from one family model in to another</w:t>
      </w:r>
      <w:r w:rsidRPr="001C25E7">
        <w:rPr>
          <w:rFonts w:cstheme="minorHAnsi"/>
        </w:rPr>
        <w:t xml:space="preserve"> which is completely different to what she is used to in Portsmouth as the family have money and are expected to act in a specific way due to being wealthy and of a higher class.</w:t>
      </w:r>
      <w:r w:rsidR="00477D91" w:rsidRPr="001C25E7">
        <w:rPr>
          <w:rStyle w:val="FootnoteReference"/>
          <w:rFonts w:cstheme="minorHAnsi"/>
        </w:rPr>
        <w:footnoteReference w:id="13"/>
      </w:r>
      <w:r w:rsidRPr="001C25E7">
        <w:rPr>
          <w:rFonts w:cstheme="minorHAnsi"/>
        </w:rPr>
        <w:t xml:space="preserve"> As w</w:t>
      </w:r>
      <w:r w:rsidR="005D51B9" w:rsidRPr="001C25E7">
        <w:rPr>
          <w:rFonts w:cstheme="minorHAnsi"/>
        </w:rPr>
        <w:t xml:space="preserve">e know, this falls apart due to the Miss Bertram sisters running off and behaving in a way that is deemed unacceptable. Due to the family falling apart, we are left with a new hybrid of classes </w:t>
      </w:r>
      <w:r w:rsidR="0020790D" w:rsidRPr="001C25E7">
        <w:rPr>
          <w:rFonts w:cstheme="minorHAnsi"/>
        </w:rPr>
        <w:t>due to Fanny getting married to Edmund. The heroin of the novel is a female originally of the lower classes and she is married to the second Bertram son who has to work. Although this is a happy ending for Fanny, she is still married to a</w:t>
      </w:r>
      <w:r w:rsidR="00CC0156" w:rsidRPr="001C25E7">
        <w:rPr>
          <w:rFonts w:cstheme="minorHAnsi"/>
        </w:rPr>
        <w:t xml:space="preserve"> man that has to go out to work and due to being the second son, he would not inherit as much from his parents.</w:t>
      </w:r>
    </w:p>
    <w:p w:rsidR="00B354C1" w:rsidRPr="001C25E7" w:rsidRDefault="00B354C1" w:rsidP="001C25E7">
      <w:pPr>
        <w:spacing w:line="480" w:lineRule="auto"/>
        <w:rPr>
          <w:rFonts w:cstheme="minorHAnsi"/>
        </w:rPr>
      </w:pPr>
    </w:p>
    <w:p w:rsidR="00B354C1" w:rsidRPr="001C25E7" w:rsidRDefault="00B354C1" w:rsidP="001C25E7">
      <w:pPr>
        <w:spacing w:line="480" w:lineRule="auto"/>
        <w:rPr>
          <w:rFonts w:cstheme="minorHAnsi"/>
        </w:rPr>
      </w:pPr>
      <w:r w:rsidRPr="001C25E7">
        <w:rPr>
          <w:rFonts w:cstheme="minorHAnsi"/>
        </w:rPr>
        <w:t xml:space="preserve">To really understand </w:t>
      </w:r>
      <w:r w:rsidRPr="001C25E7">
        <w:rPr>
          <w:rFonts w:cstheme="minorHAnsi"/>
          <w:i/>
        </w:rPr>
        <w:t xml:space="preserve">Mansfield Park, </w:t>
      </w:r>
      <w:r w:rsidRPr="001C25E7">
        <w:rPr>
          <w:rFonts w:cstheme="minorHAnsi"/>
        </w:rPr>
        <w:t>it’s important that the reader</w:t>
      </w:r>
      <w:r w:rsidR="005D4EB7" w:rsidRPr="001C25E7">
        <w:rPr>
          <w:rFonts w:cstheme="minorHAnsi"/>
        </w:rPr>
        <w:t xml:space="preserve"> understands the politics that run throughout the novel.</w:t>
      </w:r>
      <w:r w:rsidR="00620462" w:rsidRPr="001C25E7">
        <w:rPr>
          <w:rFonts w:cstheme="minorHAnsi"/>
        </w:rPr>
        <w:t xml:space="preserve"> Sir Thomas Bertram is not present for much of the novel</w:t>
      </w:r>
      <w:r w:rsidR="00536FCE" w:rsidRPr="001C25E7">
        <w:rPr>
          <w:rFonts w:cstheme="minorHAnsi"/>
        </w:rPr>
        <w:t xml:space="preserve"> as he is</w:t>
      </w:r>
      <w:r w:rsidR="00011D2E" w:rsidRPr="001C25E7">
        <w:rPr>
          <w:rFonts w:cstheme="minorHAnsi"/>
        </w:rPr>
        <w:t xml:space="preserve"> </w:t>
      </w:r>
      <w:r w:rsidR="00BF3D54" w:rsidRPr="001C25E7">
        <w:rPr>
          <w:rFonts w:cstheme="minorHAnsi"/>
        </w:rPr>
        <w:t xml:space="preserve">in Antigua on business. </w:t>
      </w:r>
      <w:r w:rsidR="009E3BA0" w:rsidRPr="001C25E7">
        <w:rPr>
          <w:rFonts w:cstheme="minorHAnsi"/>
        </w:rPr>
        <w:t xml:space="preserve">If the reader of </w:t>
      </w:r>
      <w:r w:rsidR="009E3BA0" w:rsidRPr="001C25E7">
        <w:rPr>
          <w:rFonts w:cstheme="minorHAnsi"/>
          <w:i/>
        </w:rPr>
        <w:t xml:space="preserve">Mansfield Park </w:t>
      </w:r>
      <w:r w:rsidR="009E3BA0" w:rsidRPr="001C25E7">
        <w:rPr>
          <w:rFonts w:cstheme="minorHAnsi"/>
        </w:rPr>
        <w:t>was unaware of context, this would not be significant. It’s presumed that Sir Thomas is in Antigua doing something with the slave revolts that took place at the time.</w:t>
      </w:r>
      <w:r w:rsidR="009E3BA0" w:rsidRPr="001C25E7">
        <w:rPr>
          <w:rStyle w:val="FootnoteReference"/>
          <w:rFonts w:cstheme="minorHAnsi"/>
        </w:rPr>
        <w:footnoteReference w:id="14"/>
      </w:r>
      <w:r w:rsidR="009E3BA0" w:rsidRPr="001C25E7">
        <w:rPr>
          <w:rFonts w:cstheme="minorHAnsi"/>
        </w:rPr>
        <w:t xml:space="preserve"> The character of Mrs Norris is known as the villain of the novel as she treats </w:t>
      </w:r>
      <w:r w:rsidR="00A51A6F" w:rsidRPr="001C25E7">
        <w:rPr>
          <w:rFonts w:cstheme="minorHAnsi"/>
        </w:rPr>
        <w:t>all of the young ladies in the novel with complete disrespect. Mrs Norris believes that she is powerful and important. The name Norris is given to the character as Robert Norris was a famous pro-slavery trader.</w:t>
      </w:r>
      <w:r w:rsidR="00A51A6F" w:rsidRPr="001C25E7">
        <w:rPr>
          <w:rStyle w:val="FootnoteReference"/>
          <w:rFonts w:cstheme="minorHAnsi"/>
        </w:rPr>
        <w:footnoteReference w:id="15"/>
      </w:r>
      <w:r w:rsidR="00612AB2" w:rsidRPr="001C25E7">
        <w:rPr>
          <w:rFonts w:cstheme="minorHAnsi"/>
        </w:rPr>
        <w:t xml:space="preserve"> As Norris was the name of someone that was </w:t>
      </w:r>
      <w:r w:rsidR="00124739" w:rsidRPr="001C25E7">
        <w:rPr>
          <w:rFonts w:cstheme="minorHAnsi"/>
        </w:rPr>
        <w:t xml:space="preserve">completely in favour of the slave trade, </w:t>
      </w:r>
      <w:r w:rsidR="001D31A5" w:rsidRPr="001C25E7">
        <w:rPr>
          <w:rFonts w:cstheme="minorHAnsi"/>
        </w:rPr>
        <w:t xml:space="preserve">Mansfield was named after Lord Mansfield, who contributed to the abolition of slavery. This is significant </w:t>
      </w:r>
      <w:r w:rsidR="002B4B48" w:rsidRPr="001C25E7">
        <w:rPr>
          <w:rFonts w:cstheme="minorHAnsi"/>
        </w:rPr>
        <w:t>as Mansfield is supposed to be like a</w:t>
      </w:r>
      <w:r w:rsidR="00A1078D" w:rsidRPr="001C25E7">
        <w:rPr>
          <w:rFonts w:cstheme="minorHAnsi"/>
        </w:rPr>
        <w:t xml:space="preserve"> safe haven for Fanny and a place where she can improve her life throughout the novel.</w:t>
      </w:r>
      <w:r w:rsidR="00A1078D" w:rsidRPr="001C25E7">
        <w:rPr>
          <w:rStyle w:val="FootnoteReference"/>
          <w:rFonts w:cstheme="minorHAnsi"/>
        </w:rPr>
        <w:footnoteReference w:id="16"/>
      </w:r>
    </w:p>
    <w:p w:rsidR="00B3098A" w:rsidRPr="001C25E7" w:rsidRDefault="00B3098A" w:rsidP="001C25E7">
      <w:pPr>
        <w:spacing w:line="480" w:lineRule="auto"/>
        <w:rPr>
          <w:rFonts w:cstheme="minorHAnsi"/>
        </w:rPr>
      </w:pPr>
    </w:p>
    <w:p w:rsidR="000B772A" w:rsidRPr="001C25E7" w:rsidRDefault="00B73643" w:rsidP="001C25E7">
      <w:pPr>
        <w:spacing w:line="480" w:lineRule="auto"/>
        <w:rPr>
          <w:rFonts w:cstheme="minorHAnsi"/>
        </w:rPr>
      </w:pPr>
      <w:r w:rsidRPr="001C25E7">
        <w:rPr>
          <w:rFonts w:cstheme="minorHAnsi"/>
        </w:rPr>
        <w:t>Fanny</w:t>
      </w:r>
      <w:r w:rsidR="00185F66">
        <w:rPr>
          <w:rFonts w:cstheme="minorHAnsi"/>
        </w:rPr>
        <w:t>’s role</w:t>
      </w:r>
      <w:r w:rsidRPr="001C25E7">
        <w:rPr>
          <w:rFonts w:cstheme="minorHAnsi"/>
        </w:rPr>
        <w:t xml:space="preserve"> </w:t>
      </w:r>
      <w:r w:rsidR="00185F66">
        <w:rPr>
          <w:rFonts w:cstheme="minorHAnsi"/>
        </w:rPr>
        <w:t xml:space="preserve">regarding spatial boundaries </w:t>
      </w:r>
      <w:r w:rsidRPr="001C25E7">
        <w:rPr>
          <w:rFonts w:cstheme="minorHAnsi"/>
        </w:rPr>
        <w:t>is key and central to the novel of</w:t>
      </w:r>
      <w:r w:rsidR="00B3098A" w:rsidRPr="001C25E7">
        <w:rPr>
          <w:rFonts w:cstheme="minorHAnsi"/>
        </w:rPr>
        <w:t xml:space="preserve"> </w:t>
      </w:r>
      <w:r w:rsidR="00B3098A" w:rsidRPr="001C25E7">
        <w:rPr>
          <w:rFonts w:cstheme="minorHAnsi"/>
          <w:i/>
        </w:rPr>
        <w:t>Mansfield Park</w:t>
      </w:r>
      <w:r w:rsidRPr="001C25E7">
        <w:rPr>
          <w:rFonts w:cstheme="minorHAnsi"/>
          <w:i/>
        </w:rPr>
        <w:t>.</w:t>
      </w:r>
      <w:r w:rsidRPr="001C25E7">
        <w:rPr>
          <w:rStyle w:val="FootnoteReference"/>
          <w:rFonts w:cstheme="minorHAnsi"/>
        </w:rPr>
        <w:footnoteReference w:id="17"/>
      </w:r>
      <w:r w:rsidR="00C86250" w:rsidRPr="001C25E7">
        <w:rPr>
          <w:rFonts w:cstheme="minorHAnsi"/>
        </w:rPr>
        <w:t xml:space="preserve"> It is almost as though Fanny doesn’t have anywhere to go and doesn’t want to push boundaries as she knows that there would be consequences if she was to do so. </w:t>
      </w:r>
      <w:r w:rsidR="00D64476">
        <w:rPr>
          <w:rFonts w:cstheme="minorHAnsi"/>
        </w:rPr>
        <w:t xml:space="preserve">As a new arrival she sits on the stairs. </w:t>
      </w:r>
      <w:r w:rsidR="00C86250" w:rsidRPr="001C25E7">
        <w:rPr>
          <w:rFonts w:cstheme="minorHAnsi"/>
        </w:rPr>
        <w:t xml:space="preserve">The stairs are significant as they are supposed to show that Fanny is stuck between two worlds and doesn’t have anywhere to go. Edmund joins Fanny on the stairs which signifies the relationship between Edmund and Fanny. It foreshadows </w:t>
      </w:r>
      <w:r w:rsidR="00C86250" w:rsidRPr="001C25E7">
        <w:rPr>
          <w:rFonts w:cstheme="minorHAnsi"/>
        </w:rPr>
        <w:lastRenderedPageBreak/>
        <w:t>the relationship of the pair as well as showing that Edmund genuinely cares about Fanny’s feelings.</w:t>
      </w:r>
      <w:r w:rsidR="00C86250" w:rsidRPr="001C25E7">
        <w:rPr>
          <w:rStyle w:val="FootnoteReference"/>
          <w:rFonts w:cstheme="minorHAnsi"/>
        </w:rPr>
        <w:footnoteReference w:id="18"/>
      </w:r>
      <w:r w:rsidR="000B772A" w:rsidRPr="001C25E7">
        <w:rPr>
          <w:rFonts w:cstheme="minorHAnsi"/>
        </w:rPr>
        <w:t xml:space="preserve"> Fanny’s room is also ‘in the heart of Mansfield Park’ which is interesting as she is the main character heroin</w:t>
      </w:r>
      <w:r w:rsidR="00A42C3E">
        <w:rPr>
          <w:rFonts w:cstheme="minorHAnsi"/>
        </w:rPr>
        <w:t>e</w:t>
      </w:r>
      <w:r w:rsidR="000B772A" w:rsidRPr="001C25E7">
        <w:rPr>
          <w:rFonts w:cstheme="minorHAnsi"/>
        </w:rPr>
        <w:t xml:space="preserve"> in the novel.</w:t>
      </w:r>
      <w:r w:rsidR="00DC0C00" w:rsidRPr="001C25E7">
        <w:rPr>
          <w:rFonts w:cstheme="minorHAnsi"/>
        </w:rPr>
        <w:t xml:space="preserve"> Fanny’s room </w:t>
      </w:r>
      <w:r w:rsidR="00A42C3E">
        <w:rPr>
          <w:rFonts w:cstheme="minorHAnsi"/>
        </w:rPr>
        <w:t xml:space="preserve">is in the old </w:t>
      </w:r>
      <w:proofErr w:type="gramStart"/>
      <w:r w:rsidR="00A42C3E">
        <w:rPr>
          <w:rFonts w:cstheme="minorHAnsi"/>
        </w:rPr>
        <w:t>nursery</w:t>
      </w:r>
      <w:proofErr w:type="gramEnd"/>
      <w:r w:rsidR="00A42C3E">
        <w:rPr>
          <w:rFonts w:cstheme="minorHAnsi"/>
        </w:rPr>
        <w:t xml:space="preserve"> but she is not allowed to use the fireplace due to orders from Mrs Norris. </w:t>
      </w:r>
      <w:r w:rsidR="00DC0C00" w:rsidRPr="001C25E7">
        <w:rPr>
          <w:rFonts w:cstheme="minorHAnsi"/>
        </w:rPr>
        <w:t xml:space="preserve">This shows </w:t>
      </w:r>
      <w:r w:rsidR="00306B56" w:rsidRPr="001C25E7">
        <w:rPr>
          <w:rFonts w:cstheme="minorHAnsi"/>
        </w:rPr>
        <w:t>that she is treated differently to the other children at Mansfield as she is not given the best living space. It shows that Fanny is not a main priority when it comes to her living conditions.</w:t>
      </w:r>
      <w:r w:rsidR="00306B56" w:rsidRPr="001C25E7">
        <w:rPr>
          <w:rStyle w:val="FootnoteReference"/>
          <w:rFonts w:cstheme="minorHAnsi"/>
        </w:rPr>
        <w:t xml:space="preserve"> </w:t>
      </w:r>
      <w:r w:rsidR="00306B56" w:rsidRPr="001C25E7">
        <w:rPr>
          <w:rStyle w:val="FootnoteReference"/>
          <w:rFonts w:cstheme="minorHAnsi"/>
        </w:rPr>
        <w:footnoteReference w:id="19"/>
      </w:r>
    </w:p>
    <w:p w:rsidR="00306B56" w:rsidRPr="001C25E7" w:rsidRDefault="00306B56" w:rsidP="001C25E7">
      <w:pPr>
        <w:spacing w:line="480" w:lineRule="auto"/>
        <w:rPr>
          <w:rFonts w:cstheme="minorHAnsi"/>
        </w:rPr>
      </w:pPr>
    </w:p>
    <w:p w:rsidR="00306B56" w:rsidRPr="001C25E7" w:rsidRDefault="00B102A8" w:rsidP="001C25E7">
      <w:pPr>
        <w:spacing w:line="480" w:lineRule="auto"/>
        <w:rPr>
          <w:rFonts w:cstheme="minorHAnsi"/>
        </w:rPr>
      </w:pPr>
      <w:r w:rsidRPr="001C25E7">
        <w:rPr>
          <w:rFonts w:cstheme="minorHAnsi"/>
        </w:rPr>
        <w:t xml:space="preserve">In chapter ten of </w:t>
      </w:r>
      <w:r w:rsidRPr="001C25E7">
        <w:rPr>
          <w:rFonts w:cstheme="minorHAnsi"/>
          <w:i/>
        </w:rPr>
        <w:t xml:space="preserve">Mansfield Park, </w:t>
      </w:r>
      <w:r w:rsidRPr="001C25E7">
        <w:rPr>
          <w:rFonts w:cstheme="minorHAnsi"/>
        </w:rPr>
        <w:t>Maria cross</w:t>
      </w:r>
      <w:r w:rsidR="00A42C3E">
        <w:rPr>
          <w:rFonts w:cstheme="minorHAnsi"/>
        </w:rPr>
        <w:t>es</w:t>
      </w:r>
      <w:r w:rsidRPr="001C25E7">
        <w:rPr>
          <w:rFonts w:cstheme="minorHAnsi"/>
        </w:rPr>
        <w:t xml:space="preserve"> the gate with Henry and do</w:t>
      </w:r>
      <w:r w:rsidR="00A42C3E">
        <w:rPr>
          <w:rFonts w:cstheme="minorHAnsi"/>
        </w:rPr>
        <w:t>es</w:t>
      </w:r>
      <w:r w:rsidRPr="001C25E7">
        <w:rPr>
          <w:rFonts w:cstheme="minorHAnsi"/>
        </w:rPr>
        <w:t xml:space="preserve"> not wait for Mr Rushworth to return with the key. Fanny sits and waits for Mr Rushworth to return with the key as she believes that jumping the gate </w:t>
      </w:r>
      <w:r w:rsidR="00A42C3E">
        <w:rPr>
          <w:rFonts w:cstheme="minorHAnsi"/>
        </w:rPr>
        <w:t>is</w:t>
      </w:r>
      <w:r w:rsidRPr="001C25E7">
        <w:rPr>
          <w:rFonts w:cstheme="minorHAnsi"/>
        </w:rPr>
        <w:t xml:space="preserve"> improper. The gate is a symbol and demonstrates that Fanny has her own opinions on what she believes is both morally right and wrong. The gate also foreshadows what happens later in the novel as Henry and Maria have a relationship and leave Mr Rushworth behind. Julia also runs away with Mr Yates which suggests that Fanny is the only individual that doesn’t leave dishonour on the Bertram family.</w:t>
      </w:r>
      <w:r w:rsidR="00277344" w:rsidRPr="001C25E7">
        <w:rPr>
          <w:rStyle w:val="FootnoteReference"/>
          <w:rFonts w:cstheme="minorHAnsi"/>
        </w:rPr>
        <w:footnoteReference w:id="20"/>
      </w:r>
      <w:r w:rsidRPr="001C25E7">
        <w:rPr>
          <w:rFonts w:cstheme="minorHAnsi"/>
        </w:rPr>
        <w:t xml:space="preserve"> Fanny does not cross the gate which is </w:t>
      </w:r>
      <w:r w:rsidR="00A42C3E">
        <w:rPr>
          <w:rFonts w:cstheme="minorHAnsi"/>
        </w:rPr>
        <w:t>symbolic</w:t>
      </w:r>
      <w:r w:rsidRPr="001C25E7">
        <w:rPr>
          <w:rFonts w:cstheme="minorHAnsi"/>
        </w:rPr>
        <w:t xml:space="preserve"> of how she does not cross boundaries and does whatever she believes is morally right rather than following the majority of people.</w:t>
      </w:r>
      <w:r w:rsidR="00A42C3E">
        <w:rPr>
          <w:rFonts w:cstheme="minorHAnsi"/>
        </w:rPr>
        <w:t xml:space="preserve"> Fanny </w:t>
      </w:r>
      <w:r w:rsidR="00606B25" w:rsidRPr="001C25E7">
        <w:rPr>
          <w:rFonts w:cstheme="minorHAnsi"/>
        </w:rPr>
        <w:t>says “you will tear your gown”</w:t>
      </w:r>
      <w:r w:rsidR="009A67EE" w:rsidRPr="001C25E7">
        <w:rPr>
          <w:rStyle w:val="FootnoteReference"/>
          <w:rFonts w:cstheme="minorHAnsi"/>
        </w:rPr>
        <w:footnoteReference w:id="21"/>
      </w:r>
      <w:r w:rsidR="00606B25" w:rsidRPr="001C25E7">
        <w:rPr>
          <w:rFonts w:cstheme="minorHAnsi"/>
        </w:rPr>
        <w:t xml:space="preserve"> to Maria as she is crossing the gate. This shows </w:t>
      </w:r>
      <w:r w:rsidR="00586E9F">
        <w:rPr>
          <w:rFonts w:cstheme="minorHAnsi"/>
        </w:rPr>
        <w:t>that fanny understands how dangerous it would be to cross the gate. In terms of money, she does not think about cost but more about the price to be paid.</w:t>
      </w:r>
      <w:r w:rsidR="00606B25" w:rsidRPr="001C25E7">
        <w:rPr>
          <w:rFonts w:cstheme="minorHAnsi"/>
        </w:rPr>
        <w:t xml:space="preserve"> </w:t>
      </w:r>
      <w:r w:rsidR="00586E9F">
        <w:rPr>
          <w:rFonts w:cstheme="minorHAnsi"/>
        </w:rPr>
        <w:t xml:space="preserve">The </w:t>
      </w:r>
      <w:r w:rsidR="00586E9F">
        <w:rPr>
          <w:rFonts w:cstheme="minorHAnsi"/>
        </w:rPr>
        <w:lastRenderedPageBreak/>
        <w:t xml:space="preserve">Bertram sisters were </w:t>
      </w:r>
      <w:r w:rsidR="00277344" w:rsidRPr="001C25E7">
        <w:rPr>
          <w:rFonts w:cstheme="minorHAnsi"/>
        </w:rPr>
        <w:t>“wasting gold paper”</w:t>
      </w:r>
      <w:r w:rsidR="00586E9F">
        <w:rPr>
          <w:rFonts w:cstheme="minorHAnsi"/>
        </w:rPr>
        <w:t>, which can be seen in chapter two and is another example of how they do not realise that there is a cost.</w:t>
      </w:r>
      <w:r w:rsidR="008C78D0" w:rsidRPr="001C25E7">
        <w:rPr>
          <w:rStyle w:val="FootnoteReference"/>
          <w:rFonts w:cstheme="minorHAnsi"/>
        </w:rPr>
        <w:footnoteReference w:id="22"/>
      </w:r>
    </w:p>
    <w:p w:rsidR="00530AB4" w:rsidRPr="001C25E7" w:rsidRDefault="00530AB4" w:rsidP="001C25E7">
      <w:pPr>
        <w:spacing w:line="480" w:lineRule="auto"/>
        <w:rPr>
          <w:rFonts w:cstheme="minorHAnsi"/>
        </w:rPr>
      </w:pPr>
    </w:p>
    <w:p w:rsidR="00530AB4" w:rsidRPr="001C25E7" w:rsidRDefault="00530AB4" w:rsidP="001C25E7">
      <w:pPr>
        <w:spacing w:line="480" w:lineRule="auto"/>
        <w:rPr>
          <w:rFonts w:cstheme="minorHAnsi"/>
        </w:rPr>
      </w:pPr>
      <w:r w:rsidRPr="001C25E7">
        <w:rPr>
          <w:rFonts w:cstheme="minorHAnsi"/>
        </w:rPr>
        <w:t xml:space="preserve">There is also lots of information about boundaries in Chapter 30 of </w:t>
      </w:r>
      <w:r w:rsidRPr="001C25E7">
        <w:rPr>
          <w:rFonts w:cstheme="minorHAnsi"/>
          <w:i/>
        </w:rPr>
        <w:t xml:space="preserve">Mansfield Park. </w:t>
      </w:r>
      <w:r w:rsidRPr="001C25E7">
        <w:rPr>
          <w:rFonts w:cstheme="minorHAnsi"/>
        </w:rPr>
        <w:t>This time</w:t>
      </w:r>
      <w:r w:rsidR="005F0627" w:rsidRPr="001C25E7">
        <w:rPr>
          <w:rFonts w:cstheme="minorHAnsi"/>
        </w:rPr>
        <w:t>,</w:t>
      </w:r>
      <w:r w:rsidRPr="001C25E7">
        <w:rPr>
          <w:rFonts w:cstheme="minorHAnsi"/>
        </w:rPr>
        <w:t xml:space="preserve"> the boundaries are within marriage and are to do with the different characters’ classes within the novel.</w:t>
      </w:r>
      <w:r w:rsidR="000C4B83" w:rsidRPr="001C25E7">
        <w:rPr>
          <w:rFonts w:cstheme="minorHAnsi"/>
        </w:rPr>
        <w:t xml:space="preserve"> Mary states that Fanny is a “lucky girl” when her brother explains that he would like to marry Fanny. This is interesting as it suggests that Fanny is lucky to be marrying a man who is better off than she. If they were to get marries, it would mean that Fanny would be able to shift to a higher class. Mary then changes what she says around as she states that Henry would be the lucky one as his wife would be “a sweet little wife” of “all gratitude and devotion”</w:t>
      </w:r>
      <w:r w:rsidR="00457E3C" w:rsidRPr="001C25E7">
        <w:rPr>
          <w:rStyle w:val="FootnoteReference"/>
          <w:rFonts w:cstheme="minorHAnsi"/>
        </w:rPr>
        <w:footnoteReference w:id="23"/>
      </w:r>
      <w:r w:rsidR="000C4B83" w:rsidRPr="001C25E7">
        <w:rPr>
          <w:rFonts w:cstheme="minorHAnsi"/>
        </w:rPr>
        <w:t xml:space="preserve"> as being from a lower class would suggest that Fanny was used to obeying orders and never had freedom. Although this is what Mary states, her underlying feelings are completely </w:t>
      </w:r>
      <w:r w:rsidR="001C7159" w:rsidRPr="001C25E7">
        <w:rPr>
          <w:rFonts w:cstheme="minorHAnsi"/>
        </w:rPr>
        <w:t>different,</w:t>
      </w:r>
      <w:r w:rsidR="000C4B83" w:rsidRPr="001C25E7">
        <w:rPr>
          <w:rFonts w:cstheme="minorHAnsi"/>
        </w:rPr>
        <w:t xml:space="preserve"> and she is concerned about how the marriage would affect Edmund’s feelings.</w:t>
      </w:r>
      <w:r w:rsidR="001C7159" w:rsidRPr="001C25E7">
        <w:rPr>
          <w:rStyle w:val="FootnoteReference"/>
          <w:rFonts w:cstheme="minorHAnsi"/>
        </w:rPr>
        <w:footnoteReference w:id="24"/>
      </w:r>
    </w:p>
    <w:p w:rsidR="00B971DA" w:rsidRPr="001C25E7" w:rsidRDefault="00B971DA" w:rsidP="001C25E7">
      <w:pPr>
        <w:spacing w:line="480" w:lineRule="auto"/>
        <w:rPr>
          <w:rFonts w:cstheme="minorHAnsi"/>
        </w:rPr>
      </w:pPr>
    </w:p>
    <w:p w:rsidR="00B971DA" w:rsidRPr="001C25E7" w:rsidRDefault="00B971DA" w:rsidP="001C25E7">
      <w:pPr>
        <w:spacing w:line="480" w:lineRule="auto"/>
        <w:rPr>
          <w:rFonts w:cstheme="minorHAnsi"/>
        </w:rPr>
      </w:pPr>
      <w:r w:rsidRPr="001C25E7">
        <w:rPr>
          <w:rFonts w:cstheme="minorHAnsi"/>
        </w:rPr>
        <w:t>The</w:t>
      </w:r>
      <w:r w:rsidR="00DC3CE3" w:rsidRPr="001C25E7">
        <w:rPr>
          <w:rFonts w:cstheme="minorHAnsi"/>
        </w:rPr>
        <w:t>re is a distinguishing voice towards the end of the novel as Austen speaks to the reader and says, “My Fanny”.</w:t>
      </w:r>
      <w:r w:rsidR="00DC3CE3" w:rsidRPr="001C25E7">
        <w:rPr>
          <w:rStyle w:val="FootnoteReference"/>
          <w:rFonts w:cstheme="minorHAnsi"/>
        </w:rPr>
        <w:footnoteReference w:id="25"/>
      </w:r>
      <w:r w:rsidR="00DC3CE3" w:rsidRPr="001C25E7">
        <w:rPr>
          <w:rFonts w:cstheme="minorHAnsi"/>
        </w:rPr>
        <w:t xml:space="preserve"> This shows the way that Austen wanted the reader to see Fanny. The word “my” suggests that Fanny has been treated as a ‘thing’ rather than a h</w:t>
      </w:r>
      <w:r w:rsidR="00A71ADD" w:rsidRPr="001C25E7">
        <w:rPr>
          <w:rFonts w:cstheme="minorHAnsi"/>
        </w:rPr>
        <w:t xml:space="preserve">uman being throughout the novel. As Austen in the narrator, she is able to control the reader in to seeing Fanny in the way that she wants the reader to view her. In the final chapter, Austen pushes the boundaries once again and puts herself and her own voice in the novel, allowing </w:t>
      </w:r>
      <w:r w:rsidR="00A71ADD" w:rsidRPr="001C25E7">
        <w:rPr>
          <w:rFonts w:cstheme="minorHAnsi"/>
        </w:rPr>
        <w:lastRenderedPageBreak/>
        <w:t>the reader to understand her own personal feelings towards the character and as we read on, we discover that her happiness depends on ignoring any unhappy thoughts.</w:t>
      </w:r>
      <w:r w:rsidR="00A71ADD" w:rsidRPr="001C25E7">
        <w:rPr>
          <w:rStyle w:val="FootnoteReference"/>
          <w:rFonts w:cstheme="minorHAnsi"/>
        </w:rPr>
        <w:footnoteReference w:id="26"/>
      </w:r>
    </w:p>
    <w:p w:rsidR="0014240C" w:rsidRPr="001C25E7" w:rsidRDefault="0014240C" w:rsidP="001C25E7">
      <w:pPr>
        <w:spacing w:line="480" w:lineRule="auto"/>
        <w:rPr>
          <w:rFonts w:cstheme="minorHAnsi"/>
        </w:rPr>
      </w:pPr>
    </w:p>
    <w:p w:rsidR="0014240C" w:rsidRPr="001C25E7" w:rsidRDefault="00EE3A57" w:rsidP="001C25E7">
      <w:pPr>
        <w:spacing w:line="480" w:lineRule="auto"/>
        <w:rPr>
          <w:rFonts w:cstheme="minorHAnsi"/>
        </w:rPr>
      </w:pPr>
      <w:r w:rsidRPr="001C25E7">
        <w:rPr>
          <w:rFonts w:cstheme="minorHAnsi"/>
        </w:rPr>
        <w:t>Mary Douglas’ idea of ‘matter out of place’ relates to Fanny throughout the novel as Fanny is out of place, especially towards the end of the novel as she do</w:t>
      </w:r>
      <w:r w:rsidR="0060279D">
        <w:rPr>
          <w:rFonts w:cstheme="minorHAnsi"/>
        </w:rPr>
        <w:t>es not fit in with the Bertrams</w:t>
      </w:r>
      <w:r w:rsidRPr="001C25E7">
        <w:rPr>
          <w:rFonts w:cstheme="minorHAnsi"/>
        </w:rPr>
        <w:t xml:space="preserve"> due to being of a lower class than </w:t>
      </w:r>
      <w:r w:rsidR="001B0F05" w:rsidRPr="001C25E7">
        <w:rPr>
          <w:rFonts w:cstheme="minorHAnsi"/>
        </w:rPr>
        <w:t>them,</w:t>
      </w:r>
      <w:r w:rsidRPr="001C25E7">
        <w:rPr>
          <w:rFonts w:cstheme="minorHAnsi"/>
        </w:rPr>
        <w:t xml:space="preserve"> but she also does not fit in with her family in Portsmouth as she has spen</w:t>
      </w:r>
      <w:r w:rsidR="00941CD8">
        <w:rPr>
          <w:rFonts w:cstheme="minorHAnsi"/>
        </w:rPr>
        <w:t>t so much time with the Bertram</w:t>
      </w:r>
      <w:r w:rsidRPr="001C25E7">
        <w:rPr>
          <w:rFonts w:cstheme="minorHAnsi"/>
        </w:rPr>
        <w:t>s in Mansfield.</w:t>
      </w:r>
      <w:r w:rsidRPr="001C25E7">
        <w:rPr>
          <w:rStyle w:val="FootnoteReference"/>
          <w:rFonts w:cstheme="minorHAnsi"/>
        </w:rPr>
        <w:footnoteReference w:id="27"/>
      </w:r>
    </w:p>
    <w:p w:rsidR="006E25DE" w:rsidRPr="001C25E7" w:rsidRDefault="006E25DE" w:rsidP="001C25E7">
      <w:pPr>
        <w:spacing w:line="480" w:lineRule="auto"/>
        <w:rPr>
          <w:rFonts w:cstheme="minorHAnsi"/>
        </w:rPr>
      </w:pPr>
    </w:p>
    <w:p w:rsidR="006E25DE" w:rsidRPr="001C25E7" w:rsidRDefault="00D73379" w:rsidP="001C25E7">
      <w:pPr>
        <w:spacing w:line="480" w:lineRule="auto"/>
        <w:rPr>
          <w:rFonts w:cstheme="minorHAnsi"/>
        </w:rPr>
      </w:pPr>
      <w:r w:rsidRPr="001C25E7">
        <w:rPr>
          <w:rFonts w:cstheme="minorHAnsi"/>
        </w:rPr>
        <w:t xml:space="preserve">To begin with </w:t>
      </w:r>
      <w:r w:rsidRPr="001C25E7">
        <w:rPr>
          <w:rFonts w:cstheme="minorHAnsi"/>
          <w:i/>
        </w:rPr>
        <w:t xml:space="preserve">Alice’s Adventures in Wonderland, </w:t>
      </w:r>
      <w:r w:rsidRPr="001C25E7">
        <w:rPr>
          <w:rFonts w:cstheme="minorHAnsi"/>
        </w:rPr>
        <w:t xml:space="preserve">Alice is a completely different character to Fanny in </w:t>
      </w:r>
      <w:r w:rsidRPr="001C25E7">
        <w:rPr>
          <w:rFonts w:cstheme="minorHAnsi"/>
          <w:i/>
        </w:rPr>
        <w:t>Mansfield Park</w:t>
      </w:r>
      <w:r w:rsidRPr="001C25E7">
        <w:rPr>
          <w:rFonts w:cstheme="minorHAnsi"/>
        </w:rPr>
        <w:t xml:space="preserve"> as Fanny is timid and quiet compared to Alice who is more adventurous and outspoken like Mary Crawford from </w:t>
      </w:r>
      <w:r w:rsidRPr="001C25E7">
        <w:rPr>
          <w:rFonts w:cstheme="minorHAnsi"/>
          <w:i/>
        </w:rPr>
        <w:t>Mansfield Park.</w:t>
      </w:r>
    </w:p>
    <w:p w:rsidR="00D73379" w:rsidRPr="001C25E7" w:rsidRDefault="00D73379" w:rsidP="001C25E7">
      <w:pPr>
        <w:spacing w:line="480" w:lineRule="auto"/>
        <w:rPr>
          <w:rFonts w:cstheme="minorHAnsi"/>
        </w:rPr>
      </w:pPr>
    </w:p>
    <w:p w:rsidR="00981175" w:rsidRPr="001C25E7" w:rsidRDefault="00D73379" w:rsidP="001C25E7">
      <w:pPr>
        <w:spacing w:line="480" w:lineRule="auto"/>
        <w:rPr>
          <w:rFonts w:cstheme="minorHAnsi"/>
        </w:rPr>
      </w:pPr>
      <w:r w:rsidRPr="001C25E7">
        <w:rPr>
          <w:rFonts w:cstheme="minorHAnsi"/>
          <w:i/>
        </w:rPr>
        <w:t xml:space="preserve">Alice </w:t>
      </w:r>
      <w:r w:rsidR="00941CD8">
        <w:rPr>
          <w:rFonts w:cstheme="minorHAnsi"/>
        </w:rPr>
        <w:t>is built on the juxtaposition of two worlds whereas</w:t>
      </w:r>
      <w:r w:rsidRPr="001C25E7">
        <w:rPr>
          <w:rFonts w:cstheme="minorHAnsi"/>
        </w:rPr>
        <w:t xml:space="preserve"> </w:t>
      </w:r>
      <w:r w:rsidRPr="001C25E7">
        <w:rPr>
          <w:rFonts w:cstheme="minorHAnsi"/>
          <w:i/>
        </w:rPr>
        <w:t>Mansfield Park</w:t>
      </w:r>
      <w:r w:rsidRPr="001C25E7">
        <w:rPr>
          <w:rFonts w:cstheme="minorHAnsi"/>
        </w:rPr>
        <w:t xml:space="preserve"> </w:t>
      </w:r>
      <w:r w:rsidR="00941CD8">
        <w:rPr>
          <w:rFonts w:cstheme="minorHAnsi"/>
        </w:rPr>
        <w:t>shows how a character moves from one kind of world to another</w:t>
      </w:r>
      <w:r w:rsidR="00C77E7C">
        <w:rPr>
          <w:rFonts w:cstheme="minorHAnsi"/>
        </w:rPr>
        <w:t xml:space="preserve">. However, in </w:t>
      </w:r>
      <w:r w:rsidR="00C77E7C">
        <w:rPr>
          <w:rFonts w:cstheme="minorHAnsi"/>
          <w:i/>
        </w:rPr>
        <w:t xml:space="preserve">Alice, </w:t>
      </w:r>
      <w:r w:rsidR="00C77E7C">
        <w:rPr>
          <w:rFonts w:cstheme="minorHAnsi"/>
        </w:rPr>
        <w:t>there’s</w:t>
      </w:r>
      <w:r w:rsidR="00A22E8B" w:rsidRPr="001C25E7">
        <w:rPr>
          <w:rFonts w:cstheme="minorHAnsi"/>
        </w:rPr>
        <w:t xml:space="preserve"> a separation of classes in the two worlds, the original world is supposedly ‘normal’ compared to Wonderland where bizarre things tend to happen</w:t>
      </w:r>
      <w:r w:rsidR="00941CD8">
        <w:rPr>
          <w:rFonts w:cstheme="minorHAnsi"/>
        </w:rPr>
        <w:t xml:space="preserve"> – although Alice seems bizarre to the natives of Wonderland</w:t>
      </w:r>
      <w:r w:rsidR="00A22E8B" w:rsidRPr="001C25E7">
        <w:rPr>
          <w:rFonts w:cstheme="minorHAnsi"/>
        </w:rPr>
        <w:t>. Alice is put in to a position where she is different to everyone else and the rules that she had learned previously do not apply to her life in this new world. Everything is different and strange although she rarely questions it.</w:t>
      </w:r>
      <w:r w:rsidR="005D2FBE" w:rsidRPr="001C25E7">
        <w:rPr>
          <w:rStyle w:val="FootnoteReference"/>
          <w:rFonts w:cstheme="minorHAnsi"/>
        </w:rPr>
        <w:footnoteReference w:id="28"/>
      </w:r>
      <w:r w:rsidR="00097226" w:rsidRPr="001C25E7">
        <w:rPr>
          <w:rFonts w:cstheme="minorHAnsi"/>
        </w:rPr>
        <w:t xml:space="preserve"> This once again relates to Mary Douglas’ idea about ‘</w:t>
      </w:r>
      <w:r w:rsidR="006D20CA" w:rsidRPr="001C25E7">
        <w:rPr>
          <w:rFonts w:cstheme="minorHAnsi"/>
        </w:rPr>
        <w:t xml:space="preserve">matter out of place’ as Alice is a little girl in a land where she </w:t>
      </w:r>
      <w:r w:rsidR="006D20CA" w:rsidRPr="001C25E7">
        <w:rPr>
          <w:rFonts w:cstheme="minorHAnsi"/>
        </w:rPr>
        <w:lastRenderedPageBreak/>
        <w:t>doesn’t belong or is not expected to have found.</w:t>
      </w:r>
      <w:r w:rsidR="006D20CA" w:rsidRPr="001C25E7">
        <w:rPr>
          <w:rStyle w:val="FootnoteReference"/>
          <w:rFonts w:cstheme="minorHAnsi"/>
        </w:rPr>
        <w:footnoteReference w:id="29"/>
      </w:r>
      <w:r w:rsidR="00981175" w:rsidRPr="001C25E7">
        <w:rPr>
          <w:rFonts w:cstheme="minorHAnsi"/>
        </w:rPr>
        <w:t xml:space="preserve"> </w:t>
      </w:r>
      <w:r w:rsidR="00981175" w:rsidRPr="001C25E7">
        <w:rPr>
          <w:rFonts w:cstheme="minorHAnsi"/>
          <w:i/>
        </w:rPr>
        <w:t xml:space="preserve">Alice’s Adventures in Wonderland </w:t>
      </w:r>
      <w:r w:rsidR="00787BA3" w:rsidRPr="001C25E7">
        <w:rPr>
          <w:rFonts w:cstheme="minorHAnsi"/>
        </w:rPr>
        <w:t xml:space="preserve">was the first book ever written with children in mind as being the readership. ‘Children’s literature’ as we know it now did not exist up to this point as children read bizarre stories such as </w:t>
      </w:r>
      <w:r w:rsidR="00787BA3" w:rsidRPr="001C25E7">
        <w:rPr>
          <w:rFonts w:cstheme="minorHAnsi"/>
          <w:i/>
        </w:rPr>
        <w:t xml:space="preserve">Gulliver’s Travels. Alice </w:t>
      </w:r>
      <w:r w:rsidR="00787BA3" w:rsidRPr="001C25E7">
        <w:rPr>
          <w:rFonts w:cstheme="minorHAnsi"/>
        </w:rPr>
        <w:t>was important as it showed that society was taking children seriously and accepting the idea of play through childhood.</w:t>
      </w:r>
      <w:r w:rsidR="00CD7DA3" w:rsidRPr="001C25E7">
        <w:rPr>
          <w:rStyle w:val="FootnoteReference"/>
          <w:rFonts w:cstheme="minorHAnsi"/>
        </w:rPr>
        <w:footnoteReference w:id="30"/>
      </w:r>
    </w:p>
    <w:p w:rsidR="00E84B86" w:rsidRPr="001C25E7" w:rsidRDefault="00E84B86" w:rsidP="001C25E7">
      <w:pPr>
        <w:spacing w:line="480" w:lineRule="auto"/>
        <w:rPr>
          <w:rFonts w:cstheme="minorHAnsi"/>
        </w:rPr>
      </w:pPr>
    </w:p>
    <w:p w:rsidR="00E84B86" w:rsidRPr="001C25E7" w:rsidRDefault="00712516" w:rsidP="001C25E7">
      <w:pPr>
        <w:spacing w:line="480" w:lineRule="auto"/>
        <w:rPr>
          <w:rFonts w:cstheme="minorHAnsi"/>
        </w:rPr>
      </w:pPr>
      <w:r w:rsidRPr="001C25E7">
        <w:rPr>
          <w:rFonts w:cstheme="minorHAnsi"/>
        </w:rPr>
        <w:t xml:space="preserve">In </w:t>
      </w:r>
      <w:r w:rsidRPr="001C25E7">
        <w:rPr>
          <w:rFonts w:cstheme="minorHAnsi"/>
          <w:i/>
        </w:rPr>
        <w:t xml:space="preserve">Alice, </w:t>
      </w:r>
      <w:r w:rsidRPr="001C25E7">
        <w:rPr>
          <w:rFonts w:cstheme="minorHAnsi"/>
        </w:rPr>
        <w:t>she cannot comprehend the idea of death and there is a question of logic running throughout the novel.</w:t>
      </w:r>
      <w:r w:rsidR="00B67D0B" w:rsidRPr="001C25E7">
        <w:rPr>
          <w:rStyle w:val="FootnoteReference"/>
          <w:rFonts w:cstheme="minorHAnsi"/>
        </w:rPr>
        <w:footnoteReference w:id="31"/>
      </w:r>
      <w:r w:rsidRPr="001C25E7">
        <w:rPr>
          <w:rFonts w:cstheme="minorHAnsi"/>
        </w:rPr>
        <w:t xml:space="preserve"> Alice experiences the ‘now’ and cannot plan for the future. It is as though it is always the same time to her which would be a contrast to an adult reader as the ‘adult world’ is obsessed with time.</w:t>
      </w:r>
      <w:r w:rsidR="007F42AE" w:rsidRPr="001C25E7">
        <w:rPr>
          <w:rStyle w:val="FootnoteReference"/>
          <w:rFonts w:cstheme="minorHAnsi"/>
        </w:rPr>
        <w:footnoteReference w:id="32"/>
      </w:r>
      <w:r w:rsidR="00B96815" w:rsidRPr="001C25E7">
        <w:rPr>
          <w:rFonts w:cstheme="minorHAnsi"/>
        </w:rPr>
        <w:t xml:space="preserve">  It is clear in chapter four of the novel that Alice does not understand the concept of death or growing as she states, “shall I </w:t>
      </w:r>
      <w:r w:rsidR="00B96815" w:rsidRPr="001C25E7">
        <w:rPr>
          <w:rFonts w:cstheme="minorHAnsi"/>
          <w:i/>
        </w:rPr>
        <w:t>never</w:t>
      </w:r>
      <w:r w:rsidR="00B96815" w:rsidRPr="001C25E7">
        <w:rPr>
          <w:rFonts w:cstheme="minorHAnsi"/>
        </w:rPr>
        <w:t xml:space="preserve"> get any older than I am now?”</w:t>
      </w:r>
      <w:r w:rsidR="00CA398F" w:rsidRPr="001C25E7">
        <w:rPr>
          <w:rStyle w:val="FootnoteReference"/>
          <w:rFonts w:cstheme="minorHAnsi"/>
        </w:rPr>
        <w:footnoteReference w:id="33"/>
      </w:r>
    </w:p>
    <w:p w:rsidR="00B96815" w:rsidRPr="001C25E7" w:rsidRDefault="00B96815" w:rsidP="001C25E7">
      <w:pPr>
        <w:spacing w:line="480" w:lineRule="auto"/>
        <w:rPr>
          <w:rFonts w:cstheme="minorHAnsi"/>
        </w:rPr>
      </w:pPr>
    </w:p>
    <w:p w:rsidR="00B96815" w:rsidRPr="001C25E7" w:rsidRDefault="00B96815" w:rsidP="001C25E7">
      <w:pPr>
        <w:spacing w:line="480" w:lineRule="auto"/>
        <w:rPr>
          <w:rFonts w:cstheme="minorHAnsi"/>
          <w:i/>
        </w:rPr>
      </w:pPr>
      <w:r w:rsidRPr="001C25E7">
        <w:rPr>
          <w:rFonts w:cstheme="minorHAnsi"/>
        </w:rPr>
        <w:t>Alice pushes boundaries in the novel as she is always eating. For children in the 19</w:t>
      </w:r>
      <w:r w:rsidRPr="001C25E7">
        <w:rPr>
          <w:rFonts w:cstheme="minorHAnsi"/>
          <w:vertAlign w:val="superscript"/>
        </w:rPr>
        <w:t>th</w:t>
      </w:r>
      <w:r w:rsidR="009479EB">
        <w:rPr>
          <w:rFonts w:cstheme="minorHAnsi"/>
        </w:rPr>
        <w:t xml:space="preserve"> century, they were rarely seen </w:t>
      </w:r>
      <w:r w:rsidRPr="001C25E7">
        <w:rPr>
          <w:rFonts w:cstheme="minorHAnsi"/>
        </w:rPr>
        <w:t>eating unless it was tea time.</w:t>
      </w:r>
      <w:r w:rsidR="003D2A66" w:rsidRPr="001C25E7">
        <w:rPr>
          <w:rFonts w:cstheme="minorHAnsi"/>
        </w:rPr>
        <w:t xml:space="preserve"> Food is also problematic in </w:t>
      </w:r>
      <w:r w:rsidR="003D2A66" w:rsidRPr="001C25E7">
        <w:rPr>
          <w:rFonts w:cstheme="minorHAnsi"/>
          <w:i/>
        </w:rPr>
        <w:t xml:space="preserve">Alice </w:t>
      </w:r>
      <w:r w:rsidR="003D2A66" w:rsidRPr="001C25E7">
        <w:rPr>
          <w:rFonts w:cstheme="minorHAnsi"/>
        </w:rPr>
        <w:t xml:space="preserve">as the things that she consumes can change her size. The tea party is never ending as it was </w:t>
      </w:r>
      <w:r w:rsidR="009479EB">
        <w:rPr>
          <w:rFonts w:cstheme="minorHAnsi"/>
        </w:rPr>
        <w:t xml:space="preserve">traditionally </w:t>
      </w:r>
      <w:r w:rsidR="003D2A66" w:rsidRPr="001C25E7">
        <w:rPr>
          <w:rFonts w:cstheme="minorHAnsi"/>
        </w:rPr>
        <w:t>the only time that the entire fami</w:t>
      </w:r>
      <w:r w:rsidR="009479EB">
        <w:rPr>
          <w:rFonts w:cstheme="minorHAnsi"/>
        </w:rPr>
        <w:t>ly would sit and eat together. The tea table</w:t>
      </w:r>
      <w:r w:rsidR="003D2A66" w:rsidRPr="001C25E7">
        <w:rPr>
          <w:rFonts w:cstheme="minorHAnsi"/>
        </w:rPr>
        <w:t xml:space="preserve"> would usually be at the heart of the house. It was the only time that the entire family would </w:t>
      </w:r>
      <w:r w:rsidR="003D2A66" w:rsidRPr="001C25E7">
        <w:rPr>
          <w:rFonts w:cstheme="minorHAnsi"/>
        </w:rPr>
        <w:lastRenderedPageBreak/>
        <w:t>socialise as the new middle classes were always so busy.</w:t>
      </w:r>
      <w:r w:rsidR="003D2A66" w:rsidRPr="001C25E7">
        <w:rPr>
          <w:rStyle w:val="FootnoteReference"/>
          <w:rFonts w:cstheme="minorHAnsi"/>
        </w:rPr>
        <w:footnoteReference w:id="34"/>
      </w:r>
      <w:r w:rsidR="000D14E0" w:rsidRPr="001C25E7">
        <w:rPr>
          <w:rFonts w:cstheme="minorHAnsi"/>
        </w:rPr>
        <w:t xml:space="preserve"> In </w:t>
      </w:r>
      <w:r w:rsidR="000D14E0" w:rsidRPr="001C25E7">
        <w:rPr>
          <w:rFonts w:cstheme="minorHAnsi"/>
          <w:i/>
        </w:rPr>
        <w:t xml:space="preserve">Alice, </w:t>
      </w:r>
      <w:r w:rsidR="000D14E0" w:rsidRPr="001C25E7">
        <w:rPr>
          <w:rFonts w:cstheme="minorHAnsi"/>
        </w:rPr>
        <w:t>the boundaries of the family are constantly pushed. This can be seen as Alice is at the head of the table rather than a fatherly figure. The tea table is also outside and not in the heart of the house suggesting that the entire idea of w</w:t>
      </w:r>
      <w:r w:rsidR="009479EB">
        <w:rPr>
          <w:rFonts w:cstheme="minorHAnsi"/>
        </w:rPr>
        <w:t>h</w:t>
      </w:r>
      <w:r w:rsidR="000D14E0" w:rsidRPr="001C25E7">
        <w:rPr>
          <w:rFonts w:cstheme="minorHAnsi"/>
        </w:rPr>
        <w:t xml:space="preserve">at the middle-class family dynamic should be is completely contrasted. Tea time was supposed to be a comfortable environment where there was polite conversation but as we know, this was not the case in </w:t>
      </w:r>
      <w:r w:rsidR="000D14E0" w:rsidRPr="001C25E7">
        <w:rPr>
          <w:rFonts w:cstheme="minorHAnsi"/>
          <w:i/>
        </w:rPr>
        <w:t>Alice.</w:t>
      </w:r>
      <w:r w:rsidR="000D14E0" w:rsidRPr="001C25E7">
        <w:rPr>
          <w:rStyle w:val="FootnoteReference"/>
          <w:rFonts w:cstheme="minorHAnsi"/>
          <w:i/>
        </w:rPr>
        <w:footnoteReference w:id="35"/>
      </w:r>
    </w:p>
    <w:p w:rsidR="008B7C9A" w:rsidRPr="001C25E7" w:rsidRDefault="008B7C9A" w:rsidP="001C25E7">
      <w:pPr>
        <w:spacing w:line="480" w:lineRule="auto"/>
        <w:rPr>
          <w:rFonts w:cstheme="minorHAnsi"/>
          <w:i/>
        </w:rPr>
      </w:pPr>
    </w:p>
    <w:p w:rsidR="008B7C9A" w:rsidRPr="001C25E7" w:rsidRDefault="00217011" w:rsidP="001C25E7">
      <w:pPr>
        <w:spacing w:line="480" w:lineRule="auto"/>
        <w:rPr>
          <w:rFonts w:cstheme="minorHAnsi"/>
        </w:rPr>
      </w:pPr>
      <w:r w:rsidRPr="001C25E7">
        <w:rPr>
          <w:rFonts w:cstheme="minorHAnsi"/>
        </w:rPr>
        <w:t xml:space="preserve">Throughout </w:t>
      </w:r>
      <w:r w:rsidRPr="001C25E7">
        <w:rPr>
          <w:rFonts w:cstheme="minorHAnsi"/>
          <w:i/>
        </w:rPr>
        <w:t xml:space="preserve">Alice, </w:t>
      </w:r>
      <w:r w:rsidRPr="001C25E7">
        <w:rPr>
          <w:rFonts w:cstheme="minorHAnsi"/>
        </w:rPr>
        <w:t>there is constantly a running theme of violence. She speaks of her cat, Dinah, and says “she’s such a capital one for catching mice” in chapter two of the novel.</w:t>
      </w:r>
      <w:r w:rsidR="00A959B6" w:rsidRPr="001C25E7">
        <w:rPr>
          <w:rStyle w:val="FootnoteReference"/>
          <w:rFonts w:cstheme="minorHAnsi"/>
        </w:rPr>
        <w:footnoteReference w:id="36"/>
      </w:r>
      <w:r w:rsidR="00A959B6" w:rsidRPr="001C25E7">
        <w:rPr>
          <w:rFonts w:cstheme="minorHAnsi"/>
        </w:rPr>
        <w:t xml:space="preserve"> As readers</w:t>
      </w:r>
      <w:r w:rsidR="007735DD" w:rsidRPr="001C25E7">
        <w:rPr>
          <w:rFonts w:cstheme="minorHAnsi"/>
        </w:rPr>
        <w:t>, we find it entertaining as we know that Alice is talking to a mouse and she is completely unaware that her words could make the mouse upset. As well as this, Carroll invents a parody of Isaac Watts’ “How Doth the Little Busy Bee”. To a child reader, this could be interpreted as being normal with a few little changes. As an adult reader, it is clear that Carroll has invented a poem which shows the idea of ‘survival of the fittest’ between animals. It is also clear that in the new, parodied version of ‘How Doth the Little Busy Bee’, Alice is now speaking of a crocodile. Crocodiles are much more vicious that little busy bees and it shows the reader that there are predatory instincts throughout</w:t>
      </w:r>
      <w:r w:rsidR="00C120D8" w:rsidRPr="001C25E7">
        <w:rPr>
          <w:rStyle w:val="FootnoteReference"/>
          <w:rFonts w:cstheme="minorHAnsi"/>
        </w:rPr>
        <w:footnoteReference w:id="37"/>
      </w:r>
      <w:r w:rsidR="007735DD" w:rsidRPr="001C25E7">
        <w:rPr>
          <w:rFonts w:cstheme="minorHAnsi"/>
        </w:rPr>
        <w:t xml:space="preserve"> the novel.</w:t>
      </w:r>
    </w:p>
    <w:p w:rsidR="00D20679" w:rsidRPr="001C25E7" w:rsidRDefault="00D20679" w:rsidP="001C25E7">
      <w:pPr>
        <w:spacing w:line="480" w:lineRule="auto"/>
        <w:rPr>
          <w:rFonts w:cstheme="minorHAnsi"/>
        </w:rPr>
      </w:pPr>
    </w:p>
    <w:p w:rsidR="00D20679" w:rsidRPr="001C25E7" w:rsidRDefault="00DC06BD" w:rsidP="001C25E7">
      <w:pPr>
        <w:spacing w:line="480" w:lineRule="auto"/>
        <w:rPr>
          <w:rFonts w:cstheme="minorHAnsi"/>
        </w:rPr>
      </w:pPr>
      <w:r w:rsidRPr="001C25E7">
        <w:rPr>
          <w:rFonts w:cstheme="minorHAnsi"/>
        </w:rPr>
        <w:t xml:space="preserve">In the same way as </w:t>
      </w:r>
      <w:r w:rsidRPr="001C25E7">
        <w:rPr>
          <w:rFonts w:cstheme="minorHAnsi"/>
          <w:i/>
        </w:rPr>
        <w:t xml:space="preserve">Mansfield Park, </w:t>
      </w:r>
      <w:r w:rsidRPr="001C25E7">
        <w:rPr>
          <w:rFonts w:cstheme="minorHAnsi"/>
        </w:rPr>
        <w:t xml:space="preserve">it’s important for the reader to understand English culture to have historical and political context of England. This can be seen as being </w:t>
      </w:r>
      <w:r w:rsidRPr="001C25E7">
        <w:rPr>
          <w:rFonts w:cstheme="minorHAnsi"/>
        </w:rPr>
        <w:lastRenderedPageBreak/>
        <w:t>important as Alice says in the second chapter, “I daresay it’s a French mouse, come over with William the Conqueror”.</w:t>
      </w:r>
      <w:r w:rsidRPr="001C25E7">
        <w:rPr>
          <w:rStyle w:val="FootnoteReference"/>
          <w:rFonts w:cstheme="minorHAnsi"/>
        </w:rPr>
        <w:footnoteReference w:id="38"/>
      </w:r>
      <w:r w:rsidRPr="001C25E7">
        <w:rPr>
          <w:rFonts w:cstheme="minorHAnsi"/>
        </w:rPr>
        <w:t xml:space="preserve"> This is important for a variety of reasons. To begin, it’s important that the reader understands English history as William the conqueror successfully invaded England during the Battle of Hastings.</w:t>
      </w:r>
      <w:r w:rsidRPr="001C25E7">
        <w:rPr>
          <w:rStyle w:val="FootnoteReference"/>
          <w:rFonts w:cstheme="minorHAnsi"/>
        </w:rPr>
        <w:footnoteReference w:id="39"/>
      </w:r>
    </w:p>
    <w:p w:rsidR="00F60C4A" w:rsidRPr="001C25E7" w:rsidRDefault="00F60C4A" w:rsidP="001C25E7">
      <w:pPr>
        <w:spacing w:line="480" w:lineRule="auto"/>
        <w:rPr>
          <w:rFonts w:cstheme="minorHAnsi"/>
        </w:rPr>
      </w:pPr>
    </w:p>
    <w:p w:rsidR="00F60C4A" w:rsidRPr="001C25E7" w:rsidRDefault="00F60C4A" w:rsidP="001C25E7">
      <w:pPr>
        <w:spacing w:line="480" w:lineRule="auto"/>
        <w:rPr>
          <w:rFonts w:cstheme="minorHAnsi"/>
        </w:rPr>
      </w:pPr>
      <w:r w:rsidRPr="001C25E7">
        <w:rPr>
          <w:rFonts w:cstheme="minorHAnsi"/>
        </w:rPr>
        <w:t xml:space="preserve">The rules of education that Alice has learned prior to going to Wonderland do not work when she falls down the rabbit hole which is why she is able to push boundaries, get things </w:t>
      </w:r>
      <w:r w:rsidR="00DF3B19">
        <w:rPr>
          <w:rFonts w:cstheme="minorHAnsi"/>
        </w:rPr>
        <w:t>wrong</w:t>
      </w:r>
      <w:r w:rsidRPr="001C25E7">
        <w:rPr>
          <w:rFonts w:cstheme="minorHAnsi"/>
        </w:rPr>
        <w:t xml:space="preserve"> and speak ‘nonsense’.</w:t>
      </w:r>
      <w:r w:rsidR="0001004F" w:rsidRPr="001C25E7">
        <w:rPr>
          <w:rStyle w:val="FootnoteReference"/>
          <w:rFonts w:cstheme="minorHAnsi"/>
        </w:rPr>
        <w:footnoteReference w:id="40"/>
      </w:r>
      <w:r w:rsidR="00B83020" w:rsidRPr="001C25E7">
        <w:rPr>
          <w:rFonts w:cstheme="minorHAnsi"/>
        </w:rPr>
        <w:t xml:space="preserve"> </w:t>
      </w:r>
      <w:r w:rsidR="00D64353" w:rsidRPr="001C25E7">
        <w:rPr>
          <w:rFonts w:cstheme="minorHAnsi"/>
        </w:rPr>
        <w:t>Alice is used to rules which is why when they are changed and used incorrectly, it really plays on the mind of the young c</w:t>
      </w:r>
      <w:r w:rsidR="00DF3B19">
        <w:rPr>
          <w:rFonts w:cstheme="minorHAnsi"/>
        </w:rPr>
        <w:t xml:space="preserve">haracter. An example of this is </w:t>
      </w:r>
      <w:r w:rsidR="00D64353" w:rsidRPr="001C25E7">
        <w:rPr>
          <w:rFonts w:cstheme="minorHAnsi"/>
        </w:rPr>
        <w:t>when Carroll uses “ambition, distraction, uglification, and derision” rather than the traditional mathematics</w:t>
      </w:r>
      <w:r w:rsidR="00DF3B19">
        <w:rPr>
          <w:rFonts w:cstheme="minorHAnsi"/>
        </w:rPr>
        <w:t xml:space="preserve"> as it shows how everything is different and non-traditional in Wonderland.</w:t>
      </w:r>
      <w:r w:rsidR="000923E5" w:rsidRPr="001C25E7">
        <w:rPr>
          <w:rStyle w:val="FootnoteReference"/>
          <w:rFonts w:cstheme="minorHAnsi"/>
        </w:rPr>
        <w:footnoteReference w:id="41"/>
      </w:r>
    </w:p>
    <w:p w:rsidR="00E84BF8" w:rsidRPr="001C25E7" w:rsidRDefault="00E84BF8" w:rsidP="001C25E7">
      <w:pPr>
        <w:spacing w:line="480" w:lineRule="auto"/>
        <w:rPr>
          <w:rFonts w:cstheme="minorHAnsi"/>
        </w:rPr>
      </w:pPr>
    </w:p>
    <w:p w:rsidR="00E84BF8" w:rsidRPr="001C25E7" w:rsidRDefault="00E84BF8" w:rsidP="001C25E7">
      <w:pPr>
        <w:spacing w:line="480" w:lineRule="auto"/>
        <w:rPr>
          <w:rFonts w:cstheme="minorHAnsi"/>
        </w:rPr>
      </w:pPr>
      <w:r w:rsidRPr="001C25E7">
        <w:rPr>
          <w:rFonts w:cstheme="minorHAnsi"/>
        </w:rPr>
        <w:t xml:space="preserve">A huge difference between Alice and Fanny from </w:t>
      </w:r>
      <w:r w:rsidRPr="001C25E7">
        <w:rPr>
          <w:rFonts w:cstheme="minorHAnsi"/>
          <w:i/>
        </w:rPr>
        <w:t xml:space="preserve">Mansfield Park </w:t>
      </w:r>
      <w:r w:rsidRPr="001C25E7">
        <w:rPr>
          <w:rFonts w:cstheme="minorHAnsi"/>
        </w:rPr>
        <w:t xml:space="preserve">is that Alice has freedom within her childhood unlike Fanny. This is due to Fanny being given rules to follow and refusing to push boundaries due to knowing that there will be consequences if she does such a thing. This is different to Alice as she is given freedom to do whatever she wants and is taken from one world of freedom in to a world where everything is different. There are instructions in place for Alice such as “eat me” or “drink me” but there is nobody there to </w:t>
      </w:r>
      <w:r w:rsidRPr="001C25E7">
        <w:rPr>
          <w:rFonts w:cstheme="minorHAnsi"/>
        </w:rPr>
        <w:lastRenderedPageBreak/>
        <w:t>hold her accountable if she doesn’t follow the instructions.</w:t>
      </w:r>
      <w:r w:rsidR="00F3154D" w:rsidRPr="001C25E7">
        <w:rPr>
          <w:rFonts w:cstheme="minorHAnsi"/>
        </w:rPr>
        <w:t xml:space="preserve"> At the end of </w:t>
      </w:r>
      <w:r w:rsidR="00F3154D" w:rsidRPr="001C25E7">
        <w:rPr>
          <w:rFonts w:cstheme="minorHAnsi"/>
          <w:i/>
        </w:rPr>
        <w:t xml:space="preserve">Alice, </w:t>
      </w:r>
      <w:r w:rsidR="00072892" w:rsidRPr="001C25E7">
        <w:rPr>
          <w:rFonts w:cstheme="minorHAnsi"/>
        </w:rPr>
        <w:t xml:space="preserve">her imagination is reduced to a pale version </w:t>
      </w:r>
      <w:r w:rsidR="005A6EE9" w:rsidRPr="001C25E7">
        <w:rPr>
          <w:rFonts w:cstheme="minorHAnsi"/>
        </w:rPr>
        <w:t>of reality by her older sister</w:t>
      </w:r>
      <w:r w:rsidR="00DA4F20">
        <w:rPr>
          <w:rFonts w:cstheme="minorHAnsi"/>
        </w:rPr>
        <w:t xml:space="preserve"> which demonstrates how quickly freedom </w:t>
      </w:r>
      <w:proofErr w:type="gramStart"/>
      <w:r w:rsidR="00DA4F20">
        <w:rPr>
          <w:rFonts w:cstheme="minorHAnsi"/>
        </w:rPr>
        <w:t>fades.</w:t>
      </w:r>
      <w:r w:rsidR="005A6EE9" w:rsidRPr="001C25E7">
        <w:rPr>
          <w:rFonts w:cstheme="minorHAnsi"/>
        </w:rPr>
        <w:t>.</w:t>
      </w:r>
      <w:proofErr w:type="gramEnd"/>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u w:val="single"/>
        </w:rPr>
      </w:pPr>
    </w:p>
    <w:p w:rsidR="00C60665" w:rsidRDefault="00C60665" w:rsidP="001C25E7">
      <w:pPr>
        <w:spacing w:line="480" w:lineRule="auto"/>
        <w:rPr>
          <w:rFonts w:cstheme="minorHAnsi"/>
          <w:u w:val="single"/>
        </w:rPr>
      </w:pPr>
    </w:p>
    <w:p w:rsidR="005A6EE9" w:rsidRPr="001C25E7" w:rsidRDefault="005A6EE9" w:rsidP="001C25E7">
      <w:pPr>
        <w:spacing w:line="480" w:lineRule="auto"/>
        <w:rPr>
          <w:rFonts w:cstheme="minorHAnsi"/>
          <w:u w:val="single"/>
        </w:rPr>
      </w:pPr>
      <w:r w:rsidRPr="001C25E7">
        <w:rPr>
          <w:rFonts w:cstheme="minorHAnsi"/>
          <w:u w:val="single"/>
        </w:rPr>
        <w:lastRenderedPageBreak/>
        <w:t>Bibliography</w:t>
      </w:r>
    </w:p>
    <w:p w:rsidR="005A6EE9" w:rsidRPr="001C25E7" w:rsidRDefault="005A6EE9" w:rsidP="001C25E7">
      <w:pPr>
        <w:spacing w:line="480" w:lineRule="auto"/>
        <w:rPr>
          <w:rFonts w:cstheme="minorHAnsi"/>
          <w:u w:val="single"/>
        </w:rPr>
      </w:pPr>
    </w:p>
    <w:p w:rsidR="005A6EE9" w:rsidRPr="001C25E7" w:rsidRDefault="005A6EE9" w:rsidP="001C25E7">
      <w:pPr>
        <w:spacing w:line="480" w:lineRule="auto"/>
        <w:rPr>
          <w:rFonts w:cstheme="minorHAnsi"/>
        </w:rPr>
      </w:pPr>
      <w:r w:rsidRPr="001C25E7">
        <w:rPr>
          <w:rFonts w:cstheme="minorHAnsi"/>
        </w:rPr>
        <w:t xml:space="preserve">Austen, J. (1992) </w:t>
      </w:r>
      <w:r w:rsidRPr="001C25E7">
        <w:rPr>
          <w:rFonts w:cstheme="minorHAnsi"/>
          <w:i/>
        </w:rPr>
        <w:t xml:space="preserve">Mansfield Park </w:t>
      </w:r>
      <w:r w:rsidRPr="001C25E7">
        <w:rPr>
          <w:rFonts w:cstheme="minorHAnsi"/>
        </w:rPr>
        <w:t>1</w:t>
      </w:r>
      <w:r w:rsidRPr="001C25E7">
        <w:rPr>
          <w:rFonts w:cstheme="minorHAnsi"/>
          <w:vertAlign w:val="superscript"/>
        </w:rPr>
        <w:t>st</w:t>
      </w:r>
      <w:r w:rsidRPr="001C25E7">
        <w:rPr>
          <w:rFonts w:cstheme="minorHAnsi"/>
        </w:rPr>
        <w:t xml:space="preserve"> Ed. Hertfordshire: Wordsworth Editions Limited.</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Carroll, L. (1994) </w:t>
      </w:r>
      <w:r w:rsidRPr="001C25E7">
        <w:rPr>
          <w:rFonts w:cstheme="minorHAnsi"/>
          <w:i/>
        </w:rPr>
        <w:t xml:space="preserve">Alice’s Adventures in Wonderland </w:t>
      </w:r>
      <w:r w:rsidRPr="001C25E7">
        <w:rPr>
          <w:rFonts w:cstheme="minorHAnsi"/>
        </w:rPr>
        <w:t>1</w:t>
      </w:r>
      <w:r w:rsidRPr="001C25E7">
        <w:rPr>
          <w:rFonts w:cstheme="minorHAnsi"/>
          <w:vertAlign w:val="superscript"/>
        </w:rPr>
        <w:t>st</w:t>
      </w:r>
      <w:r w:rsidRPr="001C25E7">
        <w:rPr>
          <w:rFonts w:cstheme="minorHAnsi"/>
        </w:rPr>
        <w:t xml:space="preserve"> Ed. London: Penguin Popular Classics.</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Auerbach, N. ‘The Rise of the Fallen Woman’, </w:t>
      </w:r>
      <w:r w:rsidRPr="001C25E7">
        <w:rPr>
          <w:rFonts w:cstheme="minorHAnsi"/>
          <w:i/>
        </w:rPr>
        <w:t xml:space="preserve">Nineteenth-Century Fiction, </w:t>
      </w:r>
      <w:r w:rsidRPr="001C25E7">
        <w:rPr>
          <w:rFonts w:cstheme="minorHAnsi"/>
        </w:rPr>
        <w:t>34(1) (June 1980), pp. 29-52.</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Balinisteanu, C. ‘Subversion of Authority in “Alice’s Adv</w:t>
      </w:r>
      <w:bookmarkStart w:id="0" w:name="_GoBack"/>
      <w:bookmarkEnd w:id="0"/>
      <w:r w:rsidRPr="001C25E7">
        <w:rPr>
          <w:rFonts w:cstheme="minorHAnsi"/>
        </w:rPr>
        <w:t xml:space="preserve">entures in Wonderland”’, </w:t>
      </w:r>
      <w:r w:rsidRPr="001C25E7">
        <w:rPr>
          <w:rFonts w:cstheme="minorHAnsi"/>
          <w:i/>
        </w:rPr>
        <w:t xml:space="preserve">ProQuest, </w:t>
      </w:r>
      <w:r w:rsidRPr="001C25E7">
        <w:rPr>
          <w:rFonts w:cstheme="minorHAnsi"/>
        </w:rPr>
        <w:t>5(2) (2013), pp. 69-79.</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Boehm, K. (2012) </w:t>
      </w:r>
      <w:r w:rsidRPr="001C25E7">
        <w:rPr>
          <w:rFonts w:cstheme="minorHAnsi"/>
          <w:i/>
        </w:rPr>
        <w:t xml:space="preserve">Bodies and Things in Nineteenth-Century Literature and Culture </w:t>
      </w:r>
      <w:r w:rsidRPr="001C25E7">
        <w:rPr>
          <w:rFonts w:cstheme="minorHAnsi"/>
        </w:rPr>
        <w:t>1</w:t>
      </w:r>
      <w:r w:rsidRPr="001C25E7">
        <w:rPr>
          <w:rFonts w:cstheme="minorHAnsi"/>
          <w:vertAlign w:val="superscript"/>
        </w:rPr>
        <w:t>st</w:t>
      </w:r>
      <w:r w:rsidRPr="001C25E7">
        <w:rPr>
          <w:rFonts w:cstheme="minorHAnsi"/>
        </w:rPr>
        <w:t xml:space="preserve"> Ed. London: Palgrave Macmillan.</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Brown, M. ‘Making Sense of Nonsense: An Examination of Lewis Carroll’s Alice’s Adventures in Wonderland and Norton Juster’s The Phantom Tollbooth as Allegories of Children’s Learning’, </w:t>
      </w:r>
      <w:r w:rsidRPr="001C25E7">
        <w:rPr>
          <w:rFonts w:cstheme="minorHAnsi"/>
          <w:i/>
        </w:rPr>
        <w:t xml:space="preserve">The Looking Glass: New Perspectives on Children’s Literature, </w:t>
      </w:r>
      <w:r w:rsidRPr="001C25E7">
        <w:rPr>
          <w:rFonts w:cstheme="minorHAnsi"/>
        </w:rPr>
        <w:t>pp. 1-6.</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Clarke, J. (2004) </w:t>
      </w:r>
      <w:r w:rsidRPr="001C25E7">
        <w:rPr>
          <w:rFonts w:cstheme="minorHAnsi"/>
          <w:i/>
        </w:rPr>
        <w:t xml:space="preserve">Histories of Childhood </w:t>
      </w:r>
      <w:r w:rsidRPr="001C25E7">
        <w:rPr>
          <w:rFonts w:cstheme="minorHAnsi"/>
        </w:rPr>
        <w:t>1</w:t>
      </w:r>
      <w:r w:rsidRPr="001C25E7">
        <w:rPr>
          <w:rFonts w:cstheme="minorHAnsi"/>
          <w:vertAlign w:val="superscript"/>
        </w:rPr>
        <w:t>st</w:t>
      </w:r>
      <w:r w:rsidRPr="001C25E7">
        <w:rPr>
          <w:rFonts w:cstheme="minorHAnsi"/>
        </w:rPr>
        <w:t xml:space="preserve"> Ed. New Jersey: Blackwell Publishing Press.</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Downie, J. A. ‘Rehabilitating Sir Thomas Bertram’, </w:t>
      </w:r>
      <w:r w:rsidRPr="001C25E7">
        <w:rPr>
          <w:rFonts w:cstheme="minorHAnsi"/>
          <w:i/>
        </w:rPr>
        <w:t xml:space="preserve">Studies in English Literature 1500-1900, </w:t>
      </w:r>
      <w:r w:rsidRPr="001C25E7">
        <w:rPr>
          <w:rFonts w:cstheme="minorHAnsi"/>
        </w:rPr>
        <w:t>50(4) (Autumn 2010), pp. 739-758.</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lastRenderedPageBreak/>
        <w:t xml:space="preserve">Doyle, B. (2003) </w:t>
      </w:r>
      <w:r w:rsidRPr="001C25E7">
        <w:rPr>
          <w:rFonts w:cstheme="minorHAnsi"/>
          <w:i/>
        </w:rPr>
        <w:t xml:space="preserve">English and Englishness </w:t>
      </w:r>
      <w:r w:rsidRPr="001C25E7">
        <w:rPr>
          <w:rFonts w:cstheme="minorHAnsi"/>
        </w:rPr>
        <w:t>1</w:t>
      </w:r>
      <w:r w:rsidRPr="001C25E7">
        <w:rPr>
          <w:rFonts w:cstheme="minorHAnsi"/>
          <w:vertAlign w:val="superscript"/>
        </w:rPr>
        <w:t>st</w:t>
      </w:r>
      <w:r w:rsidRPr="001C25E7">
        <w:rPr>
          <w:rFonts w:cstheme="minorHAnsi"/>
        </w:rPr>
        <w:t xml:space="preserve"> Ed. New York: Routledge.</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Duschinsky, R. ‘The politics of purity: When, actually, is dirt matter out of place?’, </w:t>
      </w:r>
      <w:r w:rsidRPr="001C25E7">
        <w:rPr>
          <w:rFonts w:cstheme="minorHAnsi"/>
          <w:i/>
        </w:rPr>
        <w:t xml:space="preserve">Northumbria University, UK, </w:t>
      </w:r>
      <w:r w:rsidRPr="001C25E7">
        <w:rPr>
          <w:rFonts w:cstheme="minorHAnsi"/>
        </w:rPr>
        <w:t>119(1) (2013), pp. 63-77.</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Edmundson, M. ‘A Space for Fanny: The Significance of Her Rooms in </w:t>
      </w:r>
      <w:r w:rsidRPr="001C25E7">
        <w:rPr>
          <w:rFonts w:cstheme="minorHAnsi"/>
          <w:i/>
        </w:rPr>
        <w:t>Mansfield Park</w:t>
      </w:r>
      <w:r w:rsidRPr="001C25E7">
        <w:rPr>
          <w:rFonts w:cstheme="minorHAnsi"/>
        </w:rPr>
        <w:t xml:space="preserve">’, </w:t>
      </w:r>
      <w:r w:rsidRPr="001C25E7">
        <w:rPr>
          <w:rFonts w:cstheme="minorHAnsi"/>
          <w:i/>
        </w:rPr>
        <w:t xml:space="preserve">Jane Austen Society of North America, </w:t>
      </w:r>
      <w:r w:rsidRPr="001C25E7">
        <w:rPr>
          <w:rFonts w:cstheme="minorHAnsi"/>
        </w:rPr>
        <w:t>23(1) (Winter 2002).</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Fleishman, A. ‘Mansfield Park in Its Time’, </w:t>
      </w:r>
      <w:r w:rsidRPr="001C25E7">
        <w:rPr>
          <w:rFonts w:cstheme="minorHAnsi"/>
          <w:i/>
        </w:rPr>
        <w:t xml:space="preserve">Nineteenth-Century Fiction, </w:t>
      </w:r>
      <w:r w:rsidRPr="001C25E7">
        <w:rPr>
          <w:rFonts w:cstheme="minorHAnsi"/>
        </w:rPr>
        <w:t>22(1) (1967), pp. 1-18.</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Fromer, J. E. (2008) </w:t>
      </w:r>
      <w:r w:rsidRPr="001C25E7">
        <w:rPr>
          <w:rFonts w:cstheme="minorHAnsi"/>
          <w:i/>
        </w:rPr>
        <w:t xml:space="preserve">A Necessary Luxury: Tea in Victorian England </w:t>
      </w:r>
      <w:r w:rsidRPr="001C25E7">
        <w:rPr>
          <w:rFonts w:cstheme="minorHAnsi"/>
        </w:rPr>
        <w:t>1</w:t>
      </w:r>
      <w:r w:rsidRPr="001C25E7">
        <w:rPr>
          <w:rFonts w:cstheme="minorHAnsi"/>
          <w:vertAlign w:val="superscript"/>
        </w:rPr>
        <w:t>st</w:t>
      </w:r>
      <w:r w:rsidRPr="001C25E7">
        <w:rPr>
          <w:rFonts w:cstheme="minorHAnsi"/>
        </w:rPr>
        <w:t xml:space="preserve"> Ed. Ohio: Ohio University Press.</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Gash, N. ‘After Waterloo: British Society and the Legacy of the Napoleonic Wars’, </w:t>
      </w:r>
      <w:r w:rsidRPr="001C25E7">
        <w:rPr>
          <w:rFonts w:cstheme="minorHAnsi"/>
          <w:i/>
        </w:rPr>
        <w:t xml:space="preserve">Transactions of the Royal Historical Society, </w:t>
      </w:r>
      <w:r w:rsidRPr="001C25E7">
        <w:rPr>
          <w:rFonts w:cstheme="minorHAnsi"/>
        </w:rPr>
        <w:t>28 (1978), pp. 145-157.</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Gillis, J. R, ‘Gender and fertility decline among the British middle classes’, </w:t>
      </w:r>
      <w:r w:rsidRPr="001C25E7">
        <w:rPr>
          <w:rFonts w:cstheme="minorHAnsi"/>
          <w:i/>
        </w:rPr>
        <w:t xml:space="preserve">Studies in Social Disconinuity, </w:t>
      </w:r>
      <w:r w:rsidRPr="001C25E7">
        <w:rPr>
          <w:rFonts w:cstheme="minorHAnsi"/>
        </w:rPr>
        <w:t>(1992), pp. 31-47.</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Guin, K. A. </w:t>
      </w:r>
      <w:r w:rsidRPr="001C25E7">
        <w:rPr>
          <w:rFonts w:cstheme="minorHAnsi"/>
          <w:i/>
        </w:rPr>
        <w:t xml:space="preserve">An Aristotelian Approach to Jane Austen’s Mansfield Park. </w:t>
      </w:r>
      <w:r w:rsidRPr="001C25E7">
        <w:rPr>
          <w:rFonts w:cstheme="minorHAnsi"/>
        </w:rPr>
        <w:t>(Unpublished PhD thesis, Florida State University, 2015).</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lastRenderedPageBreak/>
        <w:t xml:space="preserve">Kjeldgaard, A. </w:t>
      </w:r>
      <w:r w:rsidRPr="001C25E7">
        <w:rPr>
          <w:rFonts w:cstheme="minorHAnsi"/>
          <w:i/>
        </w:rPr>
        <w:t xml:space="preserve">Exploring Narrative Time, Circular Temporalities and Growth in Alice’s Adventures in Wonderland and Peter Pan. </w:t>
      </w:r>
      <w:r w:rsidRPr="001C25E7">
        <w:rPr>
          <w:rFonts w:cstheme="minorHAnsi"/>
        </w:rPr>
        <w:t>(Unpublished ECLS Student Scholarship submission, Occidental College, 2009).</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McMillan, D. ‘Iron Gates and Ha-has: visible and invisible barriers in Jane Austen’s Mansfield Park’, </w:t>
      </w:r>
      <w:r w:rsidRPr="001C25E7">
        <w:rPr>
          <w:rFonts w:cstheme="minorHAnsi"/>
          <w:i/>
        </w:rPr>
        <w:t xml:space="preserve">University of Glasgow, </w:t>
      </w:r>
      <w:r w:rsidRPr="001C25E7">
        <w:rPr>
          <w:rFonts w:cstheme="minorHAnsi"/>
        </w:rPr>
        <w:t>10 (2010), pp. 3-18.</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Murray, D. ‘Spectatorship in Mansfield Park: Looking and Overlooking’, </w:t>
      </w:r>
      <w:r w:rsidRPr="001C25E7">
        <w:rPr>
          <w:rFonts w:cstheme="minorHAnsi"/>
          <w:i/>
        </w:rPr>
        <w:t xml:space="preserve">Nineteenth-Century Literature, </w:t>
      </w:r>
      <w:r w:rsidRPr="001C25E7">
        <w:rPr>
          <w:rFonts w:cstheme="minorHAnsi"/>
        </w:rPr>
        <w:t>52(1) (June 1997), pp. 1-26.</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Oldham, J. ‘New Light on Mansfield and Slavery’, </w:t>
      </w:r>
      <w:r w:rsidRPr="001C25E7">
        <w:rPr>
          <w:rFonts w:cstheme="minorHAnsi"/>
          <w:i/>
        </w:rPr>
        <w:t xml:space="preserve">Journal of British Studies, </w:t>
      </w:r>
      <w:r w:rsidRPr="001C25E7">
        <w:rPr>
          <w:rFonts w:cstheme="minorHAnsi"/>
        </w:rPr>
        <w:t>27(1) (Jan 1988), pp. 45-68.</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Pendlebury, K. ‘Mental Recreation in Wonderland’, </w:t>
      </w:r>
      <w:r w:rsidRPr="001C25E7">
        <w:rPr>
          <w:rFonts w:cstheme="minorHAnsi"/>
          <w:i/>
        </w:rPr>
        <w:t xml:space="preserve">American Journal of Play, </w:t>
      </w:r>
      <w:r w:rsidRPr="001C25E7">
        <w:rPr>
          <w:rFonts w:cstheme="minorHAnsi"/>
        </w:rPr>
        <w:t>9(1) (Fall 2016), pp. 41-55.</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Puryear, C. L. </w:t>
      </w:r>
      <w:r w:rsidRPr="001C25E7">
        <w:rPr>
          <w:rFonts w:cstheme="minorHAnsi"/>
          <w:i/>
        </w:rPr>
        <w:t xml:space="preserve">The effects of the Norman Conquest on Anglo-Saxon Aristocracy. </w:t>
      </w:r>
      <w:r w:rsidRPr="001C25E7">
        <w:rPr>
          <w:rFonts w:cstheme="minorHAnsi"/>
        </w:rPr>
        <w:t>(Honors Theses, University of Richmond, 1976).</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Rahman, A. G. ‘Violence in the poems in the </w:t>
      </w:r>
      <w:r w:rsidRPr="001C25E7">
        <w:rPr>
          <w:rFonts w:cstheme="minorHAnsi"/>
          <w:i/>
        </w:rPr>
        <w:t xml:space="preserve">Alice </w:t>
      </w:r>
      <w:r w:rsidRPr="001C25E7">
        <w:rPr>
          <w:rFonts w:cstheme="minorHAnsi"/>
        </w:rPr>
        <w:t xml:space="preserve">books and Lewis Carroll’s intended audience’, </w:t>
      </w:r>
      <w:r w:rsidRPr="001C25E7">
        <w:rPr>
          <w:rFonts w:cstheme="minorHAnsi"/>
          <w:i/>
        </w:rPr>
        <w:t xml:space="preserve">InSight: Rivier Academic Journal, </w:t>
      </w:r>
      <w:r w:rsidRPr="001C25E7">
        <w:rPr>
          <w:rFonts w:cstheme="minorHAnsi"/>
        </w:rPr>
        <w:t>10(1) (Spring 2014), pp. 1-6.</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Reno, J. ‘Toward a New Theory of Waste: From ‘Matter out of Place’ to Signs of Life’, </w:t>
      </w:r>
      <w:r w:rsidRPr="001C25E7">
        <w:rPr>
          <w:rFonts w:cstheme="minorHAnsi"/>
          <w:i/>
        </w:rPr>
        <w:t xml:space="preserve">Theory Culture &amp; Society, </w:t>
      </w:r>
      <w:r w:rsidRPr="001C25E7">
        <w:rPr>
          <w:rFonts w:cstheme="minorHAnsi"/>
        </w:rPr>
        <w:t>31(6) (November 2014), pp. 3-27.</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Ruggles, S. (1987) </w:t>
      </w:r>
      <w:r w:rsidRPr="001C25E7">
        <w:rPr>
          <w:rFonts w:cstheme="minorHAnsi"/>
          <w:i/>
        </w:rPr>
        <w:t xml:space="preserve">Prolonged Connections: The Rise of the Extended Family in Nineteenth-Century England and America </w:t>
      </w:r>
      <w:r w:rsidRPr="001C25E7">
        <w:rPr>
          <w:rFonts w:cstheme="minorHAnsi"/>
        </w:rPr>
        <w:t>1</w:t>
      </w:r>
      <w:r w:rsidRPr="001C25E7">
        <w:rPr>
          <w:rFonts w:cstheme="minorHAnsi"/>
          <w:vertAlign w:val="superscript"/>
        </w:rPr>
        <w:t>st</w:t>
      </w:r>
      <w:r w:rsidRPr="001C25E7">
        <w:rPr>
          <w:rFonts w:cstheme="minorHAnsi"/>
        </w:rPr>
        <w:t xml:space="preserve"> Ed. Wisconsin: The University of Wisconsin Press.</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Sasser, M. T. </w:t>
      </w:r>
      <w:r w:rsidRPr="001C25E7">
        <w:rPr>
          <w:rFonts w:cstheme="minorHAnsi"/>
          <w:i/>
        </w:rPr>
        <w:t xml:space="preserve">Advent of Denial of Death in Children’s Literature. </w:t>
      </w:r>
      <w:r w:rsidRPr="001C25E7">
        <w:rPr>
          <w:rFonts w:cstheme="minorHAnsi"/>
        </w:rPr>
        <w:t>(Unpublished dissertation, Georgia Southern University, 2008).</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Schneider, D. “</w:t>
      </w:r>
      <w:r w:rsidRPr="001C25E7">
        <w:rPr>
          <w:rFonts w:cstheme="minorHAnsi"/>
          <w:i/>
        </w:rPr>
        <w:t xml:space="preserve">Ambition, Distraction, Uglification and Derision”: Carroll’s Use of Mathematics and Literature to Critique Victorian Britain. </w:t>
      </w:r>
      <w:r w:rsidRPr="001C25E7">
        <w:rPr>
          <w:rFonts w:cstheme="minorHAnsi"/>
        </w:rPr>
        <w:t>(Honours Project, Syracuse University, 2010).</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Segren, U. </w:t>
      </w:r>
      <w:r w:rsidRPr="001C25E7">
        <w:rPr>
          <w:rFonts w:cstheme="minorHAnsi"/>
          <w:i/>
        </w:rPr>
        <w:t xml:space="preserve">Childhood in Wonderland: Child Development in Lewis Carroll’s Books Alice’s Adventures in Wonderland and Through the Looking-Glass. </w:t>
      </w:r>
      <w:r w:rsidRPr="001C25E7">
        <w:rPr>
          <w:rFonts w:cstheme="minorHAnsi"/>
        </w:rPr>
        <w:t>(Unpublished dissertation, Lund University, 2015).</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Spivak, G. C. ‘Three Women’s Texts and a Critique of Imperialism’, </w:t>
      </w:r>
      <w:r w:rsidRPr="001C25E7">
        <w:rPr>
          <w:rFonts w:cstheme="minorHAnsi"/>
          <w:i/>
        </w:rPr>
        <w:t xml:space="preserve">Critical Inquiry, </w:t>
      </w:r>
      <w:r w:rsidRPr="001C25E7">
        <w:rPr>
          <w:rFonts w:cstheme="minorHAnsi"/>
        </w:rPr>
        <w:t>12(1) (Autumn, 1985), pp. 243-261.</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Stone, L. (1977) </w:t>
      </w:r>
      <w:r w:rsidRPr="001C25E7">
        <w:rPr>
          <w:rFonts w:cstheme="minorHAnsi"/>
          <w:i/>
        </w:rPr>
        <w:t xml:space="preserve">The Family, Sex and Marriage </w:t>
      </w:r>
      <w:r w:rsidRPr="001C25E7">
        <w:rPr>
          <w:rFonts w:cstheme="minorHAnsi"/>
        </w:rPr>
        <w:t>1</w:t>
      </w:r>
      <w:r w:rsidRPr="001C25E7">
        <w:rPr>
          <w:rFonts w:cstheme="minorHAnsi"/>
          <w:vertAlign w:val="superscript"/>
        </w:rPr>
        <w:t>st</w:t>
      </w:r>
      <w:r w:rsidRPr="001C25E7">
        <w:rPr>
          <w:rFonts w:cstheme="minorHAnsi"/>
        </w:rPr>
        <w:t xml:space="preserve"> Ed. London: Penguin Books.</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Stupp, J. ‘Slavery and the Theatre of History: Ritual Performance on the Auction Block’, </w:t>
      </w:r>
      <w:r w:rsidRPr="001C25E7">
        <w:rPr>
          <w:rFonts w:cstheme="minorHAnsi"/>
          <w:i/>
        </w:rPr>
        <w:t xml:space="preserve">Theatre Journal, </w:t>
      </w:r>
      <w:r w:rsidRPr="001C25E7">
        <w:rPr>
          <w:rFonts w:cstheme="minorHAnsi"/>
        </w:rPr>
        <w:t>63(1) (2011), pp. 61-84.</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lastRenderedPageBreak/>
        <w:t xml:space="preserve">White, J. ‘Adult Realm v. Childhood: A Critical Examination of the Victorian Realm’s Ideal Young Adult’, </w:t>
      </w:r>
      <w:r w:rsidRPr="001C25E7">
        <w:rPr>
          <w:rFonts w:cstheme="minorHAnsi"/>
          <w:i/>
        </w:rPr>
        <w:t xml:space="preserve">The Review: A Journal of Undergraduate Student Research, </w:t>
      </w:r>
      <w:r w:rsidRPr="001C25E7">
        <w:rPr>
          <w:rFonts w:cstheme="minorHAnsi"/>
        </w:rPr>
        <w:t>14(8) (2013), pp. 38-48.</w:t>
      </w:r>
    </w:p>
    <w:p w:rsidR="005A6EE9" w:rsidRPr="001C25E7" w:rsidRDefault="005A6EE9" w:rsidP="001C25E7">
      <w:pPr>
        <w:spacing w:line="480" w:lineRule="auto"/>
        <w:rPr>
          <w:rFonts w:cstheme="minorHAnsi"/>
        </w:rPr>
      </w:pPr>
    </w:p>
    <w:p w:rsidR="005A6EE9" w:rsidRPr="001C25E7" w:rsidRDefault="005A6EE9" w:rsidP="001C25E7">
      <w:pPr>
        <w:spacing w:line="480" w:lineRule="auto"/>
        <w:rPr>
          <w:rFonts w:cstheme="minorHAnsi"/>
        </w:rPr>
      </w:pPr>
      <w:r w:rsidRPr="001C25E7">
        <w:rPr>
          <w:rFonts w:cstheme="minorHAnsi"/>
        </w:rPr>
        <w:t xml:space="preserve">Wiltshire, J. </w:t>
      </w:r>
      <w:r w:rsidRPr="001C25E7">
        <w:rPr>
          <w:rFonts w:cstheme="minorHAnsi"/>
          <w:i/>
        </w:rPr>
        <w:t>Exploring Mansfield Park: In the Footsteps of Fanny Price.</w:t>
      </w:r>
      <w:r w:rsidRPr="001C25E7">
        <w:rPr>
          <w:rFonts w:cstheme="minorHAnsi"/>
        </w:rPr>
        <w:t xml:space="preserve"> 2000, &lt; </w:t>
      </w:r>
      <w:hyperlink r:id="rId6" w:history="1">
        <w:r w:rsidRPr="001C25E7">
          <w:rPr>
            <w:rStyle w:val="Hyperlink"/>
            <w:rFonts w:cstheme="minorHAnsi"/>
          </w:rPr>
          <w:t>http://www.jasna.org/persuasions/printed/number28/wiltshire.pdf</w:t>
        </w:r>
      </w:hyperlink>
      <w:r w:rsidRPr="001C25E7">
        <w:rPr>
          <w:rFonts w:cstheme="minorHAnsi"/>
        </w:rPr>
        <w:t>&gt; [Accessed 31</w:t>
      </w:r>
      <w:r w:rsidRPr="001C25E7">
        <w:rPr>
          <w:rFonts w:cstheme="minorHAnsi"/>
          <w:vertAlign w:val="superscript"/>
        </w:rPr>
        <w:t>st</w:t>
      </w:r>
      <w:r w:rsidRPr="001C25E7">
        <w:rPr>
          <w:rFonts w:cstheme="minorHAnsi"/>
        </w:rPr>
        <w:t xml:space="preserve"> January 2019]</w:t>
      </w:r>
    </w:p>
    <w:p w:rsidR="005A6EE9" w:rsidRPr="001C25E7" w:rsidRDefault="005A6EE9" w:rsidP="001C25E7">
      <w:pPr>
        <w:spacing w:line="480" w:lineRule="auto"/>
        <w:rPr>
          <w:rFonts w:cstheme="minorHAnsi"/>
        </w:rPr>
      </w:pPr>
    </w:p>
    <w:sectPr w:rsidR="005A6EE9" w:rsidRPr="001C25E7" w:rsidSect="00F37FD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65E0" w:rsidRDefault="00DA65E0" w:rsidP="00DA65E0">
      <w:r>
        <w:separator/>
      </w:r>
    </w:p>
  </w:endnote>
  <w:endnote w:type="continuationSeparator" w:id="0">
    <w:p w:rsidR="00DA65E0" w:rsidRDefault="00DA65E0" w:rsidP="00DA6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65E0" w:rsidRDefault="00DA65E0" w:rsidP="00DA65E0">
      <w:r>
        <w:separator/>
      </w:r>
    </w:p>
  </w:footnote>
  <w:footnote w:type="continuationSeparator" w:id="0">
    <w:p w:rsidR="00DA65E0" w:rsidRDefault="00DA65E0" w:rsidP="00DA65E0">
      <w:r>
        <w:continuationSeparator/>
      </w:r>
    </w:p>
  </w:footnote>
  <w:footnote w:id="1">
    <w:p w:rsidR="0070147F" w:rsidRPr="0070147F" w:rsidRDefault="0070147F">
      <w:pPr>
        <w:pStyle w:val="FootnoteText"/>
      </w:pPr>
      <w:r>
        <w:rPr>
          <w:rStyle w:val="FootnoteReference"/>
        </w:rPr>
        <w:footnoteRef/>
      </w:r>
      <w:r>
        <w:t xml:space="preserve"> J. Stupp, ‘Slavery and the Theatre of History: Ritual Performance on the Auction Block’, </w:t>
      </w:r>
      <w:r>
        <w:rPr>
          <w:i/>
        </w:rPr>
        <w:t xml:space="preserve">Theatre Journal, </w:t>
      </w:r>
      <w:r>
        <w:t>63(1) (2011), 61-84 (p. 61).</w:t>
      </w:r>
    </w:p>
  </w:footnote>
  <w:footnote w:id="2">
    <w:p w:rsidR="00DA65E0" w:rsidRPr="00DA65E0" w:rsidRDefault="00DA65E0">
      <w:pPr>
        <w:pStyle w:val="FootnoteText"/>
      </w:pPr>
      <w:r>
        <w:rPr>
          <w:rStyle w:val="FootnoteReference"/>
        </w:rPr>
        <w:footnoteRef/>
      </w:r>
      <w:r w:rsidR="0070147F">
        <w:t xml:space="preserve"> G. </w:t>
      </w:r>
      <w:r>
        <w:t xml:space="preserve">C. Spivak, ‘Three Women’s Texts and a Critique of Imperialism’, </w:t>
      </w:r>
      <w:r>
        <w:rPr>
          <w:i/>
        </w:rPr>
        <w:t xml:space="preserve">Critical Inquiry, </w:t>
      </w:r>
      <w:r>
        <w:t>12(1) (Autumn, 1985), 243-261 (p. 243).</w:t>
      </w:r>
    </w:p>
  </w:footnote>
  <w:footnote w:id="3">
    <w:p w:rsidR="00060DF5" w:rsidRPr="00060DF5" w:rsidRDefault="00060DF5">
      <w:pPr>
        <w:pStyle w:val="FootnoteText"/>
      </w:pPr>
      <w:r>
        <w:rPr>
          <w:rStyle w:val="FootnoteReference"/>
        </w:rPr>
        <w:footnoteRef/>
      </w:r>
      <w:r>
        <w:t xml:space="preserve"> N. Gash, ‘After Waterloo: British Society and the Legacy of the Napoleonic Wars’, </w:t>
      </w:r>
      <w:r>
        <w:rPr>
          <w:i/>
        </w:rPr>
        <w:t xml:space="preserve">Transactions of the Royal Historical Society, </w:t>
      </w:r>
      <w:r>
        <w:t>28 (1978), 145-157 (p. 146).</w:t>
      </w:r>
    </w:p>
  </w:footnote>
  <w:footnote w:id="4">
    <w:p w:rsidR="00060DF5" w:rsidRPr="00060DF5" w:rsidRDefault="00060DF5">
      <w:pPr>
        <w:pStyle w:val="FootnoteText"/>
      </w:pPr>
      <w:r>
        <w:rPr>
          <w:rStyle w:val="FootnoteReference"/>
        </w:rPr>
        <w:footnoteRef/>
      </w:r>
      <w:r>
        <w:t xml:space="preserve"> B. Doyle, </w:t>
      </w:r>
      <w:r>
        <w:rPr>
          <w:i/>
        </w:rPr>
        <w:t xml:space="preserve">English and Englishness </w:t>
      </w:r>
      <w:r>
        <w:t>1</w:t>
      </w:r>
      <w:r w:rsidRPr="00060DF5">
        <w:rPr>
          <w:vertAlign w:val="superscript"/>
        </w:rPr>
        <w:t>st</w:t>
      </w:r>
      <w:r>
        <w:t xml:space="preserve"> edition (New York:</w:t>
      </w:r>
      <w:r w:rsidR="00CF5429">
        <w:t xml:space="preserve"> Routledge, 2003) p. 22.</w:t>
      </w:r>
    </w:p>
  </w:footnote>
  <w:footnote w:id="5">
    <w:p w:rsidR="003E68C5" w:rsidRPr="000849A5" w:rsidRDefault="003E68C5">
      <w:pPr>
        <w:pStyle w:val="FootnoteText"/>
      </w:pPr>
      <w:r>
        <w:rPr>
          <w:rStyle w:val="FootnoteReference"/>
        </w:rPr>
        <w:footnoteRef/>
      </w:r>
      <w:r>
        <w:t xml:space="preserve"> S. Ruggles</w:t>
      </w:r>
      <w:r w:rsidR="000849A5">
        <w:t xml:space="preserve">, </w:t>
      </w:r>
      <w:r w:rsidR="000849A5">
        <w:rPr>
          <w:i/>
        </w:rPr>
        <w:t xml:space="preserve">Prolonged Connections: The Rise of the Extended Family in Nineteenth-Century England and America </w:t>
      </w:r>
      <w:r w:rsidR="000849A5">
        <w:t>1</w:t>
      </w:r>
      <w:r w:rsidR="000849A5" w:rsidRPr="000849A5">
        <w:rPr>
          <w:vertAlign w:val="superscript"/>
        </w:rPr>
        <w:t>st</w:t>
      </w:r>
      <w:r w:rsidR="000849A5">
        <w:t xml:space="preserve"> edition (Wisconsin: The University of Wisconsin Press, 1987) p. 3.</w:t>
      </w:r>
    </w:p>
  </w:footnote>
  <w:footnote w:id="6">
    <w:p w:rsidR="002B60D0" w:rsidRPr="002B60D0" w:rsidRDefault="002B60D0">
      <w:pPr>
        <w:pStyle w:val="FootnoteText"/>
      </w:pPr>
      <w:r>
        <w:rPr>
          <w:rStyle w:val="FootnoteReference"/>
        </w:rPr>
        <w:footnoteRef/>
      </w:r>
      <w:r>
        <w:t xml:space="preserve"> J. Clarke, </w:t>
      </w:r>
      <w:r>
        <w:rPr>
          <w:i/>
        </w:rPr>
        <w:t xml:space="preserve">Histories of Childhood </w:t>
      </w:r>
      <w:r>
        <w:t>1</w:t>
      </w:r>
      <w:r w:rsidRPr="002B60D0">
        <w:rPr>
          <w:vertAlign w:val="superscript"/>
        </w:rPr>
        <w:t>st</w:t>
      </w:r>
      <w:r>
        <w:t xml:space="preserve"> edition (New Jersey: Blackwell Publishing</w:t>
      </w:r>
      <w:r w:rsidR="00DB39CD">
        <w:t xml:space="preserve"> Press</w:t>
      </w:r>
      <w:r>
        <w:t>, 2004) p. 7.</w:t>
      </w:r>
    </w:p>
  </w:footnote>
  <w:footnote w:id="7">
    <w:p w:rsidR="006A0F51" w:rsidRPr="006A0F51" w:rsidRDefault="006A0F51">
      <w:pPr>
        <w:pStyle w:val="FootnoteText"/>
      </w:pPr>
      <w:r>
        <w:rPr>
          <w:rStyle w:val="FootnoteReference"/>
        </w:rPr>
        <w:footnoteRef/>
      </w:r>
      <w:r>
        <w:t xml:space="preserve"> L. Stone, </w:t>
      </w:r>
      <w:r>
        <w:rPr>
          <w:i/>
        </w:rPr>
        <w:t xml:space="preserve">The Family, Sex and Marriage in England 1500-1800 </w:t>
      </w:r>
      <w:r>
        <w:t>1</w:t>
      </w:r>
      <w:r w:rsidRPr="006A0F51">
        <w:rPr>
          <w:vertAlign w:val="superscript"/>
        </w:rPr>
        <w:t>st</w:t>
      </w:r>
      <w:r>
        <w:t xml:space="preserve"> edition</w:t>
      </w:r>
      <w:r w:rsidR="0064747A">
        <w:t xml:space="preserve"> (London: Penguin Books, 1977) p. 285.</w:t>
      </w:r>
    </w:p>
  </w:footnote>
  <w:footnote w:id="8">
    <w:p w:rsidR="008F5534" w:rsidRPr="008F5534" w:rsidRDefault="008F5534">
      <w:pPr>
        <w:pStyle w:val="FootnoteText"/>
      </w:pPr>
      <w:r>
        <w:rPr>
          <w:rStyle w:val="FootnoteReference"/>
        </w:rPr>
        <w:footnoteRef/>
      </w:r>
      <w:r>
        <w:t xml:space="preserve"> J.R. Gillis, ‘Gender and fertility decline among the British middle classes’, </w:t>
      </w:r>
      <w:r>
        <w:rPr>
          <w:i/>
        </w:rPr>
        <w:t xml:space="preserve">Studies in Social Discontinuity, </w:t>
      </w:r>
      <w:r w:rsidR="009F1273">
        <w:t>(1992), 31-47 (p. 32).</w:t>
      </w:r>
    </w:p>
  </w:footnote>
  <w:footnote w:id="9">
    <w:p w:rsidR="009F1273" w:rsidRPr="009F1273" w:rsidRDefault="009F1273">
      <w:pPr>
        <w:pStyle w:val="FootnoteText"/>
      </w:pPr>
      <w:r>
        <w:rPr>
          <w:rStyle w:val="FootnoteReference"/>
        </w:rPr>
        <w:footnoteRef/>
      </w:r>
      <w:r>
        <w:t xml:space="preserve"> N. Auerbach, ‘The Rise of the Fallen Woman’, </w:t>
      </w:r>
      <w:r>
        <w:rPr>
          <w:i/>
        </w:rPr>
        <w:t xml:space="preserve">Nineteenth-Century Fiction, </w:t>
      </w:r>
      <w:r>
        <w:t>34(1) (June 1980), 29-52 (p. 31).</w:t>
      </w:r>
    </w:p>
  </w:footnote>
  <w:footnote w:id="10">
    <w:p w:rsidR="00E004C3" w:rsidRPr="00E004C3" w:rsidRDefault="00E004C3">
      <w:pPr>
        <w:pStyle w:val="FootnoteText"/>
      </w:pPr>
      <w:r>
        <w:rPr>
          <w:rStyle w:val="FootnoteReference"/>
        </w:rPr>
        <w:footnoteRef/>
      </w:r>
      <w:r>
        <w:t xml:space="preserve"> A. Digby, ‘Victorian Values and Women in Public and Private’, </w:t>
      </w:r>
      <w:r>
        <w:rPr>
          <w:i/>
        </w:rPr>
        <w:t xml:space="preserve">Oxford Polytechnic, </w:t>
      </w:r>
      <w:r>
        <w:t>78, 195-215 (p. 199).</w:t>
      </w:r>
    </w:p>
  </w:footnote>
  <w:footnote w:id="11">
    <w:p w:rsidR="00E004C3" w:rsidRPr="00E004C3" w:rsidRDefault="00E004C3">
      <w:pPr>
        <w:pStyle w:val="FootnoteText"/>
      </w:pPr>
      <w:r>
        <w:rPr>
          <w:rStyle w:val="FootnoteReference"/>
        </w:rPr>
        <w:footnoteRef/>
      </w:r>
      <w:r>
        <w:t xml:space="preserve"> J. Austen, </w:t>
      </w:r>
      <w:r>
        <w:rPr>
          <w:i/>
        </w:rPr>
        <w:t xml:space="preserve">Mansfield Park </w:t>
      </w:r>
      <w:r>
        <w:t>1</w:t>
      </w:r>
      <w:r w:rsidRPr="00E004C3">
        <w:rPr>
          <w:vertAlign w:val="superscript"/>
        </w:rPr>
        <w:t>st</w:t>
      </w:r>
      <w:r>
        <w:t xml:space="preserve"> edition (Hertfordshire: Wor</w:t>
      </w:r>
      <w:r w:rsidR="008D4DB4">
        <w:t>dsworth Editions Ltd, 1992) p. 3</w:t>
      </w:r>
      <w:r>
        <w:t>.</w:t>
      </w:r>
    </w:p>
  </w:footnote>
  <w:footnote w:id="12">
    <w:p w:rsidR="004E2B03" w:rsidRPr="00F12E0B" w:rsidRDefault="004E2B03" w:rsidP="004E2B03">
      <w:pPr>
        <w:pStyle w:val="FootnoteText"/>
      </w:pPr>
      <w:r>
        <w:rPr>
          <w:rStyle w:val="FootnoteReference"/>
        </w:rPr>
        <w:footnoteRef/>
      </w:r>
      <w:r>
        <w:t xml:space="preserve"> C. Balinisteanu, ‘Subversion of Authority in “Alice’s Adventures in Wonderland”’, </w:t>
      </w:r>
      <w:r>
        <w:rPr>
          <w:i/>
        </w:rPr>
        <w:t xml:space="preserve">ProQuest, </w:t>
      </w:r>
      <w:r>
        <w:t>5(2) (2013) 69-79 (p. 61).</w:t>
      </w:r>
    </w:p>
  </w:footnote>
  <w:footnote w:id="13">
    <w:p w:rsidR="00477D91" w:rsidRPr="00477D91" w:rsidRDefault="00477D91">
      <w:pPr>
        <w:pStyle w:val="FootnoteText"/>
      </w:pPr>
      <w:r>
        <w:rPr>
          <w:rStyle w:val="FootnoteReference"/>
        </w:rPr>
        <w:footnoteRef/>
      </w:r>
      <w:r>
        <w:t xml:space="preserve"> A. Fleishman, ‘Mansfield Park in Its Time’, </w:t>
      </w:r>
      <w:r>
        <w:rPr>
          <w:i/>
        </w:rPr>
        <w:t xml:space="preserve">Nineteenth-Century Fiction, </w:t>
      </w:r>
      <w:r>
        <w:t>22(1)</w:t>
      </w:r>
      <w:r w:rsidR="00C64D53">
        <w:t xml:space="preserve"> </w:t>
      </w:r>
      <w:r w:rsidR="00FE09B1">
        <w:t xml:space="preserve">(1967) </w:t>
      </w:r>
      <w:r w:rsidR="00C64D53">
        <w:t>1-18 (p. 13).</w:t>
      </w:r>
    </w:p>
  </w:footnote>
  <w:footnote w:id="14">
    <w:p w:rsidR="009E3BA0" w:rsidRPr="009E3BA0" w:rsidRDefault="009E3BA0">
      <w:pPr>
        <w:pStyle w:val="FootnoteText"/>
      </w:pPr>
      <w:r>
        <w:rPr>
          <w:rStyle w:val="FootnoteReference"/>
        </w:rPr>
        <w:footnoteRef/>
      </w:r>
      <w:r>
        <w:t xml:space="preserve"> J. A. Downie, ‘Rehabilitating Sir Thomas Bertram’, </w:t>
      </w:r>
      <w:r>
        <w:rPr>
          <w:i/>
        </w:rPr>
        <w:t xml:space="preserve">Studies in English Literature 1500-1900, </w:t>
      </w:r>
      <w:r>
        <w:t>50(4) (Autumn 2010) 739-758 (p. 752).</w:t>
      </w:r>
    </w:p>
  </w:footnote>
  <w:footnote w:id="15">
    <w:p w:rsidR="00A51A6F" w:rsidRPr="00A51A6F" w:rsidRDefault="00A51A6F">
      <w:pPr>
        <w:pStyle w:val="FootnoteText"/>
      </w:pPr>
      <w:r>
        <w:rPr>
          <w:rStyle w:val="FootnoteReference"/>
        </w:rPr>
        <w:footnoteRef/>
      </w:r>
      <w:r>
        <w:t xml:space="preserve"> J. Oldham, ‘New Light on Mansfield and Slavery’, </w:t>
      </w:r>
      <w:r>
        <w:rPr>
          <w:i/>
        </w:rPr>
        <w:t xml:space="preserve">Journal of British Studies, </w:t>
      </w:r>
      <w:r>
        <w:t>27(1) (Jan 1988) 45-68 (p. 45).</w:t>
      </w:r>
    </w:p>
  </w:footnote>
  <w:footnote w:id="16">
    <w:p w:rsidR="00A1078D" w:rsidRPr="00721E56" w:rsidRDefault="00A1078D">
      <w:pPr>
        <w:pStyle w:val="FootnoteText"/>
      </w:pPr>
      <w:r>
        <w:rPr>
          <w:rStyle w:val="FootnoteReference"/>
        </w:rPr>
        <w:footnoteRef/>
      </w:r>
      <w:r>
        <w:t xml:space="preserve"> J. Wiltshire, </w:t>
      </w:r>
      <w:r>
        <w:rPr>
          <w:i/>
        </w:rPr>
        <w:t>Exploring Mansfield Park: In the Footsteps of Fanny Price</w:t>
      </w:r>
      <w:r w:rsidR="00721E56">
        <w:rPr>
          <w:i/>
        </w:rPr>
        <w:t xml:space="preserve">, </w:t>
      </w:r>
      <w:r w:rsidR="00721E56">
        <w:t>2000 &lt;</w:t>
      </w:r>
      <w:r w:rsidR="00721E56" w:rsidRPr="00721E56">
        <w:t xml:space="preserve"> </w:t>
      </w:r>
      <w:hyperlink r:id="rId1" w:history="1">
        <w:r w:rsidR="00721E56" w:rsidRPr="007A06D8">
          <w:rPr>
            <w:rStyle w:val="Hyperlink"/>
          </w:rPr>
          <w:t>http://www.jasna.org/persuasions/printed/number28/wiltshire.pdf</w:t>
        </w:r>
      </w:hyperlink>
      <w:r w:rsidR="00721E56">
        <w:t>&gt; [Accessed 31</w:t>
      </w:r>
      <w:r w:rsidR="00721E56" w:rsidRPr="00721E56">
        <w:rPr>
          <w:vertAlign w:val="superscript"/>
        </w:rPr>
        <w:t>st</w:t>
      </w:r>
      <w:r w:rsidR="00721E56">
        <w:t xml:space="preserve"> January 2019]</w:t>
      </w:r>
    </w:p>
  </w:footnote>
  <w:footnote w:id="17">
    <w:p w:rsidR="00B73643" w:rsidRPr="00B73643" w:rsidRDefault="00B73643">
      <w:pPr>
        <w:pStyle w:val="FootnoteText"/>
      </w:pPr>
      <w:r>
        <w:rPr>
          <w:rStyle w:val="FootnoteReference"/>
        </w:rPr>
        <w:footnoteRef/>
      </w:r>
      <w:r>
        <w:t xml:space="preserve"> G. R. Parsons and A. B. Hauber, ‘Spatial Boundaries and Choice Set Definition in a Random Utility Model of Recreation Demand’, </w:t>
      </w:r>
      <w:r>
        <w:rPr>
          <w:i/>
        </w:rPr>
        <w:t xml:space="preserve">Land Economics, </w:t>
      </w:r>
      <w:r>
        <w:t>74(1) (Feb 1998) 32-48 (p. 33).</w:t>
      </w:r>
    </w:p>
  </w:footnote>
  <w:footnote w:id="18">
    <w:p w:rsidR="00C86250" w:rsidRPr="000044FE" w:rsidRDefault="00C86250">
      <w:pPr>
        <w:pStyle w:val="FootnoteText"/>
      </w:pPr>
      <w:r>
        <w:rPr>
          <w:rStyle w:val="FootnoteReference"/>
        </w:rPr>
        <w:footnoteRef/>
      </w:r>
      <w:r>
        <w:t xml:space="preserve"> M. Edmundson, ‘A Space for Fanny: The Significance of Her Rooms in </w:t>
      </w:r>
      <w:r w:rsidRPr="00C86250">
        <w:rPr>
          <w:i/>
        </w:rPr>
        <w:t>Mansfield Park</w:t>
      </w:r>
      <w:r>
        <w:t xml:space="preserve">’, </w:t>
      </w:r>
      <w:r>
        <w:rPr>
          <w:i/>
        </w:rPr>
        <w:t>Jane Austen Society of North America</w:t>
      </w:r>
      <w:r w:rsidR="000044FE">
        <w:rPr>
          <w:i/>
        </w:rPr>
        <w:t xml:space="preserve">, </w:t>
      </w:r>
      <w:r w:rsidR="000044FE">
        <w:t>23(1) (Winter 2002).</w:t>
      </w:r>
    </w:p>
  </w:footnote>
  <w:footnote w:id="19">
    <w:p w:rsidR="00306B56" w:rsidRPr="007F18DB" w:rsidRDefault="00306B56" w:rsidP="00306B56">
      <w:pPr>
        <w:pStyle w:val="FootnoteText"/>
      </w:pPr>
      <w:r>
        <w:rPr>
          <w:rStyle w:val="FootnoteReference"/>
        </w:rPr>
        <w:footnoteRef/>
      </w:r>
      <w:r>
        <w:t xml:space="preserve"> K. Boehm, </w:t>
      </w:r>
      <w:r>
        <w:rPr>
          <w:i/>
        </w:rPr>
        <w:t xml:space="preserve">Bodies and Things in Nineteenth-Century Literature and Culture </w:t>
      </w:r>
      <w:r>
        <w:t>1</w:t>
      </w:r>
      <w:r w:rsidRPr="007F18DB">
        <w:rPr>
          <w:vertAlign w:val="superscript"/>
        </w:rPr>
        <w:t>st</w:t>
      </w:r>
      <w:r>
        <w:t xml:space="preserve"> edition (London: Palgrave Macmillan, 2012) p. 46.</w:t>
      </w:r>
    </w:p>
  </w:footnote>
  <w:footnote w:id="20">
    <w:p w:rsidR="00277344" w:rsidRPr="00277344" w:rsidRDefault="00277344">
      <w:pPr>
        <w:pStyle w:val="FootnoteText"/>
      </w:pPr>
      <w:r>
        <w:rPr>
          <w:rStyle w:val="FootnoteReference"/>
        </w:rPr>
        <w:footnoteRef/>
      </w:r>
      <w:r>
        <w:t xml:space="preserve"> D. McMillan, ‘Iron Gates and Ha-has: visible and invisible barriers in Jane Austen’s Mansfield Park’, </w:t>
      </w:r>
      <w:r>
        <w:rPr>
          <w:i/>
        </w:rPr>
        <w:t xml:space="preserve">University of Glasgow, </w:t>
      </w:r>
      <w:r>
        <w:t>10 (2010) 3-18 (p. 6).</w:t>
      </w:r>
    </w:p>
  </w:footnote>
  <w:footnote w:id="21">
    <w:p w:rsidR="009A67EE" w:rsidRDefault="009A67EE">
      <w:pPr>
        <w:pStyle w:val="FootnoteText"/>
      </w:pPr>
      <w:r>
        <w:rPr>
          <w:rStyle w:val="FootnoteReference"/>
        </w:rPr>
        <w:footnoteRef/>
      </w:r>
      <w:r>
        <w:t xml:space="preserve"> </w:t>
      </w:r>
      <w:r w:rsidR="008C78D0">
        <w:t xml:space="preserve">J. Austen, </w:t>
      </w:r>
      <w:r w:rsidR="008C78D0">
        <w:rPr>
          <w:i/>
        </w:rPr>
        <w:t xml:space="preserve">Mansfield Park </w:t>
      </w:r>
      <w:r w:rsidR="008C78D0">
        <w:t>1</w:t>
      </w:r>
      <w:r w:rsidR="008C78D0" w:rsidRPr="00E004C3">
        <w:rPr>
          <w:vertAlign w:val="superscript"/>
        </w:rPr>
        <w:t>st</w:t>
      </w:r>
      <w:r w:rsidR="008C78D0">
        <w:t xml:space="preserve"> edition (Hertfordshire: Wordsworth Editions Ltd, 1992) p. 73.</w:t>
      </w:r>
    </w:p>
  </w:footnote>
  <w:footnote w:id="22">
    <w:p w:rsidR="008C78D0" w:rsidRDefault="008C78D0">
      <w:pPr>
        <w:pStyle w:val="FootnoteText"/>
      </w:pPr>
      <w:r>
        <w:rPr>
          <w:rStyle w:val="FootnoteReference"/>
        </w:rPr>
        <w:footnoteRef/>
      </w:r>
      <w:r>
        <w:t xml:space="preserve"> J. Austen, </w:t>
      </w:r>
      <w:r>
        <w:rPr>
          <w:i/>
        </w:rPr>
        <w:t xml:space="preserve">Mansfield Park </w:t>
      </w:r>
      <w:r>
        <w:t>1</w:t>
      </w:r>
      <w:r w:rsidRPr="00E004C3">
        <w:rPr>
          <w:vertAlign w:val="superscript"/>
        </w:rPr>
        <w:t>st</w:t>
      </w:r>
      <w:r>
        <w:t xml:space="preserve"> edition (Hertfordshire: Wordsworth Editions Ltd, 1992) p. 11.</w:t>
      </w:r>
    </w:p>
  </w:footnote>
  <w:footnote w:id="23">
    <w:p w:rsidR="00457E3C" w:rsidRDefault="00457E3C">
      <w:pPr>
        <w:pStyle w:val="FootnoteText"/>
      </w:pPr>
      <w:r>
        <w:rPr>
          <w:rStyle w:val="FootnoteReference"/>
        </w:rPr>
        <w:footnoteRef/>
      </w:r>
      <w:r>
        <w:t xml:space="preserve"> J. Austen, </w:t>
      </w:r>
      <w:r>
        <w:rPr>
          <w:i/>
        </w:rPr>
        <w:t xml:space="preserve">Mansfield Park </w:t>
      </w:r>
      <w:r>
        <w:t>1</w:t>
      </w:r>
      <w:r w:rsidRPr="00E004C3">
        <w:rPr>
          <w:vertAlign w:val="superscript"/>
        </w:rPr>
        <w:t>st</w:t>
      </w:r>
      <w:r>
        <w:t xml:space="preserve"> edition (Hertfordshire: Wordsworth Editions Ltd, 1992) p. 209.</w:t>
      </w:r>
    </w:p>
  </w:footnote>
  <w:footnote w:id="24">
    <w:p w:rsidR="001C7159" w:rsidRPr="001C7159" w:rsidRDefault="001C7159">
      <w:pPr>
        <w:pStyle w:val="FootnoteText"/>
      </w:pPr>
      <w:r>
        <w:rPr>
          <w:rStyle w:val="FootnoteReference"/>
        </w:rPr>
        <w:footnoteRef/>
      </w:r>
      <w:r>
        <w:t xml:space="preserve"> K. A. Guin, </w:t>
      </w:r>
      <w:r w:rsidRPr="001C7159">
        <w:rPr>
          <w:i/>
        </w:rPr>
        <w:t>An Aristotelian Approach to Jane Austen’s Mansfield Park</w:t>
      </w:r>
      <w:r>
        <w:rPr>
          <w:i/>
        </w:rPr>
        <w:t xml:space="preserve">. </w:t>
      </w:r>
      <w:r>
        <w:t>(Unpublished PhD thesis, Florida State University</w:t>
      </w:r>
      <w:r w:rsidR="00457E3C">
        <w:t>, 2015)</w:t>
      </w:r>
      <w:r w:rsidR="00093AB6">
        <w:t>.</w:t>
      </w:r>
    </w:p>
  </w:footnote>
  <w:footnote w:id="25">
    <w:p w:rsidR="00DC3CE3" w:rsidRDefault="00DC3CE3">
      <w:pPr>
        <w:pStyle w:val="FootnoteText"/>
      </w:pPr>
      <w:r>
        <w:rPr>
          <w:rStyle w:val="FootnoteReference"/>
        </w:rPr>
        <w:footnoteRef/>
      </w:r>
      <w:r>
        <w:t xml:space="preserve"> J. Austen, </w:t>
      </w:r>
      <w:r>
        <w:rPr>
          <w:i/>
        </w:rPr>
        <w:t xml:space="preserve">Mansfield Park </w:t>
      </w:r>
      <w:r>
        <w:t>1</w:t>
      </w:r>
      <w:r w:rsidRPr="00E004C3">
        <w:rPr>
          <w:vertAlign w:val="superscript"/>
        </w:rPr>
        <w:t>st</w:t>
      </w:r>
      <w:r>
        <w:t xml:space="preserve"> edition (Hertfordshire: Wordsworth Editions Ltd, 1992) p. 331.</w:t>
      </w:r>
    </w:p>
  </w:footnote>
  <w:footnote w:id="26">
    <w:p w:rsidR="00A71ADD" w:rsidRPr="00A71ADD" w:rsidRDefault="00A71ADD">
      <w:pPr>
        <w:pStyle w:val="FootnoteText"/>
      </w:pPr>
      <w:r>
        <w:rPr>
          <w:rStyle w:val="FootnoteReference"/>
        </w:rPr>
        <w:footnoteRef/>
      </w:r>
      <w:r>
        <w:t xml:space="preserve"> D. Murray, ‘Spectatorship in Mansfield Park: Looking and Overlooking’, </w:t>
      </w:r>
      <w:r>
        <w:rPr>
          <w:i/>
        </w:rPr>
        <w:t xml:space="preserve">Nineteenth-Century Literature, </w:t>
      </w:r>
      <w:r>
        <w:t>52(1) (June 1997) 1-26 (p. 12)</w:t>
      </w:r>
    </w:p>
  </w:footnote>
  <w:footnote w:id="27">
    <w:p w:rsidR="00EE3A57" w:rsidRPr="00EE3A57" w:rsidRDefault="00EE3A57">
      <w:pPr>
        <w:pStyle w:val="FootnoteText"/>
      </w:pPr>
      <w:r>
        <w:rPr>
          <w:rStyle w:val="FootnoteReference"/>
        </w:rPr>
        <w:footnoteRef/>
      </w:r>
      <w:r>
        <w:t xml:space="preserve"> R. Duschinsky, ‘The politics of purity: When, actually, is dirt matter out of place?’, </w:t>
      </w:r>
      <w:r>
        <w:rPr>
          <w:i/>
        </w:rPr>
        <w:t xml:space="preserve">Northumbria University, UK, </w:t>
      </w:r>
      <w:r>
        <w:t>119(1) (2013) 63-77 (p. 63).</w:t>
      </w:r>
    </w:p>
  </w:footnote>
  <w:footnote w:id="28">
    <w:p w:rsidR="005D2FBE" w:rsidRPr="00101B39" w:rsidRDefault="005D2FBE">
      <w:pPr>
        <w:pStyle w:val="FootnoteText"/>
      </w:pPr>
      <w:r>
        <w:rPr>
          <w:rStyle w:val="FootnoteReference"/>
        </w:rPr>
        <w:footnoteRef/>
      </w:r>
      <w:r>
        <w:t xml:space="preserve"> K. Pendlebury, ‘Mental Recreation in Wonderland’</w:t>
      </w:r>
      <w:r w:rsidR="00101B39">
        <w:t xml:space="preserve">, </w:t>
      </w:r>
      <w:r w:rsidR="00101B39">
        <w:rPr>
          <w:i/>
        </w:rPr>
        <w:t xml:space="preserve">American Journal of Play, </w:t>
      </w:r>
      <w:r w:rsidR="00101B39">
        <w:t>9(1) (Fall 2016) 41-55 (p. 53).</w:t>
      </w:r>
    </w:p>
  </w:footnote>
  <w:footnote w:id="29">
    <w:p w:rsidR="006D20CA" w:rsidRPr="006D20CA" w:rsidRDefault="006D20CA">
      <w:pPr>
        <w:pStyle w:val="FootnoteText"/>
      </w:pPr>
      <w:r>
        <w:rPr>
          <w:rStyle w:val="FootnoteReference"/>
        </w:rPr>
        <w:footnoteRef/>
      </w:r>
      <w:r>
        <w:t xml:space="preserve"> J. Reno, ‘Toward a New Theory of Waste: From ‘Matter out of Place’ to Signs of Life’, </w:t>
      </w:r>
      <w:r>
        <w:rPr>
          <w:i/>
        </w:rPr>
        <w:t xml:space="preserve">Theory Culture &amp; Society, </w:t>
      </w:r>
      <w:r>
        <w:t>31(6) (November 2014) 3-27 (p. 4).</w:t>
      </w:r>
    </w:p>
  </w:footnote>
  <w:footnote w:id="30">
    <w:p w:rsidR="00CD7DA3" w:rsidRPr="00CD7DA3" w:rsidRDefault="00CD7DA3">
      <w:pPr>
        <w:pStyle w:val="FootnoteText"/>
      </w:pPr>
      <w:r>
        <w:rPr>
          <w:rStyle w:val="FootnoteReference"/>
        </w:rPr>
        <w:footnoteRef/>
      </w:r>
      <w:r>
        <w:t xml:space="preserve"> J. White, ‘Adult Realm v. Childhood: A Critical Examination of the Victorian Realm’s Ideal Young Adult’, </w:t>
      </w:r>
      <w:r>
        <w:rPr>
          <w:i/>
        </w:rPr>
        <w:t xml:space="preserve">The Review: A Journal of Undergraduate Student Research, </w:t>
      </w:r>
      <w:r>
        <w:t>14(8) (2013) 38-48 (p. 38).</w:t>
      </w:r>
    </w:p>
  </w:footnote>
  <w:footnote w:id="31">
    <w:p w:rsidR="00B67D0B" w:rsidRPr="00093AB6" w:rsidRDefault="00B67D0B">
      <w:pPr>
        <w:pStyle w:val="FootnoteText"/>
      </w:pPr>
      <w:r>
        <w:rPr>
          <w:rStyle w:val="FootnoteReference"/>
        </w:rPr>
        <w:footnoteRef/>
      </w:r>
      <w:r>
        <w:t xml:space="preserve"> </w:t>
      </w:r>
      <w:r w:rsidR="00093AB6">
        <w:t xml:space="preserve">M. T. Sasser, </w:t>
      </w:r>
      <w:r w:rsidR="00093AB6" w:rsidRPr="00093AB6">
        <w:rPr>
          <w:i/>
        </w:rPr>
        <w:t>Advent of Denial of Death in Children’s Literature</w:t>
      </w:r>
      <w:r w:rsidR="00093AB6">
        <w:rPr>
          <w:i/>
        </w:rPr>
        <w:t xml:space="preserve">. </w:t>
      </w:r>
      <w:r w:rsidR="00093AB6">
        <w:t>(Unpublished dissertation, Georgia Southern University, 2008).</w:t>
      </w:r>
    </w:p>
  </w:footnote>
  <w:footnote w:id="32">
    <w:p w:rsidR="007F42AE" w:rsidRPr="007F42AE" w:rsidRDefault="007F42AE">
      <w:pPr>
        <w:pStyle w:val="FootnoteText"/>
      </w:pPr>
      <w:r>
        <w:rPr>
          <w:rStyle w:val="FootnoteReference"/>
        </w:rPr>
        <w:footnoteRef/>
      </w:r>
      <w:r>
        <w:t xml:space="preserve"> A. Kjeldgaard, </w:t>
      </w:r>
      <w:r>
        <w:rPr>
          <w:i/>
        </w:rPr>
        <w:t xml:space="preserve">Exploring Narrative Time, Circular Temporalities and Growth in Alice’s Adventures in Wonderland and Peter Pan. </w:t>
      </w:r>
      <w:r>
        <w:t>(Unpublished ECLS Student Scholarship submission, Occidental College, 2009).</w:t>
      </w:r>
    </w:p>
  </w:footnote>
  <w:footnote w:id="33">
    <w:p w:rsidR="00CA398F" w:rsidRPr="00CA398F" w:rsidRDefault="00CA398F">
      <w:pPr>
        <w:pStyle w:val="FootnoteText"/>
      </w:pPr>
      <w:r>
        <w:rPr>
          <w:rStyle w:val="FootnoteReference"/>
        </w:rPr>
        <w:footnoteRef/>
      </w:r>
      <w:r>
        <w:t xml:space="preserve"> Lewis Carroll, </w:t>
      </w:r>
      <w:r>
        <w:rPr>
          <w:i/>
        </w:rPr>
        <w:t xml:space="preserve">Alice’s Adventures in Wonderland </w:t>
      </w:r>
      <w:r>
        <w:t>(London: P</w:t>
      </w:r>
      <w:r w:rsidR="003D2A66">
        <w:t>enguin Popular Classics, 1994) p. 43.</w:t>
      </w:r>
    </w:p>
  </w:footnote>
  <w:footnote w:id="34">
    <w:p w:rsidR="003D2A66" w:rsidRPr="003D2A66" w:rsidRDefault="003D2A66">
      <w:pPr>
        <w:pStyle w:val="FootnoteText"/>
      </w:pPr>
      <w:r>
        <w:rPr>
          <w:rStyle w:val="FootnoteReference"/>
        </w:rPr>
        <w:footnoteRef/>
      </w:r>
      <w:r>
        <w:t xml:space="preserve"> U. Segren, </w:t>
      </w:r>
      <w:r>
        <w:rPr>
          <w:i/>
        </w:rPr>
        <w:t xml:space="preserve">Childhood in Wonderland: Child Development in Lewis Carroll’s Books Alice’s Adventures in Wonderland and Through the Looking-Glass. </w:t>
      </w:r>
      <w:r>
        <w:t>(Unpublished dissertation, Lund University, 2015).</w:t>
      </w:r>
    </w:p>
  </w:footnote>
  <w:footnote w:id="35">
    <w:p w:rsidR="000D14E0" w:rsidRPr="000D14E0" w:rsidRDefault="000D14E0">
      <w:pPr>
        <w:pStyle w:val="FootnoteText"/>
      </w:pPr>
      <w:r>
        <w:rPr>
          <w:rStyle w:val="FootnoteReference"/>
        </w:rPr>
        <w:footnoteRef/>
      </w:r>
      <w:r>
        <w:t xml:space="preserve"> J. E. Fromer, </w:t>
      </w:r>
      <w:r>
        <w:rPr>
          <w:i/>
        </w:rPr>
        <w:t>A Necessary Luxury: Tea in Victorian England</w:t>
      </w:r>
      <w:r>
        <w:t xml:space="preserve"> 1</w:t>
      </w:r>
      <w:r w:rsidRPr="000D14E0">
        <w:rPr>
          <w:vertAlign w:val="superscript"/>
        </w:rPr>
        <w:t>st</w:t>
      </w:r>
      <w:r>
        <w:t xml:space="preserve"> edition (Ohio: Ohio University Press, 2008) p. 170.</w:t>
      </w:r>
    </w:p>
  </w:footnote>
  <w:footnote w:id="36">
    <w:p w:rsidR="00A959B6" w:rsidRDefault="00A959B6">
      <w:pPr>
        <w:pStyle w:val="FootnoteText"/>
      </w:pPr>
      <w:r>
        <w:rPr>
          <w:rStyle w:val="FootnoteReference"/>
        </w:rPr>
        <w:footnoteRef/>
      </w:r>
      <w:r>
        <w:t xml:space="preserve"> Lewis Carroll, </w:t>
      </w:r>
      <w:r>
        <w:rPr>
          <w:i/>
        </w:rPr>
        <w:t xml:space="preserve">Alice’s Adventures in Wonderland </w:t>
      </w:r>
      <w:r>
        <w:t>(London: Penguin Popular Classics, 1994) p. 29.</w:t>
      </w:r>
    </w:p>
  </w:footnote>
  <w:footnote w:id="37">
    <w:p w:rsidR="00C120D8" w:rsidRPr="00C120D8" w:rsidRDefault="00C120D8">
      <w:pPr>
        <w:pStyle w:val="FootnoteText"/>
      </w:pPr>
      <w:r>
        <w:rPr>
          <w:rStyle w:val="FootnoteReference"/>
        </w:rPr>
        <w:footnoteRef/>
      </w:r>
      <w:r>
        <w:t xml:space="preserve"> A. G. Rahman, ‘Violence in the poems in the </w:t>
      </w:r>
      <w:r>
        <w:rPr>
          <w:i/>
        </w:rPr>
        <w:t xml:space="preserve">Alice </w:t>
      </w:r>
      <w:r>
        <w:t xml:space="preserve">books and Lewis Carroll’s intended audience’, </w:t>
      </w:r>
      <w:r>
        <w:rPr>
          <w:i/>
        </w:rPr>
        <w:t xml:space="preserve">InSight: Rivier Academic Journal, </w:t>
      </w:r>
      <w:r>
        <w:t>10(1) (Spring 2014) 1-6 (p. 2).</w:t>
      </w:r>
    </w:p>
  </w:footnote>
  <w:footnote w:id="38">
    <w:p w:rsidR="00DC06BD" w:rsidRPr="00CA398F" w:rsidRDefault="00DC06BD" w:rsidP="00DC06BD">
      <w:pPr>
        <w:pStyle w:val="FootnoteText"/>
      </w:pPr>
      <w:r>
        <w:rPr>
          <w:rStyle w:val="FootnoteReference"/>
        </w:rPr>
        <w:footnoteRef/>
      </w:r>
      <w:r>
        <w:t xml:space="preserve"> Lewis Carroll, </w:t>
      </w:r>
      <w:r>
        <w:rPr>
          <w:i/>
        </w:rPr>
        <w:t xml:space="preserve">Alice’s Adventures in Wonderland </w:t>
      </w:r>
      <w:r>
        <w:t>(London: Penguin Popular Classics, 1994) p. 20.</w:t>
      </w:r>
    </w:p>
    <w:p w:rsidR="00DC06BD" w:rsidRDefault="00DC06BD">
      <w:pPr>
        <w:pStyle w:val="FootnoteText"/>
      </w:pPr>
    </w:p>
  </w:footnote>
  <w:footnote w:id="39">
    <w:p w:rsidR="00DC06BD" w:rsidRPr="00DC06BD" w:rsidRDefault="00DC06BD">
      <w:pPr>
        <w:pStyle w:val="FootnoteText"/>
      </w:pPr>
      <w:r>
        <w:rPr>
          <w:rStyle w:val="FootnoteReference"/>
        </w:rPr>
        <w:footnoteRef/>
      </w:r>
      <w:r>
        <w:t xml:space="preserve"> C. L. Puryear, </w:t>
      </w:r>
      <w:r>
        <w:rPr>
          <w:i/>
        </w:rPr>
        <w:t xml:space="preserve">The effects of the Norman Conquest on Anglo-Saxon Aristocracy. </w:t>
      </w:r>
      <w:r>
        <w:t>(Honors Theses, University of Richmond, 1976).</w:t>
      </w:r>
    </w:p>
  </w:footnote>
  <w:footnote w:id="40">
    <w:p w:rsidR="0001004F" w:rsidRPr="0001004F" w:rsidRDefault="0001004F">
      <w:pPr>
        <w:pStyle w:val="FootnoteText"/>
      </w:pPr>
      <w:r>
        <w:rPr>
          <w:rStyle w:val="FootnoteReference"/>
        </w:rPr>
        <w:footnoteRef/>
      </w:r>
      <w:r>
        <w:t xml:space="preserve"> M. Brown, ‘</w:t>
      </w:r>
      <w:r w:rsidRPr="0001004F">
        <w:t>Making Sense of Nonsense: An Examination of Lewis Carroll’s Alice’s Adventures in Wonderland and Norton Juster’s The Phantom Tollbooth as Allegories of Children’</w:t>
      </w:r>
      <w:r>
        <w:t xml:space="preserve">s Learning’, </w:t>
      </w:r>
      <w:r>
        <w:rPr>
          <w:i/>
        </w:rPr>
        <w:t xml:space="preserve">The Looking Glass: New Perspectives on Children’s Literature, </w:t>
      </w:r>
      <w:r>
        <w:t>9(1) (2005) 1-6 (p. 1).</w:t>
      </w:r>
    </w:p>
  </w:footnote>
  <w:footnote w:id="41">
    <w:p w:rsidR="000923E5" w:rsidRPr="000923E5" w:rsidRDefault="000923E5">
      <w:pPr>
        <w:pStyle w:val="FootnoteText"/>
      </w:pPr>
      <w:r>
        <w:rPr>
          <w:rStyle w:val="FootnoteReference"/>
        </w:rPr>
        <w:footnoteRef/>
      </w:r>
      <w:r>
        <w:t xml:space="preserve"> D. Schneider, “</w:t>
      </w:r>
      <w:r>
        <w:rPr>
          <w:i/>
        </w:rPr>
        <w:t xml:space="preserve">Ambition, Distraction, Uglification and Derision”: Carroll’s Use of Mathematics and Literature to Critique Victorian Britain. </w:t>
      </w:r>
      <w:r>
        <w:t>(Honours Project, Syracuse University, 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A50"/>
    <w:rsid w:val="000044FE"/>
    <w:rsid w:val="0001004F"/>
    <w:rsid w:val="00011D2E"/>
    <w:rsid w:val="000450DC"/>
    <w:rsid w:val="00054ADA"/>
    <w:rsid w:val="00060DF5"/>
    <w:rsid w:val="00072892"/>
    <w:rsid w:val="000760E5"/>
    <w:rsid w:val="000849A5"/>
    <w:rsid w:val="000923E5"/>
    <w:rsid w:val="00093AB6"/>
    <w:rsid w:val="00097226"/>
    <w:rsid w:val="000B772A"/>
    <w:rsid w:val="000C4B83"/>
    <w:rsid w:val="000D14E0"/>
    <w:rsid w:val="000D2ED2"/>
    <w:rsid w:val="00101B39"/>
    <w:rsid w:val="00106273"/>
    <w:rsid w:val="00124739"/>
    <w:rsid w:val="00127234"/>
    <w:rsid w:val="0014240C"/>
    <w:rsid w:val="00156296"/>
    <w:rsid w:val="00185F66"/>
    <w:rsid w:val="00196FCC"/>
    <w:rsid w:val="001B0F05"/>
    <w:rsid w:val="001C25E7"/>
    <w:rsid w:val="001C7159"/>
    <w:rsid w:val="001D31A5"/>
    <w:rsid w:val="0020790D"/>
    <w:rsid w:val="00217011"/>
    <w:rsid w:val="00277344"/>
    <w:rsid w:val="002A666B"/>
    <w:rsid w:val="002B4B48"/>
    <w:rsid w:val="002B60D0"/>
    <w:rsid w:val="00306B56"/>
    <w:rsid w:val="00334C3B"/>
    <w:rsid w:val="00337104"/>
    <w:rsid w:val="0039102A"/>
    <w:rsid w:val="00392E16"/>
    <w:rsid w:val="003932D1"/>
    <w:rsid w:val="003D2A66"/>
    <w:rsid w:val="003E68C5"/>
    <w:rsid w:val="00457E3C"/>
    <w:rsid w:val="00477D91"/>
    <w:rsid w:val="004E2B03"/>
    <w:rsid w:val="00525580"/>
    <w:rsid w:val="00530AB4"/>
    <w:rsid w:val="00536FCE"/>
    <w:rsid w:val="00586E9F"/>
    <w:rsid w:val="005968D5"/>
    <w:rsid w:val="005A6EE9"/>
    <w:rsid w:val="005D2455"/>
    <w:rsid w:val="005D2FBE"/>
    <w:rsid w:val="005D4EB7"/>
    <w:rsid w:val="005D51B9"/>
    <w:rsid w:val="005E0FD5"/>
    <w:rsid w:val="005F0627"/>
    <w:rsid w:val="0060279D"/>
    <w:rsid w:val="00606B25"/>
    <w:rsid w:val="00612AB2"/>
    <w:rsid w:val="00620462"/>
    <w:rsid w:val="0064747A"/>
    <w:rsid w:val="00667450"/>
    <w:rsid w:val="00670591"/>
    <w:rsid w:val="006A0F51"/>
    <w:rsid w:val="006C2291"/>
    <w:rsid w:val="006D20CA"/>
    <w:rsid w:val="006E25DE"/>
    <w:rsid w:val="006E6F5F"/>
    <w:rsid w:val="0070147F"/>
    <w:rsid w:val="00711A09"/>
    <w:rsid w:val="00712516"/>
    <w:rsid w:val="00721E56"/>
    <w:rsid w:val="007735DD"/>
    <w:rsid w:val="00787191"/>
    <w:rsid w:val="00787BA3"/>
    <w:rsid w:val="007F18DB"/>
    <w:rsid w:val="007F42AE"/>
    <w:rsid w:val="008108E1"/>
    <w:rsid w:val="008B7C9A"/>
    <w:rsid w:val="008C78D0"/>
    <w:rsid w:val="008D4DB4"/>
    <w:rsid w:val="008F5534"/>
    <w:rsid w:val="008F77FB"/>
    <w:rsid w:val="00941CD8"/>
    <w:rsid w:val="009479EB"/>
    <w:rsid w:val="009726DA"/>
    <w:rsid w:val="00981175"/>
    <w:rsid w:val="009A67EE"/>
    <w:rsid w:val="009C3898"/>
    <w:rsid w:val="009D6EC1"/>
    <w:rsid w:val="009E3BA0"/>
    <w:rsid w:val="009F1273"/>
    <w:rsid w:val="009F577D"/>
    <w:rsid w:val="00A1078D"/>
    <w:rsid w:val="00A22E8B"/>
    <w:rsid w:val="00A42C3E"/>
    <w:rsid w:val="00A51A6F"/>
    <w:rsid w:val="00A71ADD"/>
    <w:rsid w:val="00A95255"/>
    <w:rsid w:val="00A959B6"/>
    <w:rsid w:val="00B102A8"/>
    <w:rsid w:val="00B3098A"/>
    <w:rsid w:val="00B33DDC"/>
    <w:rsid w:val="00B354C1"/>
    <w:rsid w:val="00B5307A"/>
    <w:rsid w:val="00B67D0B"/>
    <w:rsid w:val="00B73643"/>
    <w:rsid w:val="00B83020"/>
    <w:rsid w:val="00B96815"/>
    <w:rsid w:val="00B971DA"/>
    <w:rsid w:val="00BA2FBA"/>
    <w:rsid w:val="00BC525F"/>
    <w:rsid w:val="00BD38DC"/>
    <w:rsid w:val="00BF3D54"/>
    <w:rsid w:val="00C120D8"/>
    <w:rsid w:val="00C12D17"/>
    <w:rsid w:val="00C4497C"/>
    <w:rsid w:val="00C478B9"/>
    <w:rsid w:val="00C60665"/>
    <w:rsid w:val="00C64D53"/>
    <w:rsid w:val="00C77E7C"/>
    <w:rsid w:val="00C86250"/>
    <w:rsid w:val="00CA398F"/>
    <w:rsid w:val="00CA5981"/>
    <w:rsid w:val="00CC0156"/>
    <w:rsid w:val="00CD7DA3"/>
    <w:rsid w:val="00CF5429"/>
    <w:rsid w:val="00D20679"/>
    <w:rsid w:val="00D450D2"/>
    <w:rsid w:val="00D64353"/>
    <w:rsid w:val="00D64476"/>
    <w:rsid w:val="00D73379"/>
    <w:rsid w:val="00DA4F20"/>
    <w:rsid w:val="00DA65E0"/>
    <w:rsid w:val="00DB39CD"/>
    <w:rsid w:val="00DC06BD"/>
    <w:rsid w:val="00DC0C00"/>
    <w:rsid w:val="00DC3CE3"/>
    <w:rsid w:val="00DF3B19"/>
    <w:rsid w:val="00DF413E"/>
    <w:rsid w:val="00DF6938"/>
    <w:rsid w:val="00E004C3"/>
    <w:rsid w:val="00E064CC"/>
    <w:rsid w:val="00E44BF5"/>
    <w:rsid w:val="00E84B86"/>
    <w:rsid w:val="00E84BF8"/>
    <w:rsid w:val="00EE3A57"/>
    <w:rsid w:val="00EE6A50"/>
    <w:rsid w:val="00F12E0B"/>
    <w:rsid w:val="00F3154D"/>
    <w:rsid w:val="00F37FDE"/>
    <w:rsid w:val="00F60C4A"/>
    <w:rsid w:val="00FE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A5FA0E-0409-6949-9E3A-913797FC8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65E0"/>
    <w:rPr>
      <w:sz w:val="20"/>
      <w:szCs w:val="20"/>
    </w:rPr>
  </w:style>
  <w:style w:type="character" w:customStyle="1" w:styleId="FootnoteTextChar">
    <w:name w:val="Footnote Text Char"/>
    <w:basedOn w:val="DefaultParagraphFont"/>
    <w:link w:val="FootnoteText"/>
    <w:uiPriority w:val="99"/>
    <w:semiHidden/>
    <w:rsid w:val="00DA65E0"/>
    <w:rPr>
      <w:sz w:val="20"/>
      <w:szCs w:val="20"/>
    </w:rPr>
  </w:style>
  <w:style w:type="character" w:styleId="FootnoteReference">
    <w:name w:val="footnote reference"/>
    <w:basedOn w:val="DefaultParagraphFont"/>
    <w:uiPriority w:val="99"/>
    <w:semiHidden/>
    <w:unhideWhenUsed/>
    <w:rsid w:val="00DA65E0"/>
    <w:rPr>
      <w:vertAlign w:val="superscript"/>
    </w:rPr>
  </w:style>
  <w:style w:type="character" w:styleId="Hyperlink">
    <w:name w:val="Hyperlink"/>
    <w:basedOn w:val="DefaultParagraphFont"/>
    <w:uiPriority w:val="99"/>
    <w:unhideWhenUsed/>
    <w:rsid w:val="00721E56"/>
    <w:rPr>
      <w:color w:val="0563C1" w:themeColor="hyperlink"/>
      <w:u w:val="single"/>
    </w:rPr>
  </w:style>
  <w:style w:type="character" w:styleId="UnresolvedMention">
    <w:name w:val="Unresolved Mention"/>
    <w:basedOn w:val="DefaultParagraphFont"/>
    <w:uiPriority w:val="99"/>
    <w:semiHidden/>
    <w:unhideWhenUsed/>
    <w:rsid w:val="00721E5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asna.org/persuasions/printed/number28/wiltshire.pdf"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www.jasna.org/persuasions/printed/number28/wiltshi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16</Pages>
  <Words>2952</Words>
  <Characters>16832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104</cp:revision>
  <dcterms:created xsi:type="dcterms:W3CDTF">2019-01-29T13:32:00Z</dcterms:created>
  <dcterms:modified xsi:type="dcterms:W3CDTF">2019-02-03T17:37:00Z</dcterms:modified>
</cp:coreProperties>
</file>