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both"/>
        <w:rPr>
          <w:u w:val="single"/>
        </w:rPr>
      </w:pPr>
      <w:r>
        <w:rPr>
          <w:b/>
          <w:bCs/>
          <w:u w:val="single"/>
          <w:lang w:val="en-GB"/>
        </w:rPr>
        <w:tab/>
        <w:t xml:space="preserve">Wales in Patagonia and Ukrainians in Canada: migration of culture and the </w:t>
      </w:r>
    </w:p>
    <w:p>
      <w:pPr>
        <w:pStyle w:val="Normal"/>
        <w:spacing w:lineRule="auto" w:line="360"/>
        <w:jc w:val="both"/>
        <w:rPr>
          <w:u w:val="single"/>
        </w:rPr>
      </w:pPr>
      <w:r>
        <w:rPr>
          <w:u w:val="none"/>
        </w:rPr>
        <w:tab/>
        <w:t xml:space="preserve">The </w:t>
      </w:r>
      <w:r>
        <w:rPr>
          <w:u w:val="none"/>
          <w:lang w:val="en-GB"/>
        </w:rPr>
        <w:t xml:space="preserve">identity and culture are both social attributes of an individual that exist in the group context and are subjected to the history, </w:t>
      </w:r>
      <w:r>
        <w:rPr>
          <w:u w:val="none"/>
          <w:lang w:val="en-GB"/>
        </w:rPr>
        <w:t xml:space="preserve">traditions and the territory where the people of identity and culture live. This work studies the features of the identity adaptation in the framework of immigrant ethnic groups. For the study are chosen Ukrainians in Canada and Wales in Patagonia. This </w:t>
      </w:r>
      <w:r>
        <w:rPr>
          <w:u w:val="none"/>
          <w:lang w:val="en-GB"/>
        </w:rPr>
        <w:t>essay aims to find the similarities and common trends in the two “</w:t>
      </w:r>
      <w:r>
        <w:rPr>
          <w:i/>
          <w:iCs/>
          <w:u w:val="none"/>
          <w:lang w:val="en-GB"/>
        </w:rPr>
        <w:t>migrated identities</w:t>
      </w:r>
      <w:r>
        <w:rPr>
          <w:u w:val="none"/>
          <w:lang w:val="en-GB"/>
        </w:rPr>
        <w:t>”</w:t>
      </w:r>
      <w:r>
        <w:rPr>
          <w:i/>
          <w:iCs/>
          <w:u w:val="none"/>
          <w:lang w:val="en-GB"/>
        </w:rPr>
        <w:t>.</w:t>
      </w:r>
    </w:p>
    <w:p>
      <w:pPr>
        <w:pStyle w:val="Normal"/>
        <w:spacing w:lineRule="auto" w:line="360"/>
        <w:jc w:val="both"/>
        <w:rPr>
          <w:i w:val="false"/>
          <w:i w:val="false"/>
          <w:iCs w:val="false"/>
        </w:rPr>
      </w:pPr>
      <w:r>
        <w:rPr>
          <w:i w:val="false"/>
          <w:iCs w:val="false"/>
          <w:u w:val="none"/>
          <w:lang w:val="en-GB"/>
        </w:rPr>
        <w:tab/>
        <w:t>A</w:t>
      </w:r>
      <w:r>
        <w:rPr>
          <w:i w:val="false"/>
          <w:iCs w:val="false"/>
          <w:u w:val="none"/>
          <w:lang w:val="en-GB"/>
        </w:rPr>
        <w:t>ndriy Nahachewsky writes about ethnicity as “</w:t>
      </w:r>
      <w:r>
        <w:rPr>
          <w:i/>
          <w:iCs/>
          <w:u w:val="none"/>
          <w:lang w:val="en-GB"/>
        </w:rPr>
        <w:t>a construvted part of reality and a learned aspect of identity</w:t>
      </w:r>
      <w:r>
        <w:rPr>
          <w:i w:val="false"/>
          <w:iCs w:val="false"/>
          <w:u w:val="none"/>
          <w:lang w:val="en-GB"/>
        </w:rPr>
        <w:t xml:space="preserve">” (2002; p. 175). </w:t>
      </w:r>
      <w:r>
        <w:rPr>
          <w:i w:val="false"/>
          <w:iCs w:val="false"/>
          <w:u w:val="none"/>
          <w:lang w:val="en-GB"/>
        </w:rPr>
        <w:t xml:space="preserve">How does identity change when a person migrates, leaving their people and </w:t>
      </w:r>
    </w:p>
    <w:p>
      <w:pPr>
        <w:pStyle w:val="Normal"/>
        <w:spacing w:lineRule="auto" w:line="360"/>
        <w:jc w:val="both"/>
        <w:rPr>
          <w:u w:val="single"/>
        </w:rPr>
      </w:pPr>
      <w:r>
        <w:rPr/>
        <w:tab/>
        <w:t>The Ukrainian ethnic group in Canada is one of the majour ethnic group, ranked 9</w:t>
      </w:r>
      <w:r>
        <w:rPr>
          <w:vertAlign w:val="superscript"/>
        </w:rPr>
        <w:t>th</w:t>
      </w:r>
      <w:r>
        <w:rPr/>
        <w:t xml:space="preserve"> and totalling to roughly 1.2 million people (Prymak, 2015; p. 233). </w:t>
      </w:r>
      <w:r>
        <w:rPr/>
        <w:t>As of 1951, ethnic composition of Canada consisted of 28 Ukrainians per thousand, the fourth ethnic majority (Prymak, 2015; p. 251).</w:t>
      </w:r>
    </w:p>
    <w:p>
      <w:pPr>
        <w:pStyle w:val="Normal"/>
        <w:spacing w:lineRule="auto" w:line="360"/>
        <w:jc w:val="both"/>
        <w:rPr>
          <w:u w:val="single"/>
        </w:rPr>
      </w:pPr>
      <w:r>
        <w:rPr/>
        <w:t>It was particularly interesting, that even though first Ukrainians had migrated around 1890s, back then they were not reffered to as Ukrainians: as the modern Ukrainian territory was divided between Habsburg monarchy and the Russian Empire – therefore they were called “</w:t>
      </w:r>
      <w:r>
        <w:rPr>
          <w:i/>
          <w:iCs/>
        </w:rPr>
        <w:t>Ruthenen</w:t>
      </w:r>
      <w:r>
        <w:rPr/>
        <w:t xml:space="preserve">” and then “Galicians”(Prymak, 2015; p. 234). </w:t>
      </w:r>
      <w:r>
        <w:rPr/>
        <w:t>In the other work, revolving around the life of Ivan Franko, Thomas M. Prymak had mentioned that even though immigrants have moved on the other half of the world, that did not stop them from keeping in touch with their homeland (</w:t>
      </w:r>
      <w:r>
        <w:rPr>
          <w:lang w:val="en-GB"/>
        </w:rPr>
        <w:t>1984; pp. 315-316</w:t>
      </w:r>
      <w:r>
        <w:rPr/>
        <w:t xml:space="preserve">). </w:t>
      </w:r>
      <w:r>
        <w:rPr>
          <w:lang w:val="en-GB"/>
        </w:rPr>
        <w:t xml:space="preserve">Ukrainians were aiming to escape the unbearable living conditions, poverty, </w:t>
      </w:r>
      <w:r>
        <w:rPr>
          <w:lang w:val="en-GB"/>
        </w:rPr>
        <w:t xml:space="preserve">famine. </w:t>
      </w:r>
    </w:p>
    <w:p>
      <w:pPr>
        <w:pStyle w:val="Normal"/>
        <w:spacing w:lineRule="auto" w:line="360"/>
        <w:jc w:val="both"/>
        <w:rPr>
          <w:u w:val="single"/>
        </w:rPr>
      </w:pPr>
      <w:r>
        <w:rPr>
          <w:lang w:val="en-GB"/>
        </w:rPr>
        <w:tab/>
        <w:t xml:space="preserve">The situation was not the same for the Welsh, as they pioneered to establish permanent settlement in Patagonia back in 1865 (Williams, 1971; p. 79). </w:t>
      </w:r>
      <w:r>
        <w:rPr>
          <w:lang w:val="en-GB"/>
        </w:rPr>
        <w:t>In fact, their contract had allowed them to have autonomy, exemption of military service and supply of different goods from the Spanish government of Argentina (Baur, 1954; p. 471)</w:t>
      </w:r>
      <w:r>
        <w:rPr>
          <w:lang w:val="en-GB"/>
        </w:rPr>
        <w:t xml:space="preserve">. </w:t>
      </w:r>
      <w:r>
        <w:rPr>
          <w:lang w:val="en-GB"/>
        </w:rPr>
        <w:t xml:space="preserve">Thanks to that adventurous spirit, there is a Wales in Patagonia, that still has people proud of their Welsh heritage lining in the small city called Trevelin (Malathronas, 2018). Particularly interesting aspekt of the Welsh settlement project was formulated well by </w:t>
      </w:r>
      <w:r>
        <w:rPr>
          <w:lang w:val="en-GB"/>
        </w:rPr>
        <w:t>Lucy Taylor: Welsh settlers were thus “</w:t>
      </w:r>
      <w:r>
        <w:rPr>
          <w:i/>
          <w:iCs/>
          <w:lang w:val="en-GB"/>
        </w:rPr>
        <w:t>both colonizer and colonized</w:t>
      </w:r>
      <w:r>
        <w:rPr>
          <w:i w:val="false"/>
          <w:iCs w:val="false"/>
          <w:lang w:val="en-GB"/>
        </w:rPr>
        <w:t>”. Stripped of sovereignity by the British Empire, they seeked to find their sacred homeland on the same principle of colonization (Taylor, 2018; p. 447).</w:t>
      </w:r>
    </w:p>
    <w:p>
      <w:pPr>
        <w:pStyle w:val="Normal"/>
        <w:spacing w:lineRule="auto" w:line="360"/>
        <w:jc w:val="both"/>
        <w:rPr>
          <w:u w:val="single"/>
        </w:rPr>
      </w:pPr>
      <w:r>
        <w:rPr>
          <w:lang w:val="en-GB"/>
        </w:rPr>
        <w:tab/>
        <w:t xml:space="preserve">After the Second World War there was the third wave of the Ukrainians into Canada, these were the post-war refugees seeking shelter from the atrocities that they had lived through in Europe, and Canada, that had already a considerable Ukrianian diaspora, became a destinstion for some around 35 thousand Ukrainians (Stebelsky, 1991; p. 123-124). </w:t>
      </w:r>
      <w:r>
        <w:rPr>
          <w:lang w:val="en-GB"/>
        </w:rPr>
        <w:t>There have also been limitations imposed on the admission to Canadian immigration, with which not all complied: such were political affiliations (those who fought on German side of the war were not allowed because USSR was the war ally and the veterans from Canadian military would have been ignored by such of a decision), health and gender (healthy young men were at advantage) (Luciuk, 1986; p. 476)</w:t>
      </w:r>
      <w:r>
        <w:rPr>
          <w:lang w:val="en-GB"/>
        </w:rPr>
        <w:t xml:space="preserve"> </w:t>
      </w:r>
      <w:r>
        <w:rPr>
          <w:lang w:val="en-GB"/>
        </w:rPr>
        <w:t xml:space="preserve">And for Welsh settlers, the main reason to aim for the Patagonia, was political interest supported by the Argentinian government (Williams, 1968; p. 122) </w:t>
      </w:r>
      <w:r>
        <w:rPr>
          <w:lang w:val="en-GB"/>
        </w:rPr>
        <w:t>which was supported in 1875 with the official title to their land (Williams, 1968; p. 130).</w:t>
      </w:r>
    </w:p>
    <w:p>
      <w:pPr>
        <w:pStyle w:val="Normal"/>
        <w:spacing w:lineRule="auto" w:line="360"/>
        <w:jc w:val="both"/>
        <w:rPr>
          <w:u w:val="single"/>
        </w:rPr>
      </w:pPr>
      <w:r>
        <w:rPr/>
        <w:tab/>
        <w:t>In 1960, so-called “Tovarystvo ‘Ukraina’” (</w:t>
      </w:r>
      <w:r>
        <w:rPr>
          <w:i/>
          <w:iCs/>
        </w:rPr>
        <w:t xml:space="preserve">ukr. </w:t>
      </w:r>
      <w:r>
        <w:rPr>
          <w:i w:val="false"/>
          <w:iCs w:val="false"/>
        </w:rPr>
        <w:t xml:space="preserve">The </w:t>
      </w:r>
      <w:r>
        <w:rPr>
          <w:i w:val="false"/>
          <w:iCs w:val="false"/>
          <w:u w:val="none"/>
        </w:rPr>
        <w:t>Ukraine Society</w:t>
      </w:r>
      <w:r>
        <w:rPr/>
        <w:t>) was established with the aim of helping friendly Ukrainian organisations and individuals in Canada and the West in their relations with Soviet Ukraine (Prymak, 2015; p. 253).</w:t>
      </w:r>
    </w:p>
    <w:p>
      <w:pPr>
        <w:pStyle w:val="Normal"/>
        <w:spacing w:lineRule="auto" w:line="360"/>
        <w:jc w:val="both"/>
        <w:rPr>
          <w:u w:val="single"/>
        </w:rPr>
      </w:pPr>
      <w:r>
        <w:rPr/>
        <w:tab/>
        <w:t xml:space="preserve">Frances Swyripa mentioned by the 1990s only around 10 per cent of the Ukrainian Canadians were actively engaged in the community life, and traditional churches were loosing members fast (Prymak, 2015; p. 256) </w:t>
      </w:r>
      <w:r>
        <w:rPr>
          <w:lang w:val="en-GB"/>
        </w:rPr>
        <w:t xml:space="preserve">In Nahachewsky’s concept of “new ethnicity” an answer exists: if the sacrifices to remain the part of the ethnic group are greater, then the people tend to drop the unnecessary characteristic by forgetting or not mentioning it whatsoever – as the only thread keeping them part of the </w:t>
      </w:r>
      <w:r>
        <w:rPr>
          <w:lang w:val="en-GB"/>
        </w:rPr>
        <w:t>ethnic group is the family history and perhaps a family name</w:t>
      </w:r>
      <w:r>
        <w:rPr>
          <w:lang w:val="en-GB"/>
        </w:rPr>
        <w:t xml:space="preserve"> (Nahachewsky, 2002; p. 177). </w:t>
      </w:r>
      <w:r>
        <w:rPr>
          <w:lang w:val="en-GB"/>
        </w:rPr>
        <w:t>In the Welsh settlements, the tendency to lose the language was causing the increase of Spanish as the first language among many, especially the younger people (Williams, 1971; p. 82). Moreover, the religious problem of language was just adding to the issue of the Welsh language, as it was quite hard to organise at least one chapel for every member standig up to the use of Welsh language – they all were scattered across the two settlements (Williams, 1971; p. 84).</w:t>
      </w:r>
    </w:p>
    <w:p>
      <w:pPr>
        <w:pStyle w:val="Normal"/>
        <w:spacing w:lineRule="auto" w:line="360"/>
        <w:jc w:val="both"/>
        <w:rPr>
          <w:u w:val="single"/>
        </w:rPr>
      </w:pPr>
      <w:r>
        <w:rPr>
          <w:lang w:val="en-GB"/>
        </w:rPr>
        <w:tab/>
        <w:t>O</w:t>
      </w:r>
      <w:r>
        <w:rPr>
          <w:lang w:val="en-GB"/>
        </w:rPr>
        <w:t xml:space="preserve">ne of the cultural activities of Ukrainian community is Ukrainian dance, especially in the Western parts of Canada: </w:t>
      </w:r>
      <w:r>
        <w:rPr>
          <w:lang w:val="en-GB"/>
        </w:rPr>
        <w:t xml:space="preserve">the motivation for this activity being the provision for ethnic identification and </w:t>
      </w:r>
      <w:r>
        <w:rPr>
          <w:i w:val="false"/>
          <w:iCs w:val="false"/>
          <w:lang w:val="en-GB"/>
        </w:rPr>
        <w:t>“</w:t>
      </w:r>
      <w:r>
        <w:rPr>
          <w:i/>
          <w:iCs/>
          <w:lang w:val="en-GB"/>
        </w:rPr>
        <w:t>Ukrainian-ness</w:t>
      </w:r>
      <w:r>
        <w:rPr>
          <w:i w:val="false"/>
          <w:iCs w:val="false"/>
          <w:lang w:val="en-GB"/>
        </w:rPr>
        <w:t>”</w:t>
      </w:r>
      <w:r>
        <w:rPr>
          <w:i/>
          <w:iCs/>
          <w:lang w:val="en-GB"/>
        </w:rPr>
        <w:t xml:space="preserve"> </w:t>
      </w:r>
      <w:r>
        <w:rPr>
          <w:lang w:val="en-GB"/>
        </w:rPr>
        <w:t xml:space="preserve">(Nahachewsky, 2002; p. 177). </w:t>
      </w:r>
      <w:r>
        <w:rPr>
          <w:lang w:val="en-GB"/>
        </w:rPr>
        <w:t xml:space="preserve">Dance was not the only form of ethnical activity that reflects the culture. In the study of Natalia Kononenko Ukrainian ballads from Canada are reviewed, collected in the regions of Manitoba, Saskatchewan and Alberta by R. Klymasz (2008; p. 17). </w:t>
      </w:r>
      <w:r>
        <w:rPr>
          <w:lang w:val="en-GB"/>
        </w:rPr>
        <w:t>These ballads show the process of adjustment to the life in Canada, and a little that of regret because of sad aftermarch of theier decision to leave their folk behind (Kononenko, 2008; p. 36).</w:t>
      </w:r>
    </w:p>
    <w:p>
      <w:pPr>
        <w:pStyle w:val="Normal"/>
        <w:spacing w:lineRule="auto" w:line="360"/>
        <w:jc w:val="both"/>
        <w:rPr>
          <w:lang w:val="en-GB"/>
        </w:rPr>
      </w:pPr>
      <w:r>
        <w:rPr>
          <w:lang w:val="en-GB"/>
        </w:rPr>
        <w:tab/>
        <w:t>An interesting phenomenon is echo of the Canadian Ukrainians that had found its expression in the song “</w:t>
      </w:r>
      <w:r>
        <w:rPr>
          <w:i/>
          <w:iCs/>
          <w:lang w:val="en-GB"/>
        </w:rPr>
        <w:t>Kanada</w:t>
      </w:r>
      <w:r>
        <w:rPr>
          <w:lang w:val="en-GB"/>
        </w:rPr>
        <w:t xml:space="preserve">” that refers to the mass migration of Ukrianians to Canada, </w:t>
      </w:r>
      <w:r>
        <w:rPr>
          <w:lang w:val="en-GB"/>
        </w:rPr>
        <w:t>the song developed and sung in the Transcarpathian regions of Ukraine</w:t>
      </w:r>
      <w:r>
        <w:rPr>
          <w:lang w:val="en-GB"/>
        </w:rPr>
        <w:t xml:space="preserve"> (Nahachewsky, 2002; pp. 182-183). In the light of division of the Ukrainian ethnic group into those who choose to stay and those who went to Canada, such pieces of the cultural expression were served as a pieces of connection between the two. </w:t>
      </w:r>
    </w:p>
    <w:p>
      <w:pPr>
        <w:pStyle w:val="Normal"/>
        <w:spacing w:lineRule="auto" w:line="360"/>
        <w:jc w:val="both"/>
        <w:rPr>
          <w:lang w:val="en-GB"/>
        </w:rPr>
      </w:pPr>
      <w:r>
        <w:rPr>
          <w:lang w:val="en-GB"/>
        </w:rPr>
        <w:tab/>
        <w:t xml:space="preserve">Interestingly, Ukrainians have also decided to commit to their cultural heritage and even though some of the Ukrainian poets were already educated in Canada and their first language was not Ukrainian, choose to use their ethnic language in their poetry. Not only that, but also there were some of Ukrainian newspapers piblished exclusively for Ukrainians in Ukrainian language (Kirkconnell, 1934; pp. 139-140). </w:t>
      </w:r>
      <w:r>
        <w:rPr>
          <w:lang w:val="en-GB"/>
        </w:rPr>
        <w:t xml:space="preserve">Watson Kirkconnell has concluded his review of Ukrainian poetry with the idea that in another fifty years the use of Ukrainian will have ceased (1934; p. 146). </w:t>
        <w:tab/>
        <w:t xml:space="preserve">As of today, almost ninety years have passed. </w:t>
      </w:r>
      <w:r>
        <w:rPr>
          <w:lang w:val="en-GB"/>
        </w:rPr>
        <w:t xml:space="preserve">There are still Ukrainian newspapers published in Canada, for example, “New Pathway”, the free Ukrainian newspaper for Ukrainian community in Alberta (web address: newpathway.ca). </w:t>
      </w:r>
      <w:r>
        <w:rPr>
          <w:lang w:val="en-GB"/>
        </w:rPr>
        <w:t>Although, on this very web site is found an article on the call to the Canadian Ukrainians to team up in order to preserve ethnical heritage (Bilinsky, 2023).</w:t>
      </w:r>
    </w:p>
    <w:p>
      <w:pPr>
        <w:pStyle w:val="Normal"/>
        <w:spacing w:lineRule="auto" w:line="360"/>
        <w:jc w:val="both"/>
        <w:rPr>
          <w:lang w:val="en-GB"/>
        </w:rPr>
      </w:pPr>
      <w:r>
        <w:rPr>
          <w:lang w:val="en-GB"/>
        </w:rPr>
        <w:tab/>
        <w:t xml:space="preserve">Welsh settlers, on the other hand, were </w:t>
      </w:r>
      <w:r>
        <w:rPr>
          <w:lang w:val="en-GB"/>
        </w:rPr>
        <w:t xml:space="preserve">actively engaged into trading and cooperating with Native Americans, being mesmerised how knowledgeable the people are of their territory and understanding the debt that they have to them (Williams, 1979; pp. 55-56), </w:t>
      </w:r>
      <w:r>
        <w:rPr>
          <w:lang w:val="en-GB"/>
        </w:rPr>
        <w:t xml:space="preserve">this </w:t>
      </w:r>
      <w:r>
        <w:rPr>
          <w:lang w:val="en-GB"/>
        </w:rPr>
        <w:t xml:space="preserve">tells the fact that Welsh were aware of their colonizer status and tried to somehow mitigate the damage (Taylor, 2018; pp. 465-466). </w:t>
      </w:r>
      <w:r>
        <w:rPr>
          <w:lang w:val="en-GB"/>
        </w:rPr>
        <w:t>They have maintained the culture and language, despite all the challenges, by keeping close ties with Wales, organized Welsh language holidays and accepted volunteers (volunteering projects available since 2011), and thus, maintained cultural and ethnic sovereignity (Rogers, n/d).</w:t>
      </w:r>
    </w:p>
    <w:p>
      <w:pPr>
        <w:pStyle w:val="Normal"/>
        <w:spacing w:lineRule="auto" w:line="360"/>
        <w:jc w:val="both"/>
        <w:rPr>
          <w:lang w:val="en-GB"/>
        </w:rPr>
      </w:pPr>
      <w:r>
        <w:rPr>
          <w:lang w:val="en-GB"/>
        </w:rPr>
        <w:tab/>
        <w:t xml:space="preserve">Nahachewsky expresses the point that ethnic identification can not be used alone to explain the cultural activities that had undergone significant transformations, </w:t>
      </w:r>
      <w:r>
        <w:rPr>
          <w:lang w:val="en-GB"/>
        </w:rPr>
        <w:t>therefore, suggesting the “</w:t>
      </w:r>
      <w:r>
        <w:rPr>
          <w:i/>
          <w:iCs/>
          <w:lang w:val="en-GB"/>
        </w:rPr>
        <w:t>new ethnicity</w:t>
      </w:r>
      <w:r>
        <w:rPr>
          <w:lang w:val="en-GB"/>
        </w:rPr>
        <w:t xml:space="preserve">” to be simulltaneously the initial and the new, that was accepted after the immigration (Nahachewsky, 2002; p. 187). </w:t>
      </w:r>
    </w:p>
    <w:p>
      <w:pPr>
        <w:pStyle w:val="Normal"/>
        <w:spacing w:lineRule="auto" w:line="360"/>
        <w:jc w:val="both"/>
        <w:rPr>
          <w:u w:val="single"/>
        </w:rPr>
      </w:pPr>
      <w:r>
        <w:rPr/>
      </w:r>
    </w:p>
    <w:p>
      <w:pPr>
        <w:pStyle w:val="Normal"/>
        <w:spacing w:lineRule="auto" w:line="360"/>
        <w:jc w:val="both"/>
        <w:rPr>
          <w:u w:val="single"/>
        </w:rPr>
      </w:pPr>
      <w:r>
        <w:rPr/>
        <w:t>References:</w:t>
      </w:r>
    </w:p>
    <w:p>
      <w:pPr>
        <w:pStyle w:val="Normal"/>
        <w:numPr>
          <w:ilvl w:val="0"/>
          <w:numId w:val="2"/>
        </w:numPr>
        <w:spacing w:lineRule="auto" w:line="360"/>
        <w:jc w:val="both"/>
        <w:rPr/>
      </w:pPr>
      <w:r>
        <w:rPr>
          <w:lang w:val="en-GB"/>
        </w:rPr>
        <w:t>B</w:t>
      </w:r>
      <w:r>
        <w:rPr>
          <w:lang w:val="en-GB"/>
        </w:rPr>
        <w:t xml:space="preserve">aur, J. E. (1954) “The Welsh in Patagonia: An example of Nationalistic Migration,” </w:t>
      </w:r>
      <w:r>
        <w:rPr>
          <w:i/>
          <w:iCs/>
          <w:lang w:val="en-GB"/>
        </w:rPr>
        <w:t xml:space="preserve">The Hispanic American Historical Review, </w:t>
      </w:r>
      <w:r>
        <w:rPr>
          <w:i w:val="false"/>
          <w:iCs w:val="false"/>
          <w:lang w:val="en-GB"/>
        </w:rPr>
        <w:t>34(4), pp. 468-492. Available at: https://www.jstor.org/stable/2509080</w:t>
      </w:r>
    </w:p>
    <w:p>
      <w:pPr>
        <w:pStyle w:val="Normal"/>
        <w:numPr>
          <w:ilvl w:val="0"/>
          <w:numId w:val="2"/>
        </w:numPr>
        <w:spacing w:lineRule="auto" w:line="360"/>
        <w:jc w:val="both"/>
        <w:rPr/>
      </w:pPr>
      <w:r>
        <w:rPr>
          <w:lang w:val="en-GB"/>
        </w:rPr>
        <w:t>B</w:t>
      </w:r>
      <w:r>
        <w:rPr>
          <w:lang w:val="en-GB"/>
        </w:rPr>
        <w:t xml:space="preserve">ilinsky, Y. (2023) “Save your granny’s language and culture. Canadians and Ukrainians team up to save Ukrainian heritage,” </w:t>
      </w:r>
      <w:r>
        <w:rPr>
          <w:i/>
          <w:iCs/>
          <w:lang w:val="en-GB"/>
        </w:rPr>
        <w:t xml:space="preserve">New Pathway, Ukrainian News, </w:t>
      </w:r>
      <w:r>
        <w:rPr>
          <w:i w:val="false"/>
          <w:iCs w:val="false"/>
          <w:lang w:val="en-GB"/>
        </w:rPr>
        <w:t>[online]. Available at: https://newpathway.ca/save-your-grannys-language-and-culture-canadians-and-ukrainians-team-up-to-save-ukrainian-heritage/</w:t>
      </w:r>
    </w:p>
    <w:p>
      <w:pPr>
        <w:pStyle w:val="Normal"/>
        <w:numPr>
          <w:ilvl w:val="0"/>
          <w:numId w:val="2"/>
        </w:numPr>
        <w:spacing w:lineRule="auto" w:line="360"/>
        <w:jc w:val="both"/>
        <w:rPr>
          <w:i w:val="false"/>
          <w:i w:val="false"/>
          <w:iCs w:val="false"/>
          <w:lang w:val="en-GB"/>
        </w:rPr>
      </w:pPr>
      <w:r>
        <w:rPr>
          <w:lang w:val="en-GB"/>
        </w:rPr>
        <w:t>K</w:t>
      </w:r>
      <w:r>
        <w:rPr>
          <w:lang w:val="en-GB"/>
        </w:rPr>
        <w:t xml:space="preserve">irkconnell, W. (1934) “Ukrainian Poetry in Canada,” </w:t>
      </w:r>
      <w:r>
        <w:rPr>
          <w:i/>
          <w:iCs/>
          <w:lang w:val="en-GB"/>
        </w:rPr>
        <w:t xml:space="preserve">The Slavinic and East European Review, </w:t>
      </w:r>
      <w:r>
        <w:rPr>
          <w:i w:val="false"/>
          <w:iCs w:val="false"/>
          <w:lang w:val="en-GB"/>
        </w:rPr>
        <w:t xml:space="preserve">13(37), pp. 139-146. Available at: </w:t>
      </w:r>
      <w:r>
        <w:rPr>
          <w:i w:val="false"/>
          <w:iCs w:val="false"/>
          <w:sz w:val="23"/>
          <w:lang w:val="en-GB"/>
        </w:rPr>
        <w:t xml:space="preserve">https://www.jstor.org/stable/4202964 </w:t>
      </w:r>
    </w:p>
    <w:p>
      <w:pPr>
        <w:pStyle w:val="Normal"/>
        <w:numPr>
          <w:ilvl w:val="0"/>
          <w:numId w:val="2"/>
        </w:numPr>
        <w:spacing w:lineRule="auto" w:line="360"/>
        <w:jc w:val="both"/>
        <w:rPr/>
      </w:pPr>
      <w:r>
        <w:rPr>
          <w:lang w:val="en-GB"/>
        </w:rPr>
        <w:t>K</w:t>
      </w:r>
      <w:r>
        <w:rPr>
          <w:lang w:val="en-GB"/>
        </w:rPr>
        <w:t xml:space="preserve">ononenko, N. (2008) “Ukrainian Ballads in Canada: Adjusting to New Life in a New Land,” </w:t>
      </w:r>
      <w:r>
        <w:rPr>
          <w:i/>
          <w:iCs/>
          <w:lang w:val="en-GB"/>
        </w:rPr>
        <w:t xml:space="preserve">Canadian Slavonic Papers / Revue Canadienne des Slavistes, </w:t>
      </w:r>
      <w:r>
        <w:rPr>
          <w:i w:val="false"/>
          <w:iCs w:val="false"/>
          <w:lang w:val="en-GB"/>
        </w:rPr>
        <w:t xml:space="preserve">50(1/2), pp. 17-36. DOI: </w:t>
      </w:r>
    </w:p>
    <w:p>
      <w:pPr>
        <w:pStyle w:val="Normal"/>
        <w:numPr>
          <w:ilvl w:val="0"/>
          <w:numId w:val="2"/>
        </w:numPr>
        <w:spacing w:lineRule="auto" w:line="360"/>
        <w:jc w:val="both"/>
        <w:rPr/>
      </w:pPr>
      <w:r>
        <w:rPr>
          <w:lang w:val="en-GB"/>
        </w:rPr>
        <w:t>L</w:t>
      </w:r>
      <w:r>
        <w:rPr>
          <w:lang w:val="en-GB"/>
        </w:rPr>
        <w:t xml:space="preserve">uciuk, L. Y. (1986) “Unintended Consequences in Refugee Resettlement: Post-War Ukrainian Refugee Immigration to Canada,” </w:t>
      </w:r>
      <w:r>
        <w:rPr>
          <w:i/>
          <w:iCs/>
          <w:lang w:val="en-GB"/>
        </w:rPr>
        <w:t xml:space="preserve">The International Migration Review [Special Issue] Refugees: Issues and Directions, </w:t>
      </w:r>
      <w:r>
        <w:rPr>
          <w:i w:val="false"/>
          <w:iCs w:val="false"/>
          <w:lang w:val="en-GB"/>
        </w:rPr>
        <w:t>20(2), pp. 467-482. DOI: 10.1177/019791838602000217</w:t>
      </w:r>
    </w:p>
    <w:p>
      <w:pPr>
        <w:pStyle w:val="Normal"/>
        <w:numPr>
          <w:ilvl w:val="0"/>
          <w:numId w:val="2"/>
        </w:numPr>
        <w:spacing w:lineRule="auto" w:line="360"/>
        <w:jc w:val="both"/>
        <w:rPr/>
      </w:pPr>
      <w:r>
        <w:rPr>
          <w:lang w:val="en-GB"/>
        </w:rPr>
        <w:t>M</w:t>
      </w:r>
      <w:r>
        <w:rPr>
          <w:lang w:val="en-GB"/>
        </w:rPr>
        <w:t xml:space="preserve">alathronas, J. (2018) “A Welsh colony in Patagonia? Yes. Welcome to the Welsh Wild West,” </w:t>
      </w:r>
      <w:r>
        <w:rPr>
          <w:i/>
          <w:iCs/>
          <w:lang w:val="en-GB"/>
        </w:rPr>
        <w:t xml:space="preserve">Adventure.com, </w:t>
      </w:r>
      <w:r>
        <w:rPr>
          <w:i w:val="false"/>
          <w:iCs w:val="false"/>
          <w:lang w:val="en-GB"/>
        </w:rPr>
        <w:t>[online]. Available at: https://adventure.com/welsh-patagonia-argentina/</w:t>
      </w:r>
    </w:p>
    <w:p>
      <w:pPr>
        <w:pStyle w:val="Normal"/>
        <w:numPr>
          <w:ilvl w:val="0"/>
          <w:numId w:val="2"/>
        </w:numPr>
        <w:spacing w:lineRule="auto" w:line="360"/>
        <w:jc w:val="both"/>
        <w:rPr/>
      </w:pPr>
      <w:r>
        <w:rPr>
          <w:lang w:val="en-GB"/>
        </w:rPr>
        <w:t xml:space="preserve">Nahachewsky, A. (2002) “New Ethnicity and Ukrainian Canadian Social Dances,” </w:t>
      </w:r>
      <w:r>
        <w:rPr>
          <w:i/>
          <w:iCs/>
          <w:lang w:val="en-GB"/>
        </w:rPr>
        <w:t>The Journal of American Folklore,</w:t>
      </w:r>
      <w:r>
        <w:rPr>
          <w:i w:val="false"/>
          <w:iCs w:val="false"/>
          <w:lang w:val="en-GB"/>
        </w:rPr>
        <w:t xml:space="preserve"> 115(456), pp. 175-190. DOI: 10.1353/jaf.2002.0019  </w:t>
      </w:r>
    </w:p>
    <w:p>
      <w:pPr>
        <w:pStyle w:val="Normal"/>
        <w:numPr>
          <w:ilvl w:val="0"/>
          <w:numId w:val="2"/>
        </w:numPr>
        <w:spacing w:lineRule="auto" w:line="360"/>
        <w:jc w:val="both"/>
        <w:rPr/>
      </w:pPr>
      <w:r>
        <w:rPr/>
        <w:t xml:space="preserve">Prymak, </w:t>
      </w:r>
      <w:r>
        <w:rPr/>
        <w:t>T</w:t>
      </w:r>
      <w:r>
        <w:rPr/>
        <w:t xml:space="preserve">. </w:t>
      </w:r>
      <w:r>
        <w:rPr/>
        <w:t>M</w:t>
      </w:r>
      <w:r>
        <w:rPr/>
        <w:t xml:space="preserve">. (2015) “Ukrainian Canada in the Encyclopedias, 1897-2010: An Historical Overview,” in </w:t>
      </w:r>
      <w:r>
        <w:rPr>
          <w:i/>
          <w:iCs/>
        </w:rPr>
        <w:t xml:space="preserve">Gathering a Heritage (Ukrainian, Slavonic, and Ethnic Canada and the USA), </w:t>
      </w:r>
      <w:r>
        <w:rPr>
          <w:i w:val="false"/>
          <w:iCs w:val="false"/>
        </w:rPr>
        <w:t>pp. 233-261. Available at: https://</w:t>
      </w:r>
      <w:r>
        <w:rPr>
          <w:i w:val="false"/>
          <w:iCs w:val="false"/>
          <w:sz w:val="23"/>
        </w:rPr>
        <w:t>www.jstor.org/stable/10.3138/j.ctt1287tsz.19</w:t>
      </w:r>
    </w:p>
    <w:p>
      <w:pPr>
        <w:pStyle w:val="Normal"/>
        <w:numPr>
          <w:ilvl w:val="0"/>
          <w:numId w:val="2"/>
        </w:numPr>
        <w:spacing w:lineRule="auto" w:line="360"/>
        <w:jc w:val="both"/>
        <w:rPr>
          <w:sz w:val="24"/>
          <w:szCs w:val="24"/>
        </w:rPr>
      </w:pPr>
      <w:r>
        <w:rPr>
          <w:i w:val="false"/>
          <w:iCs w:val="false"/>
          <w:sz w:val="24"/>
          <w:szCs w:val="24"/>
        </w:rPr>
        <w:t xml:space="preserve">Prymak, T. M. (1984) “Ivan Franko and Mass Ukrainian Emigration to Canada,” </w:t>
      </w:r>
      <w:r>
        <w:rPr>
          <w:i/>
          <w:iCs/>
          <w:sz w:val="24"/>
          <w:szCs w:val="24"/>
        </w:rPr>
        <w:t xml:space="preserve">Canadian Slavonic Papers / Revue Canadienne des Slavistes, </w:t>
      </w:r>
      <w:r>
        <w:rPr>
          <w:i w:val="false"/>
          <w:iCs w:val="false"/>
          <w:sz w:val="24"/>
          <w:szCs w:val="24"/>
        </w:rPr>
        <w:t xml:space="preserve">26(4), pp. 307-317. </w:t>
      </w:r>
      <w:r>
        <w:rPr>
          <w:i w:val="false"/>
          <w:iCs w:val="false"/>
          <w:sz w:val="24"/>
          <w:szCs w:val="24"/>
          <w:lang w:val="en-GB"/>
        </w:rPr>
        <w:t>DOI</w:t>
      </w:r>
      <w:r>
        <w:rPr>
          <w:i w:val="false"/>
          <w:iCs w:val="false"/>
          <w:sz w:val="24"/>
          <w:szCs w:val="24"/>
        </w:rPr>
        <w:t>: 10.1080/00085006.1984.11091783</w:t>
      </w:r>
    </w:p>
    <w:p>
      <w:pPr>
        <w:pStyle w:val="Normal"/>
        <w:numPr>
          <w:ilvl w:val="0"/>
          <w:numId w:val="2"/>
        </w:numPr>
        <w:spacing w:lineRule="auto" w:line="360"/>
        <w:jc w:val="both"/>
        <w:rPr>
          <w:sz w:val="24"/>
          <w:szCs w:val="24"/>
          <w:lang w:val="en-GB"/>
        </w:rPr>
      </w:pPr>
      <w:r>
        <w:rPr>
          <w:i w:val="false"/>
          <w:iCs w:val="false"/>
          <w:sz w:val="24"/>
          <w:szCs w:val="24"/>
          <w:lang w:val="en-GB"/>
        </w:rPr>
        <w:t xml:space="preserve">Rogers, J. (n/d) “Patagonia: a small slice of Wales in South America,” </w:t>
      </w:r>
      <w:r>
        <w:rPr>
          <w:i/>
          <w:iCs/>
          <w:sz w:val="24"/>
          <w:szCs w:val="24"/>
          <w:lang w:val="en-GB"/>
        </w:rPr>
        <w:t xml:space="preserve">Wales.com, </w:t>
      </w:r>
      <w:r>
        <w:rPr>
          <w:i w:val="false"/>
          <w:iCs w:val="false"/>
          <w:sz w:val="24"/>
          <w:szCs w:val="24"/>
          <w:lang w:val="en-GB"/>
        </w:rPr>
        <w:t>[online]. Available at: https://www.wales.com/about/language/history-welsh-people-patagonia</w:t>
      </w:r>
    </w:p>
    <w:p>
      <w:pPr>
        <w:pStyle w:val="Normal"/>
        <w:numPr>
          <w:ilvl w:val="0"/>
          <w:numId w:val="2"/>
        </w:numPr>
        <w:spacing w:lineRule="auto" w:line="360"/>
        <w:jc w:val="both"/>
        <w:rPr>
          <w:sz w:val="24"/>
          <w:szCs w:val="24"/>
          <w:lang w:val="en-GB"/>
        </w:rPr>
      </w:pPr>
      <w:r>
        <w:rPr>
          <w:i w:val="false"/>
          <w:iCs w:val="false"/>
          <w:sz w:val="24"/>
          <w:szCs w:val="24"/>
          <w:lang w:val="en-GB"/>
        </w:rPr>
        <w:t xml:space="preserve">Stebelsky, I. (1991) “The Resettlement of Ukrainian Refugees in Canada after the Second World War,” in </w:t>
      </w:r>
      <w:r>
        <w:rPr>
          <w:i/>
          <w:iCs/>
          <w:sz w:val="24"/>
          <w:szCs w:val="24"/>
          <w:lang w:val="en-GB"/>
        </w:rPr>
        <w:t xml:space="preserve">Luciuk, L., Hryniuk, S. “Changing Perspectives, 1891-1991”, </w:t>
      </w:r>
      <w:r>
        <w:rPr>
          <w:i w:val="false"/>
          <w:iCs w:val="false"/>
          <w:sz w:val="24"/>
          <w:szCs w:val="24"/>
          <w:lang w:val="en-GB"/>
        </w:rPr>
        <w:t>pp. 123-154. Available at: https://www.jstor.org/stable/10.3138/j.ctt2ttsgq.12</w:t>
      </w:r>
    </w:p>
    <w:p>
      <w:pPr>
        <w:pStyle w:val="Normal"/>
        <w:numPr>
          <w:ilvl w:val="0"/>
          <w:numId w:val="2"/>
        </w:numPr>
        <w:spacing w:lineRule="auto" w:line="360"/>
        <w:jc w:val="both"/>
        <w:rPr>
          <w:sz w:val="24"/>
          <w:szCs w:val="24"/>
          <w:lang w:val="en-GB"/>
        </w:rPr>
      </w:pPr>
      <w:r>
        <w:rPr>
          <w:i w:val="false"/>
          <w:iCs w:val="false"/>
          <w:sz w:val="24"/>
          <w:szCs w:val="24"/>
          <w:lang w:val="en-GB"/>
        </w:rPr>
        <w:t xml:space="preserve">Taylor, L. (2018) “Global perspectives on Welsh Patagonia: the complexities </w:t>
        <w:br/>
        <w:t>of being both colonizer and colonized,”</w:t>
      </w:r>
      <w:r>
        <w:rPr>
          <w:i/>
          <w:iCs/>
          <w:sz w:val="24"/>
          <w:szCs w:val="24"/>
          <w:lang w:val="en-GB"/>
        </w:rPr>
        <w:t xml:space="preserve"> Journal of Global History,</w:t>
      </w:r>
      <w:r>
        <w:rPr>
          <w:i w:val="false"/>
          <w:iCs w:val="false"/>
          <w:sz w:val="24"/>
          <w:szCs w:val="24"/>
          <w:lang w:val="en-GB"/>
        </w:rPr>
        <w:t xml:space="preserve"> 13, pp. 446-468. </w:t>
        <w:br/>
        <w:t>DOI: 10.1017/S1740022818000232</w:t>
      </w:r>
    </w:p>
    <w:p>
      <w:pPr>
        <w:pStyle w:val="Normal"/>
        <w:numPr>
          <w:ilvl w:val="0"/>
          <w:numId w:val="2"/>
        </w:numPr>
        <w:spacing w:lineRule="auto" w:line="360"/>
        <w:jc w:val="both"/>
        <w:rPr>
          <w:sz w:val="24"/>
          <w:szCs w:val="24"/>
          <w:lang w:val="en-GB"/>
        </w:rPr>
      </w:pPr>
      <w:r>
        <w:rPr>
          <w:i w:val="false"/>
          <w:iCs w:val="false"/>
          <w:sz w:val="24"/>
          <w:szCs w:val="24"/>
          <w:lang w:val="en-GB"/>
        </w:rPr>
        <w:t xml:space="preserve">Williams, G. (1971) “Social Conflict and Change within the Welsh Colony in Patagonia,” </w:t>
      </w:r>
      <w:r>
        <w:rPr>
          <w:i/>
          <w:iCs/>
          <w:sz w:val="24"/>
          <w:szCs w:val="24"/>
          <w:lang w:val="en-GB"/>
        </w:rPr>
        <w:t xml:space="preserve">Anthropological Quarterly, </w:t>
      </w:r>
      <w:r>
        <w:rPr>
          <w:i w:val="false"/>
          <w:iCs w:val="false"/>
          <w:sz w:val="24"/>
          <w:szCs w:val="24"/>
          <w:lang w:val="en-GB"/>
        </w:rPr>
        <w:t xml:space="preserve">44(2), pp. 78-93. Available at: https://www.jstor.org/stable/3316772 </w:t>
      </w:r>
    </w:p>
    <w:p>
      <w:pPr>
        <w:pStyle w:val="Normal"/>
        <w:numPr>
          <w:ilvl w:val="0"/>
          <w:numId w:val="2"/>
        </w:numPr>
        <w:spacing w:lineRule="auto" w:line="360"/>
        <w:jc w:val="both"/>
        <w:rPr>
          <w:sz w:val="24"/>
          <w:szCs w:val="24"/>
          <w:lang w:val="en-GB"/>
        </w:rPr>
      </w:pPr>
      <w:r>
        <w:rPr>
          <w:i w:val="false"/>
          <w:iCs w:val="false"/>
          <w:sz w:val="24"/>
          <w:szCs w:val="24"/>
          <w:lang w:val="en-GB"/>
        </w:rPr>
        <w:t xml:space="preserve">Williams, G. (1979) “Welsh Settlers and Native Americans in Patagonia,” </w:t>
      </w:r>
      <w:r>
        <w:rPr>
          <w:i/>
          <w:iCs/>
          <w:sz w:val="24"/>
          <w:szCs w:val="24"/>
          <w:lang w:val="en-GB"/>
        </w:rPr>
        <w:t xml:space="preserve">Journal of Latin American Studies, </w:t>
      </w:r>
      <w:r>
        <w:rPr>
          <w:i w:val="false"/>
          <w:iCs w:val="false"/>
          <w:sz w:val="24"/>
          <w:szCs w:val="24"/>
          <w:lang w:val="en-GB"/>
        </w:rPr>
        <w:t>11(1), pp. 41-66. DOI: 10.1017/S0022216X0002229X</w:t>
      </w:r>
    </w:p>
    <w:p>
      <w:pPr>
        <w:pStyle w:val="Normal"/>
        <w:numPr>
          <w:ilvl w:val="0"/>
          <w:numId w:val="2"/>
        </w:numPr>
        <w:spacing w:lineRule="auto" w:line="360"/>
        <w:jc w:val="both"/>
        <w:rPr>
          <w:sz w:val="24"/>
          <w:szCs w:val="24"/>
          <w:lang w:val="en-GB"/>
        </w:rPr>
      </w:pPr>
      <w:r>
        <w:rPr>
          <w:i w:val="false"/>
          <w:iCs w:val="false"/>
          <w:sz w:val="24"/>
          <w:szCs w:val="24"/>
          <w:lang w:val="en-GB"/>
        </w:rPr>
        <w:t xml:space="preserve">Williams, G. B. (1968) “The Welsh in Patagonia: A Geographic Perspective,” </w:t>
      </w:r>
      <w:r>
        <w:rPr>
          <w:i/>
          <w:iCs/>
          <w:sz w:val="24"/>
          <w:szCs w:val="24"/>
          <w:lang w:val="en-GB"/>
        </w:rPr>
        <w:t xml:space="preserve">Revista Geografica, </w:t>
      </w:r>
      <w:r>
        <w:rPr>
          <w:i w:val="false"/>
          <w:iCs w:val="false"/>
          <w:sz w:val="24"/>
          <w:szCs w:val="24"/>
          <w:lang w:val="en-GB"/>
        </w:rPr>
        <w:t xml:space="preserve">69(1), </w:t>
      </w:r>
      <w:r>
        <w:rPr>
          <w:i w:val="false"/>
          <w:iCs w:val="false"/>
          <w:sz w:val="24"/>
          <w:szCs w:val="24"/>
          <w:lang w:val="en-GB"/>
        </w:rPr>
        <w:t>pp. 121-144. Available at: https://www.jstor.org/stable/40991973</w:t>
      </w:r>
    </w:p>
    <w:p>
      <w:pPr>
        <w:pStyle w:val="Normal"/>
        <w:numPr>
          <w:ilvl w:val="0"/>
          <w:numId w:val="2"/>
        </w:numPr>
        <w:spacing w:lineRule="auto" w:line="360"/>
        <w:jc w:val="both"/>
        <w:rPr>
          <w:sz w:val="24"/>
          <w:szCs w:val="24"/>
          <w:lang w:val="en-GB"/>
        </w:rPr>
      </w:pPr>
      <w:r>
        <w:rPr>
          <w:i w:val="false"/>
          <w:iCs w:val="false"/>
          <w:sz w:val="24"/>
          <w:szCs w:val="24"/>
          <w:lang w:val="en-GB"/>
        </w:rPr>
        <w:t>a</w:t>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 w:name="OpenSymbol">
    <w:altName w:val="Arial Unicode MS"/>
    <w:charset w:val="02"/>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decimal"/>
      <w:lvlText w:val="%1."/>
      <w:lvlJc w:val="left"/>
      <w:pPr>
        <w:tabs>
          <w:tab w:val="num" w:pos="720"/>
        </w:tabs>
        <w:ind w:left="720" w:hanging="360"/>
      </w:pPr>
      <w:rPr/>
    </w:lvl>
    <w:lvl w:ilvl="1">
      <w:start w:val="1"/>
      <w:numFmt w:val="decimal"/>
      <w:lvlText w:val="%2."/>
      <w:lvlJc w:val="left"/>
      <w:pPr>
        <w:tabs>
          <w:tab w:val="num" w:pos="1080"/>
        </w:tabs>
        <w:ind w:left="1080" w:hanging="360"/>
      </w:pPr>
      <w:rPr/>
    </w:lvl>
    <w:lvl w:ilvl="2">
      <w:start w:val="1"/>
      <w:numFmt w:val="decimal"/>
      <w:lvlText w:val="%3."/>
      <w:lvlJc w:val="left"/>
      <w:pPr>
        <w:tabs>
          <w:tab w:val="num" w:pos="1440"/>
        </w:tabs>
        <w:ind w:left="1440" w:hanging="360"/>
      </w:pPr>
      <w:rPr/>
    </w:lvl>
    <w:lvl w:ilvl="3">
      <w:start w:val="1"/>
      <w:numFmt w:val="decimal"/>
      <w:lvlText w:val="%4."/>
      <w:lvlJc w:val="left"/>
      <w:pPr>
        <w:tabs>
          <w:tab w:val="num" w:pos="1800"/>
        </w:tabs>
        <w:ind w:left="1800" w:hanging="360"/>
      </w:pPr>
      <w:rPr/>
    </w:lvl>
    <w:lvl w:ilvl="4">
      <w:start w:val="1"/>
      <w:numFmt w:val="decimal"/>
      <w:lvlText w:val="%5."/>
      <w:lvlJc w:val="left"/>
      <w:pPr>
        <w:tabs>
          <w:tab w:val="num" w:pos="2160"/>
        </w:tabs>
        <w:ind w:left="2160" w:hanging="360"/>
      </w:pPr>
      <w:rPr/>
    </w:lvl>
    <w:lvl w:ilvl="5">
      <w:start w:val="1"/>
      <w:numFmt w:val="decimal"/>
      <w:lvlText w:val="%6."/>
      <w:lvlJc w:val="left"/>
      <w:pPr>
        <w:tabs>
          <w:tab w:val="num" w:pos="2520"/>
        </w:tabs>
        <w:ind w:left="2520" w:hanging="360"/>
      </w:pPr>
      <w:rPr/>
    </w:lvl>
    <w:lvl w:ilvl="6">
      <w:start w:val="1"/>
      <w:numFmt w:val="decimal"/>
      <w:lvlText w:val="%7."/>
      <w:lvlJc w:val="left"/>
      <w:pPr>
        <w:tabs>
          <w:tab w:val="num" w:pos="2880"/>
        </w:tabs>
        <w:ind w:left="2880" w:hanging="360"/>
      </w:pPr>
      <w:rPr/>
    </w:lvl>
    <w:lvl w:ilvl="7">
      <w:start w:val="1"/>
      <w:numFmt w:val="decimal"/>
      <w:lvlText w:val="%8."/>
      <w:lvlJc w:val="left"/>
      <w:pPr>
        <w:tabs>
          <w:tab w:val="num" w:pos="3240"/>
        </w:tabs>
        <w:ind w:left="3240" w:hanging="360"/>
      </w:pPr>
      <w:rPr/>
    </w:lvl>
    <w:lvl w:ilvl="8">
      <w:start w:val="1"/>
      <w:numFmt w:val="decimal"/>
      <w:lvlText w:val="%9."/>
      <w:lvlJc w:val="left"/>
      <w:pPr>
        <w:tabs>
          <w:tab w:val="num" w:pos="3600"/>
        </w:tabs>
        <w:ind w:left="3600" w:hanging="360"/>
      </w:pPr>
      <w:rPr/>
    </w:lvl>
  </w:abstractNum>
  <w:num w:numId="1">
    <w:abstractNumId w:val="1"/>
  </w:num>
  <w:num w:numId="2">
    <w:abstractNumId w:val="2"/>
  </w:num>
</w:numbering>
</file>

<file path=word/settings.xml><?xml version="1.0" encoding="utf-8"?>
<w:settings xmlns:w="http://schemas.openxmlformats.org/wordprocessingml/2006/main">
  <w:zoom w:percent="90"/>
  <w:defaultTabStop w:val="709"/>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US" w:eastAsia="zh-CN" w:bidi="hi-IN"/>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overflowPunct w:val="false"/>
      <w:bidi w:val="0"/>
      <w:spacing w:before="0" w:after="0"/>
      <w:jc w:val="left"/>
    </w:pPr>
    <w:rPr>
      <w:rFonts w:ascii="Times New Roman" w:hAnsi="Times New Roman" w:eastAsia="NSimSun" w:cs="Lucida Sans"/>
      <w:color w:val="auto"/>
      <w:kern w:val="2"/>
      <w:sz w:val="24"/>
      <w:szCs w:val="24"/>
      <w:lang w:val="en-US" w:eastAsia="zh-CN" w:bidi="hi-IN"/>
    </w:rPr>
  </w:style>
  <w:style w:type="character" w:styleId="DefaultParagraphFont" w:default="1">
    <w:name w:val="Default Paragraph Font"/>
    <w:uiPriority w:val="1"/>
    <w:semiHidden/>
    <w:unhideWhenUsed/>
    <w:qFormat/>
    <w:rPr/>
  </w:style>
  <w:style w:type="character" w:styleId="StrongEmphasis">
    <w:name w:val="Strong Emphasis"/>
    <w:qFormat/>
    <w:rPr>
      <w:b/>
      <w:bCs/>
    </w:rPr>
  </w:style>
  <w:style w:type="character" w:styleId="NumberingSymbols">
    <w:name w:val="Numbering Symbols"/>
    <w:qFormat/>
    <w:rPr/>
  </w:style>
  <w:style w:type="character" w:styleId="InternetLink">
    <w:name w:val="Hyperlink"/>
    <w:rPr>
      <w:color w:val="000080"/>
      <w:u w:val="single"/>
      <w:lang w:val="zxx" w:eastAsia="zxx" w:bidi="zxx"/>
    </w:rPr>
  </w:style>
  <w:style w:type="character" w:styleId="Bullets">
    <w:name w:val="Bullets"/>
    <w:qFormat/>
    <w:rPr>
      <w:rFonts w:ascii="OpenSymbol" w:hAnsi="OpenSymbol" w:eastAsia="OpenSymbol" w:cs="OpenSymbol"/>
    </w:rPr>
  </w:style>
  <w:style w:type="paragraph" w:styleId="Heading" w:customStyle="1">
    <w:name w:val="Heading"/>
    <w:basedOn w:val="Normal"/>
    <w:next w:val="TextBody"/>
    <w:qFormat/>
    <w:pPr>
      <w:keepNext w:val="true"/>
      <w:spacing w:before="240" w:after="120"/>
    </w:pPr>
    <w:rPr>
      <w:rFonts w:ascii="Times New Roman" w:hAnsi="Times New Roman"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customStyle="1">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lang w:val="en-US" w:eastAsia="en-US" w:bidi="en-US"/>
    </w:rPr>
  </w:style>
  <w:style w:type="paragraph" w:styleId="Default" w:customStyle="1">
    <w:name w:val="Default"/>
    <w:qFormat/>
    <w:pPr>
      <w:widowControl/>
      <w:suppressAutoHyphens w:val="true"/>
      <w:bidi w:val="0"/>
      <w:spacing w:before="0" w:after="0"/>
      <w:jc w:val="left"/>
    </w:pPr>
    <w:rPr>
      <w:rFonts w:ascii="Times New Roman" w:hAnsi="Times New Roman" w:eastAsia="NSimSun" w:cs="Lucida Sans"/>
      <w:color w:val="000000"/>
      <w:kern w:val="2"/>
      <w:sz w:val="24"/>
      <w:szCs w:val="24"/>
      <w:lang w:val="en-US" w:eastAsia="zh-CN" w:bidi="hi-IN"/>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
  <TotalTime>868</TotalTime>
  <Application>LibreOffice/7.3.4.2$Windows_X86_64 LibreOffice_project/728fec16bd5f605073805c3c9e7c4212a0120dc5</Application>
  <AppVersion>15.0000</AppVersion>
  <Pages>4</Pages>
  <Words>1625</Words>
  <Characters>9358</Characters>
  <CharactersWithSpaces>10965</CharactersWithSpaces>
  <Paragraphs>31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2016-08-10T02:49:00Z</dcterms:created>
  <dc:creator>Nilesh</dc:creator>
  <dc:description/>
  <dc:language>en-US</dc:language>
  <cp:lastModifiedBy/>
  <dcterms:modified xsi:type="dcterms:W3CDTF">2023-04-30T20:18:45Z</dcterms:modified>
  <cp:revision>88</cp:revision>
  <dc:subject/>
  <dc:title>Ukrainian Poetry in Canada</dc:title>
</cp:coreProperties>
</file>

<file path=docProps/custom.xml><?xml version="1.0" encoding="utf-8"?>
<Properties xmlns="http://schemas.openxmlformats.org/officeDocument/2006/custom-properties" xmlns:vt="http://schemas.openxmlformats.org/officeDocument/2006/docPropsVTypes"/>
</file>