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9B5B066" w14:textId="77777777" w:rsidR="00D2187B" w:rsidRDefault="00D2187B" w:rsidP="00C25977">
      <w:pPr>
        <w:pStyle w:val="Heading1"/>
      </w:pPr>
    </w:p>
    <w:p w14:paraId="5A3D1CEF" w14:textId="77777777" w:rsidR="00D2187B" w:rsidRDefault="00D2187B" w:rsidP="00D2187B">
      <w:pPr>
        <w:spacing w:after="160" w:line="259" w:lineRule="auto"/>
        <w:jc w:val="center"/>
        <w:rPr>
          <w:rFonts w:ascii="Verdana" w:hAnsi="Verdana"/>
          <w:b/>
          <w:i/>
          <w:sz w:val="44"/>
        </w:rPr>
      </w:pPr>
    </w:p>
    <w:p w14:paraId="1837D8C5" w14:textId="77777777" w:rsidR="0005064F" w:rsidRPr="008D2D9A" w:rsidRDefault="0005064F" w:rsidP="0005064F">
      <w:pPr>
        <w:spacing w:after="160" w:line="259" w:lineRule="auto"/>
        <w:jc w:val="center"/>
        <w:rPr>
          <w:rFonts w:ascii="Verdana" w:hAnsi="Verdana"/>
          <w:b/>
          <w:sz w:val="44"/>
        </w:rPr>
      </w:pPr>
      <w:r w:rsidRPr="008D2D9A">
        <w:rPr>
          <w:rFonts w:ascii="Verdana" w:hAnsi="Verdana"/>
          <w:b/>
          <w:sz w:val="44"/>
        </w:rPr>
        <w:t xml:space="preserve">Financial Reporting </w:t>
      </w:r>
    </w:p>
    <w:p w14:paraId="3183BB29" w14:textId="77777777" w:rsidR="0005064F" w:rsidRPr="008D2D9A" w:rsidRDefault="0005064F" w:rsidP="0005064F">
      <w:pPr>
        <w:spacing w:after="160" w:line="259" w:lineRule="auto"/>
        <w:jc w:val="center"/>
        <w:rPr>
          <w:rFonts w:ascii="Verdana" w:hAnsi="Verdana"/>
          <w:b/>
          <w:sz w:val="44"/>
        </w:rPr>
      </w:pPr>
      <w:r w:rsidRPr="008D2D9A">
        <w:rPr>
          <w:rFonts w:ascii="Verdana" w:hAnsi="Verdana"/>
          <w:b/>
          <w:sz w:val="44"/>
        </w:rPr>
        <w:t>Leases</w:t>
      </w:r>
    </w:p>
    <w:p w14:paraId="58D27D51" w14:textId="77777777" w:rsidR="00D2187B" w:rsidRDefault="00D2187B">
      <w:pPr>
        <w:spacing w:after="160" w:line="259" w:lineRule="auto"/>
        <w:rPr>
          <w:rFonts w:ascii="Verdana" w:hAnsi="Verdana"/>
          <w:b/>
          <w:caps/>
          <w:sz w:val="18"/>
          <w:szCs w:val="18"/>
        </w:rPr>
      </w:pPr>
    </w:p>
    <w:p w14:paraId="1E1E79F9" w14:textId="10CC9124" w:rsidR="00D2187B" w:rsidRDefault="000A10AA" w:rsidP="00322839">
      <w:pPr>
        <w:spacing w:after="160" w:line="259" w:lineRule="auto"/>
        <w:rPr>
          <w:rFonts w:ascii="Verdana" w:hAnsi="Verdana"/>
          <w:b/>
          <w:caps/>
          <w:sz w:val="18"/>
          <w:szCs w:val="18"/>
        </w:rPr>
      </w:pPr>
      <w:r>
        <w:rPr>
          <w:noProof/>
          <w:lang w:eastAsia="en-GB"/>
        </w:rPr>
        <w:drawing>
          <wp:anchor distT="0" distB="0" distL="114300" distR="114300" simplePos="0" relativeHeight="251658240" behindDoc="0" locked="0" layoutInCell="1" allowOverlap="1" wp14:anchorId="46878F68" wp14:editId="68188C55">
            <wp:simplePos x="0" y="0"/>
            <wp:positionH relativeFrom="column">
              <wp:posOffset>2343150</wp:posOffset>
            </wp:positionH>
            <wp:positionV relativeFrom="paragraph">
              <wp:align>top</wp:align>
            </wp:positionV>
            <wp:extent cx="2860040" cy="3172460"/>
            <wp:effectExtent l="0" t="0" r="0" b="8890"/>
            <wp:wrapSquare wrapText="bothSides"/>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anchor>
        </w:drawing>
      </w:r>
      <w:r w:rsidR="00322839">
        <w:rPr>
          <w:rFonts w:ascii="Verdana" w:hAnsi="Verdana"/>
          <w:b/>
          <w:caps/>
          <w:sz w:val="18"/>
          <w:szCs w:val="18"/>
        </w:rPr>
        <w:br w:type="textWrapping" w:clear="all"/>
      </w:r>
    </w:p>
    <w:p w14:paraId="123A0E5E" w14:textId="77777777" w:rsidR="00D2187B" w:rsidRDefault="00D2187B">
      <w:pPr>
        <w:spacing w:after="160" w:line="259" w:lineRule="auto"/>
        <w:rPr>
          <w:rFonts w:ascii="Verdana" w:hAnsi="Verdana"/>
          <w:b/>
          <w:caps/>
          <w:sz w:val="18"/>
          <w:szCs w:val="18"/>
        </w:rPr>
      </w:pPr>
    </w:p>
    <w:p w14:paraId="5845D582" w14:textId="00F6C0E7" w:rsidR="00D2187B" w:rsidRPr="002A1AD3" w:rsidRDefault="00322839" w:rsidP="00322839">
      <w:pPr>
        <w:tabs>
          <w:tab w:val="center" w:pos="4513"/>
          <w:tab w:val="right" w:pos="9026"/>
        </w:tabs>
        <w:spacing w:after="160" w:line="259" w:lineRule="auto"/>
        <w:rPr>
          <w:rFonts w:ascii="Verdana" w:hAnsi="Verdana"/>
          <w:b/>
          <w:sz w:val="44"/>
        </w:rPr>
      </w:pPr>
      <w:r>
        <w:rPr>
          <w:rFonts w:ascii="Verdana" w:hAnsi="Verdana"/>
          <w:b/>
          <w:sz w:val="44"/>
        </w:rPr>
        <w:tab/>
      </w:r>
      <w:r w:rsidR="000A10AA">
        <w:rPr>
          <w:rFonts w:ascii="Verdana" w:hAnsi="Verdana"/>
          <w:b/>
          <w:sz w:val="44"/>
        </w:rPr>
        <w:t>OCTOBER 2017</w:t>
      </w:r>
      <w:r>
        <w:rPr>
          <w:rFonts w:ascii="Verdana" w:hAnsi="Verdana"/>
          <w:b/>
          <w:sz w:val="44"/>
        </w:rPr>
        <w:tab/>
      </w:r>
    </w:p>
    <w:p w14:paraId="0A1CC042" w14:textId="77777777" w:rsidR="00D2187B" w:rsidRDefault="00D2187B">
      <w:pPr>
        <w:spacing w:after="160" w:line="259" w:lineRule="auto"/>
        <w:rPr>
          <w:rFonts w:ascii="Verdana" w:hAnsi="Verdana"/>
          <w:b/>
          <w:caps/>
          <w:sz w:val="18"/>
          <w:szCs w:val="18"/>
        </w:rPr>
      </w:pPr>
    </w:p>
    <w:p w14:paraId="0C086A43" w14:textId="36C4D87E"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05064F" w:rsidRPr="008D2D9A">
        <w:rPr>
          <w:rFonts w:ascii="Verdana" w:hAnsi="Verdana"/>
          <w:b/>
          <w:caps/>
          <w:sz w:val="18"/>
          <w:szCs w:val="18"/>
        </w:rPr>
        <w:t>Financial reporting</w:t>
      </w:r>
    </w:p>
    <w:p w14:paraId="1387AD83" w14:textId="5DAC9498" w:rsidR="00D2187B" w:rsidRPr="0005064F"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322839">
        <w:rPr>
          <w:rFonts w:ascii="Verdana" w:hAnsi="Verdana"/>
          <w:b/>
          <w:caps/>
          <w:sz w:val="18"/>
          <w:szCs w:val="18"/>
        </w:rPr>
        <w:t>Azan Shah</w:t>
      </w:r>
    </w:p>
    <w:p w14:paraId="571833C2" w14:textId="524A1040" w:rsidR="001D1483" w:rsidRDefault="00D2187B">
      <w:pPr>
        <w:spacing w:after="160" w:line="259" w:lineRule="auto"/>
        <w:rPr>
          <w:rFonts w:ascii="Verdana" w:hAnsi="Verdana"/>
          <w:b/>
          <w:caps/>
          <w:sz w:val="18"/>
          <w:szCs w:val="18"/>
        </w:rPr>
      </w:pPr>
      <w:r w:rsidRPr="0005064F">
        <w:rPr>
          <w:rFonts w:ascii="Verdana" w:hAnsi="Verdana"/>
          <w:b/>
          <w:caps/>
          <w:sz w:val="18"/>
          <w:szCs w:val="18"/>
        </w:rPr>
        <w:t>Student Number:</w:t>
      </w:r>
      <w:r w:rsidRPr="0005064F">
        <w:rPr>
          <w:rFonts w:ascii="Verdana" w:hAnsi="Verdana"/>
          <w:b/>
          <w:caps/>
          <w:sz w:val="18"/>
          <w:szCs w:val="18"/>
        </w:rPr>
        <w:tab/>
      </w:r>
      <w:r w:rsidRPr="0005064F">
        <w:rPr>
          <w:rFonts w:ascii="Verdana" w:hAnsi="Verdana"/>
          <w:b/>
          <w:caps/>
          <w:sz w:val="18"/>
          <w:szCs w:val="18"/>
        </w:rPr>
        <w:tab/>
      </w:r>
      <w:r w:rsidR="00322839">
        <w:rPr>
          <w:rFonts w:ascii="Verdana" w:hAnsi="Verdana"/>
          <w:b/>
          <w:caps/>
          <w:sz w:val="18"/>
          <w:szCs w:val="18"/>
        </w:rPr>
        <w:t>1706936</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10"/>
          <w:footerReference w:type="default" r:id="rId11"/>
          <w:footerReference w:type="first" r:id="rId12"/>
          <w:pgSz w:w="11906" w:h="16838"/>
          <w:pgMar w:top="1440" w:right="1440" w:bottom="1440" w:left="1440" w:header="708" w:footer="708" w:gutter="0"/>
          <w:cols w:space="708"/>
          <w:titlePg/>
          <w:docGrid w:linePitch="360"/>
        </w:sectPr>
      </w:pPr>
    </w:p>
    <w:p w14:paraId="5F7D0AA2" w14:textId="353F03FB" w:rsidR="009B20F4" w:rsidRPr="00571AD4" w:rsidRDefault="009B20F4" w:rsidP="00277E0A">
      <w:pPr>
        <w:tabs>
          <w:tab w:val="left" w:pos="4007"/>
        </w:tabs>
        <w:jc w:val="center"/>
        <w:rPr>
          <w:rFonts w:ascii="Verdana" w:hAnsi="Verdana"/>
          <w:b/>
          <w:caps/>
          <w:sz w:val="18"/>
          <w:szCs w:val="18"/>
        </w:rPr>
      </w:pPr>
      <w:r w:rsidRPr="00571AD4">
        <w:rPr>
          <w:rFonts w:ascii="Verdana" w:hAnsi="Verdana"/>
          <w:b/>
          <w:caps/>
          <w:sz w:val="18"/>
          <w:szCs w:val="18"/>
        </w:rPr>
        <w:lastRenderedPageBreak/>
        <w:t>Table of Contents</w:t>
      </w:r>
    </w:p>
    <w:p w14:paraId="5B0DDBF1" w14:textId="6F8AA778" w:rsidR="009B20F4" w:rsidRPr="00571AD4" w:rsidRDefault="009B20F4" w:rsidP="00277E0A">
      <w:pPr>
        <w:spacing w:line="480" w:lineRule="auto"/>
        <w:jc w:val="both"/>
        <w:rPr>
          <w:rFonts w:ascii="Verdana" w:hAnsi="Verdana"/>
          <w:b/>
          <w:caps/>
          <w:sz w:val="16"/>
          <w:szCs w:val="18"/>
        </w:rPr>
      </w:pPr>
    </w:p>
    <w:p w14:paraId="2B52AA81" w14:textId="4990CEA0" w:rsidR="0005064F" w:rsidRPr="00571AD4" w:rsidRDefault="008B0864">
      <w:pPr>
        <w:pStyle w:val="TOC1"/>
        <w:tabs>
          <w:tab w:val="left" w:pos="440"/>
          <w:tab w:val="right" w:leader="dot" w:pos="9016"/>
        </w:tabs>
        <w:rPr>
          <w:rFonts w:asciiTheme="minorHAnsi" w:eastAsiaTheme="minorEastAsia" w:hAnsiTheme="minorHAnsi" w:cstheme="minorBidi"/>
          <w:bCs w:val="0"/>
          <w:caps w:val="0"/>
          <w:noProof/>
          <w:color w:val="auto"/>
          <w:sz w:val="22"/>
          <w:szCs w:val="22"/>
          <w:lang w:eastAsia="en-GB"/>
        </w:rPr>
      </w:pPr>
      <w:r w:rsidRPr="00571AD4">
        <w:rPr>
          <w:rStyle w:val="Hyperlink"/>
          <w:rFonts w:cstheme="minorHAnsi"/>
          <w:bCs w:val="0"/>
          <w:caps w:val="0"/>
          <w:smallCaps/>
          <w:noProof/>
          <w:color w:val="auto"/>
          <w:szCs w:val="18"/>
        </w:rPr>
        <w:fldChar w:fldCharType="begin"/>
      </w:r>
      <w:r w:rsidRPr="00571AD4">
        <w:rPr>
          <w:rStyle w:val="Hyperlink"/>
          <w:rFonts w:cstheme="minorHAnsi"/>
          <w:bCs w:val="0"/>
          <w:caps w:val="0"/>
          <w:smallCaps/>
          <w:noProof/>
          <w:color w:val="auto"/>
          <w:szCs w:val="18"/>
        </w:rPr>
        <w:instrText xml:space="preserve"> TOC \o "1-3" \u </w:instrText>
      </w:r>
      <w:r w:rsidRPr="00571AD4">
        <w:rPr>
          <w:rStyle w:val="Hyperlink"/>
          <w:rFonts w:cstheme="minorHAnsi"/>
          <w:bCs w:val="0"/>
          <w:caps w:val="0"/>
          <w:smallCaps/>
          <w:noProof/>
          <w:color w:val="auto"/>
          <w:szCs w:val="18"/>
        </w:rPr>
        <w:fldChar w:fldCharType="separate"/>
      </w:r>
      <w:r w:rsidR="0005064F" w:rsidRPr="00571AD4">
        <w:rPr>
          <w:rFonts w:eastAsia="Times New Roman" w:cs="Arial"/>
          <w:noProof/>
          <w:color w:val="auto"/>
        </w:rPr>
        <w:t>1.</w:t>
      </w:r>
      <w:r w:rsidR="0005064F" w:rsidRPr="00571AD4">
        <w:rPr>
          <w:rFonts w:asciiTheme="minorHAnsi" w:eastAsiaTheme="minorEastAsia" w:hAnsiTheme="minorHAnsi" w:cstheme="minorBidi"/>
          <w:bCs w:val="0"/>
          <w:caps w:val="0"/>
          <w:noProof/>
          <w:color w:val="auto"/>
          <w:sz w:val="22"/>
          <w:szCs w:val="22"/>
          <w:lang w:eastAsia="en-GB"/>
        </w:rPr>
        <w:tab/>
      </w:r>
      <w:r w:rsidR="0005064F" w:rsidRPr="00571AD4">
        <w:rPr>
          <w:rFonts w:eastAsia="Times New Roman" w:cs="Arial"/>
          <w:noProof/>
          <w:color w:val="auto"/>
        </w:rPr>
        <w:t>eXECUTIVE sUMMARY</w:t>
      </w:r>
      <w:r w:rsidR="0005064F" w:rsidRPr="00571AD4">
        <w:rPr>
          <w:noProof/>
          <w:color w:val="auto"/>
        </w:rPr>
        <w:tab/>
      </w:r>
      <w:r w:rsidR="0005064F" w:rsidRPr="00571AD4">
        <w:rPr>
          <w:noProof/>
          <w:color w:val="auto"/>
        </w:rPr>
        <w:fldChar w:fldCharType="begin"/>
      </w:r>
      <w:r w:rsidR="0005064F" w:rsidRPr="00571AD4">
        <w:rPr>
          <w:noProof/>
          <w:color w:val="auto"/>
        </w:rPr>
        <w:instrText xml:space="preserve"> PAGEREF _Toc531122413 \h </w:instrText>
      </w:r>
      <w:r w:rsidR="0005064F" w:rsidRPr="00571AD4">
        <w:rPr>
          <w:noProof/>
          <w:color w:val="auto"/>
        </w:rPr>
      </w:r>
      <w:r w:rsidR="0005064F" w:rsidRPr="00571AD4">
        <w:rPr>
          <w:noProof/>
          <w:color w:val="auto"/>
        </w:rPr>
        <w:fldChar w:fldCharType="separate"/>
      </w:r>
      <w:r w:rsidR="00061B35" w:rsidRPr="00571AD4">
        <w:rPr>
          <w:noProof/>
          <w:color w:val="auto"/>
        </w:rPr>
        <w:t>1</w:t>
      </w:r>
      <w:r w:rsidR="0005064F" w:rsidRPr="00571AD4">
        <w:rPr>
          <w:noProof/>
          <w:color w:val="auto"/>
        </w:rPr>
        <w:fldChar w:fldCharType="end"/>
      </w:r>
    </w:p>
    <w:p w14:paraId="1D63D1FD" w14:textId="4D27A955" w:rsidR="0005064F" w:rsidRPr="00571AD4" w:rsidRDefault="0005064F">
      <w:pPr>
        <w:pStyle w:val="TOC1"/>
        <w:tabs>
          <w:tab w:val="left" w:pos="440"/>
          <w:tab w:val="right" w:leader="dot" w:pos="9016"/>
        </w:tabs>
        <w:rPr>
          <w:rFonts w:asciiTheme="minorHAnsi" w:eastAsiaTheme="minorEastAsia" w:hAnsiTheme="minorHAnsi" w:cstheme="minorBidi"/>
          <w:bCs w:val="0"/>
          <w:caps w:val="0"/>
          <w:noProof/>
          <w:color w:val="auto"/>
          <w:sz w:val="22"/>
          <w:szCs w:val="22"/>
          <w:lang w:eastAsia="en-GB"/>
        </w:rPr>
      </w:pPr>
      <w:r w:rsidRPr="00571AD4">
        <w:rPr>
          <w:rFonts w:eastAsia="Times New Roman" w:cs="Arial"/>
          <w:noProof/>
          <w:color w:val="auto"/>
        </w:rPr>
        <w:t>2.</w:t>
      </w:r>
      <w:r w:rsidRPr="00571AD4">
        <w:rPr>
          <w:rFonts w:asciiTheme="minorHAnsi" w:eastAsiaTheme="minorEastAsia" w:hAnsiTheme="minorHAnsi" w:cstheme="minorBidi"/>
          <w:bCs w:val="0"/>
          <w:caps w:val="0"/>
          <w:noProof/>
          <w:color w:val="auto"/>
          <w:sz w:val="22"/>
          <w:szCs w:val="22"/>
          <w:lang w:eastAsia="en-GB"/>
        </w:rPr>
        <w:tab/>
      </w:r>
      <w:r w:rsidRPr="00571AD4">
        <w:rPr>
          <w:rFonts w:eastAsia="Times New Roman" w:cs="Arial"/>
          <w:noProof/>
          <w:color w:val="auto"/>
        </w:rPr>
        <w:t>Introduction</w:t>
      </w:r>
      <w:r w:rsidRPr="00571AD4">
        <w:rPr>
          <w:noProof/>
          <w:color w:val="auto"/>
        </w:rPr>
        <w:tab/>
      </w:r>
      <w:r w:rsidRPr="00571AD4">
        <w:rPr>
          <w:noProof/>
          <w:color w:val="auto"/>
        </w:rPr>
        <w:fldChar w:fldCharType="begin"/>
      </w:r>
      <w:r w:rsidRPr="00571AD4">
        <w:rPr>
          <w:noProof/>
          <w:color w:val="auto"/>
        </w:rPr>
        <w:instrText xml:space="preserve"> PAGEREF _Toc531122414 \h </w:instrText>
      </w:r>
      <w:r w:rsidRPr="00571AD4">
        <w:rPr>
          <w:noProof/>
          <w:color w:val="auto"/>
        </w:rPr>
      </w:r>
      <w:r w:rsidRPr="00571AD4">
        <w:rPr>
          <w:noProof/>
          <w:color w:val="auto"/>
        </w:rPr>
        <w:fldChar w:fldCharType="separate"/>
      </w:r>
      <w:r w:rsidR="00061B35" w:rsidRPr="00571AD4">
        <w:rPr>
          <w:noProof/>
          <w:color w:val="auto"/>
        </w:rPr>
        <w:t>2</w:t>
      </w:r>
      <w:r w:rsidRPr="00571AD4">
        <w:rPr>
          <w:noProof/>
          <w:color w:val="auto"/>
        </w:rPr>
        <w:fldChar w:fldCharType="end"/>
      </w:r>
    </w:p>
    <w:p w14:paraId="197B8717" w14:textId="3186E031" w:rsidR="0005064F" w:rsidRPr="00571AD4" w:rsidRDefault="0005064F">
      <w:pPr>
        <w:pStyle w:val="TOC2"/>
        <w:rPr>
          <w:rFonts w:eastAsiaTheme="minorEastAsia" w:cstheme="minorBidi"/>
          <w:b/>
          <w:smallCaps w:val="0"/>
          <w:noProof/>
          <w:sz w:val="22"/>
          <w:szCs w:val="22"/>
          <w:lang w:eastAsia="en-GB"/>
        </w:rPr>
      </w:pPr>
      <w:r w:rsidRPr="00571AD4">
        <w:rPr>
          <w:rFonts w:eastAsia="Times New Roman" w:cs="Arial"/>
          <w:b/>
          <w:bCs/>
          <w:iCs/>
          <w:noProof/>
        </w:rPr>
        <w:t>2.1</w:t>
      </w:r>
      <w:r w:rsidRPr="00571AD4">
        <w:rPr>
          <w:rFonts w:eastAsiaTheme="minorEastAsia" w:cstheme="minorBidi"/>
          <w:b/>
          <w:smallCaps w:val="0"/>
          <w:noProof/>
          <w:sz w:val="22"/>
          <w:szCs w:val="22"/>
          <w:lang w:eastAsia="en-GB"/>
        </w:rPr>
        <w:tab/>
      </w:r>
      <w:r w:rsidRPr="00571AD4">
        <w:rPr>
          <w:rFonts w:eastAsia="Times New Roman" w:cs="Arial"/>
          <w:b/>
          <w:bCs/>
          <w:iCs/>
          <w:noProof/>
        </w:rPr>
        <w:t>Report Remit</w:t>
      </w:r>
      <w:r w:rsidRPr="00571AD4">
        <w:rPr>
          <w:b/>
          <w:noProof/>
        </w:rPr>
        <w:tab/>
      </w:r>
      <w:r w:rsidRPr="00571AD4">
        <w:rPr>
          <w:b/>
          <w:noProof/>
        </w:rPr>
        <w:fldChar w:fldCharType="begin"/>
      </w:r>
      <w:r w:rsidRPr="00571AD4">
        <w:rPr>
          <w:b/>
          <w:noProof/>
        </w:rPr>
        <w:instrText xml:space="preserve"> PAGEREF _Toc531122415 \h </w:instrText>
      </w:r>
      <w:r w:rsidRPr="00571AD4">
        <w:rPr>
          <w:b/>
          <w:noProof/>
        </w:rPr>
      </w:r>
      <w:r w:rsidRPr="00571AD4">
        <w:rPr>
          <w:b/>
          <w:noProof/>
        </w:rPr>
        <w:fldChar w:fldCharType="separate"/>
      </w:r>
      <w:r w:rsidR="00061B35" w:rsidRPr="00571AD4">
        <w:rPr>
          <w:b/>
          <w:noProof/>
        </w:rPr>
        <w:t>2</w:t>
      </w:r>
      <w:r w:rsidRPr="00571AD4">
        <w:rPr>
          <w:b/>
          <w:noProof/>
        </w:rPr>
        <w:fldChar w:fldCharType="end"/>
      </w:r>
    </w:p>
    <w:p w14:paraId="32FA4F54" w14:textId="043E3254" w:rsidR="0005064F" w:rsidRPr="00571AD4" w:rsidRDefault="0005064F">
      <w:pPr>
        <w:pStyle w:val="TOC2"/>
        <w:rPr>
          <w:rFonts w:eastAsiaTheme="minorEastAsia" w:cstheme="minorBidi"/>
          <w:b/>
          <w:smallCaps w:val="0"/>
          <w:noProof/>
          <w:sz w:val="22"/>
          <w:szCs w:val="22"/>
          <w:lang w:eastAsia="en-GB"/>
        </w:rPr>
      </w:pPr>
      <w:r w:rsidRPr="00571AD4">
        <w:rPr>
          <w:rFonts w:eastAsia="Times New Roman" w:cs="Arial"/>
          <w:b/>
          <w:bCs/>
          <w:iCs/>
          <w:noProof/>
        </w:rPr>
        <w:t>2.2</w:t>
      </w:r>
      <w:r w:rsidRPr="00571AD4">
        <w:rPr>
          <w:rFonts w:eastAsiaTheme="minorEastAsia" w:cstheme="minorBidi"/>
          <w:b/>
          <w:smallCaps w:val="0"/>
          <w:noProof/>
          <w:sz w:val="22"/>
          <w:szCs w:val="22"/>
          <w:lang w:eastAsia="en-GB"/>
        </w:rPr>
        <w:tab/>
      </w:r>
      <w:r w:rsidRPr="00571AD4">
        <w:rPr>
          <w:rFonts w:eastAsia="Times New Roman" w:cs="Arial"/>
          <w:b/>
          <w:bCs/>
          <w:iCs/>
          <w:noProof/>
        </w:rPr>
        <w:t>Leases in frs 102</w:t>
      </w:r>
      <w:r w:rsidRPr="00571AD4">
        <w:rPr>
          <w:b/>
          <w:noProof/>
        </w:rPr>
        <w:tab/>
      </w:r>
      <w:r w:rsidRPr="00571AD4">
        <w:rPr>
          <w:b/>
          <w:noProof/>
        </w:rPr>
        <w:fldChar w:fldCharType="begin"/>
      </w:r>
      <w:r w:rsidRPr="00571AD4">
        <w:rPr>
          <w:b/>
          <w:noProof/>
        </w:rPr>
        <w:instrText xml:space="preserve"> PAGEREF _Toc531122416 \h </w:instrText>
      </w:r>
      <w:r w:rsidRPr="00571AD4">
        <w:rPr>
          <w:b/>
          <w:noProof/>
        </w:rPr>
      </w:r>
      <w:r w:rsidRPr="00571AD4">
        <w:rPr>
          <w:b/>
          <w:noProof/>
        </w:rPr>
        <w:fldChar w:fldCharType="separate"/>
      </w:r>
      <w:r w:rsidR="00061B35" w:rsidRPr="00571AD4">
        <w:rPr>
          <w:b/>
          <w:noProof/>
        </w:rPr>
        <w:t>2</w:t>
      </w:r>
      <w:r w:rsidRPr="00571AD4">
        <w:rPr>
          <w:b/>
          <w:noProof/>
        </w:rPr>
        <w:fldChar w:fldCharType="end"/>
      </w:r>
    </w:p>
    <w:p w14:paraId="47C2186A" w14:textId="1F3F98D5" w:rsidR="0005064F" w:rsidRPr="00571AD4" w:rsidRDefault="0005064F">
      <w:pPr>
        <w:pStyle w:val="TOC2"/>
        <w:rPr>
          <w:rFonts w:eastAsiaTheme="minorEastAsia" w:cstheme="minorBidi"/>
          <w:b/>
          <w:smallCaps w:val="0"/>
          <w:noProof/>
          <w:sz w:val="22"/>
          <w:szCs w:val="22"/>
          <w:lang w:eastAsia="en-GB"/>
        </w:rPr>
      </w:pPr>
      <w:r w:rsidRPr="00571AD4">
        <w:rPr>
          <w:rFonts w:eastAsia="Times New Roman" w:cs="Arial"/>
          <w:b/>
          <w:bCs/>
          <w:iCs/>
          <w:noProof/>
        </w:rPr>
        <w:t>2.3</w:t>
      </w:r>
      <w:r w:rsidRPr="00571AD4">
        <w:rPr>
          <w:rFonts w:eastAsiaTheme="minorEastAsia" w:cstheme="minorBidi"/>
          <w:b/>
          <w:smallCaps w:val="0"/>
          <w:noProof/>
          <w:sz w:val="22"/>
          <w:szCs w:val="22"/>
          <w:lang w:eastAsia="en-GB"/>
        </w:rPr>
        <w:tab/>
      </w:r>
      <w:r w:rsidRPr="00571AD4">
        <w:rPr>
          <w:rFonts w:eastAsia="Times New Roman" w:cs="Arial"/>
          <w:b/>
          <w:bCs/>
          <w:iCs/>
          <w:noProof/>
        </w:rPr>
        <w:t>criticism of the current accounting standard</w:t>
      </w:r>
      <w:r w:rsidR="00F46F6F" w:rsidRPr="00571AD4">
        <w:rPr>
          <w:rFonts w:eastAsia="Times New Roman" w:cs="Arial"/>
          <w:b/>
          <w:bCs/>
          <w:iCs/>
          <w:noProof/>
        </w:rPr>
        <w:t xml:space="preserve"> - IAS 17</w:t>
      </w:r>
      <w:r w:rsidRPr="00571AD4">
        <w:rPr>
          <w:b/>
          <w:noProof/>
        </w:rPr>
        <w:tab/>
      </w:r>
      <w:r w:rsidRPr="00571AD4">
        <w:rPr>
          <w:b/>
          <w:noProof/>
        </w:rPr>
        <w:fldChar w:fldCharType="begin"/>
      </w:r>
      <w:r w:rsidRPr="00571AD4">
        <w:rPr>
          <w:b/>
          <w:noProof/>
        </w:rPr>
        <w:instrText xml:space="preserve"> PAGEREF _Toc531122417 \h </w:instrText>
      </w:r>
      <w:r w:rsidRPr="00571AD4">
        <w:rPr>
          <w:b/>
          <w:noProof/>
        </w:rPr>
      </w:r>
      <w:r w:rsidRPr="00571AD4">
        <w:rPr>
          <w:b/>
          <w:noProof/>
        </w:rPr>
        <w:fldChar w:fldCharType="separate"/>
      </w:r>
      <w:r w:rsidR="00061B35" w:rsidRPr="00571AD4">
        <w:rPr>
          <w:b/>
          <w:noProof/>
        </w:rPr>
        <w:t>3</w:t>
      </w:r>
      <w:r w:rsidRPr="00571AD4">
        <w:rPr>
          <w:b/>
          <w:noProof/>
        </w:rPr>
        <w:fldChar w:fldCharType="end"/>
      </w:r>
    </w:p>
    <w:p w14:paraId="7C2F7E9C" w14:textId="59605227" w:rsidR="0005064F" w:rsidRPr="00571AD4" w:rsidRDefault="0005064F">
      <w:pPr>
        <w:pStyle w:val="TOC2"/>
        <w:rPr>
          <w:rFonts w:eastAsiaTheme="minorEastAsia" w:cstheme="minorBidi"/>
          <w:b/>
          <w:smallCaps w:val="0"/>
          <w:noProof/>
          <w:sz w:val="22"/>
          <w:szCs w:val="22"/>
          <w:lang w:eastAsia="en-GB"/>
        </w:rPr>
      </w:pPr>
      <w:r w:rsidRPr="00571AD4">
        <w:rPr>
          <w:rFonts w:eastAsia="Times New Roman" w:cs="Arial"/>
          <w:b/>
          <w:bCs/>
          <w:iCs/>
          <w:noProof/>
        </w:rPr>
        <w:t>2.4</w:t>
      </w:r>
      <w:r w:rsidRPr="00571AD4">
        <w:rPr>
          <w:rFonts w:eastAsiaTheme="minorEastAsia" w:cstheme="minorBidi"/>
          <w:b/>
          <w:smallCaps w:val="0"/>
          <w:noProof/>
          <w:sz w:val="22"/>
          <w:szCs w:val="22"/>
          <w:lang w:eastAsia="en-GB"/>
        </w:rPr>
        <w:tab/>
      </w:r>
      <w:r w:rsidRPr="00571AD4">
        <w:rPr>
          <w:rFonts w:eastAsia="Times New Roman" w:cs="Arial"/>
          <w:b/>
          <w:bCs/>
          <w:iCs/>
          <w:noProof/>
        </w:rPr>
        <w:t>Impact of the new accounting treatment</w:t>
      </w:r>
      <w:r w:rsidR="00131111" w:rsidRPr="00571AD4">
        <w:rPr>
          <w:rFonts w:eastAsia="Times New Roman" w:cs="Arial"/>
          <w:b/>
          <w:bCs/>
          <w:iCs/>
          <w:noProof/>
        </w:rPr>
        <w:t xml:space="preserve"> - IFRS 16</w:t>
      </w:r>
      <w:r w:rsidRPr="00571AD4">
        <w:rPr>
          <w:b/>
          <w:noProof/>
        </w:rPr>
        <w:tab/>
      </w:r>
      <w:r w:rsidRPr="00571AD4">
        <w:rPr>
          <w:b/>
          <w:noProof/>
        </w:rPr>
        <w:fldChar w:fldCharType="begin"/>
      </w:r>
      <w:r w:rsidRPr="00571AD4">
        <w:rPr>
          <w:b/>
          <w:noProof/>
        </w:rPr>
        <w:instrText xml:space="preserve"> PAGEREF _Toc531122418 \h </w:instrText>
      </w:r>
      <w:r w:rsidRPr="00571AD4">
        <w:rPr>
          <w:b/>
          <w:noProof/>
        </w:rPr>
      </w:r>
      <w:r w:rsidRPr="00571AD4">
        <w:rPr>
          <w:b/>
          <w:noProof/>
        </w:rPr>
        <w:fldChar w:fldCharType="separate"/>
      </w:r>
      <w:r w:rsidR="00061B35" w:rsidRPr="00571AD4">
        <w:rPr>
          <w:b/>
          <w:noProof/>
        </w:rPr>
        <w:t>3</w:t>
      </w:r>
      <w:r w:rsidRPr="00571AD4">
        <w:rPr>
          <w:b/>
          <w:noProof/>
        </w:rPr>
        <w:fldChar w:fldCharType="end"/>
      </w:r>
    </w:p>
    <w:p w14:paraId="45191A49" w14:textId="7F92F6AB" w:rsidR="0005064F" w:rsidRPr="00571AD4" w:rsidRDefault="0005064F">
      <w:pPr>
        <w:pStyle w:val="TOC2"/>
        <w:rPr>
          <w:rFonts w:eastAsiaTheme="minorEastAsia" w:cstheme="minorBidi"/>
          <w:b/>
          <w:smallCaps w:val="0"/>
          <w:noProof/>
          <w:sz w:val="22"/>
          <w:szCs w:val="22"/>
          <w:lang w:eastAsia="en-GB"/>
        </w:rPr>
      </w:pPr>
      <w:r w:rsidRPr="00571AD4">
        <w:rPr>
          <w:rFonts w:eastAsia="Times New Roman" w:cs="Arial"/>
          <w:b/>
          <w:bCs/>
          <w:iCs/>
          <w:noProof/>
        </w:rPr>
        <w:t>2.5</w:t>
      </w:r>
      <w:r w:rsidRPr="00571AD4">
        <w:rPr>
          <w:rFonts w:eastAsiaTheme="minorEastAsia" w:cstheme="minorBidi"/>
          <w:b/>
          <w:smallCaps w:val="0"/>
          <w:noProof/>
          <w:sz w:val="22"/>
          <w:szCs w:val="22"/>
          <w:lang w:eastAsia="en-GB"/>
        </w:rPr>
        <w:tab/>
      </w:r>
      <w:r w:rsidRPr="00571AD4">
        <w:rPr>
          <w:rFonts w:eastAsia="Times New Roman" w:cs="Arial"/>
          <w:b/>
          <w:bCs/>
          <w:iCs/>
          <w:noProof/>
        </w:rPr>
        <w:t>conclusion</w:t>
      </w:r>
      <w:r w:rsidRPr="00571AD4">
        <w:rPr>
          <w:b/>
          <w:noProof/>
        </w:rPr>
        <w:tab/>
      </w:r>
      <w:r w:rsidRPr="00571AD4">
        <w:rPr>
          <w:b/>
          <w:noProof/>
        </w:rPr>
        <w:fldChar w:fldCharType="begin"/>
      </w:r>
      <w:r w:rsidRPr="00571AD4">
        <w:rPr>
          <w:b/>
          <w:noProof/>
        </w:rPr>
        <w:instrText xml:space="preserve"> PAGEREF _Toc531122419 \h </w:instrText>
      </w:r>
      <w:r w:rsidRPr="00571AD4">
        <w:rPr>
          <w:b/>
          <w:noProof/>
        </w:rPr>
      </w:r>
      <w:r w:rsidRPr="00571AD4">
        <w:rPr>
          <w:b/>
          <w:noProof/>
        </w:rPr>
        <w:fldChar w:fldCharType="separate"/>
      </w:r>
      <w:r w:rsidR="00061B35" w:rsidRPr="00571AD4">
        <w:rPr>
          <w:b/>
          <w:noProof/>
        </w:rPr>
        <w:t>3</w:t>
      </w:r>
      <w:r w:rsidRPr="00571AD4">
        <w:rPr>
          <w:b/>
          <w:noProof/>
        </w:rPr>
        <w:fldChar w:fldCharType="end"/>
      </w:r>
    </w:p>
    <w:p w14:paraId="6F1246D9" w14:textId="661C5C55" w:rsidR="0005064F" w:rsidRPr="00571AD4" w:rsidRDefault="0005064F">
      <w:pPr>
        <w:pStyle w:val="TOC1"/>
        <w:tabs>
          <w:tab w:val="left" w:pos="440"/>
          <w:tab w:val="right" w:leader="dot" w:pos="9016"/>
        </w:tabs>
        <w:rPr>
          <w:rFonts w:asciiTheme="minorHAnsi" w:eastAsiaTheme="minorEastAsia" w:hAnsiTheme="minorHAnsi" w:cstheme="minorBidi"/>
          <w:bCs w:val="0"/>
          <w:caps w:val="0"/>
          <w:noProof/>
          <w:color w:val="auto"/>
          <w:sz w:val="22"/>
          <w:szCs w:val="22"/>
          <w:lang w:eastAsia="en-GB"/>
        </w:rPr>
      </w:pPr>
      <w:r w:rsidRPr="00571AD4">
        <w:rPr>
          <w:rFonts w:eastAsia="Times New Roman" w:cs="Arial"/>
          <w:noProof/>
          <w:color w:val="auto"/>
        </w:rPr>
        <w:t>3.</w:t>
      </w:r>
      <w:r w:rsidRPr="00571AD4">
        <w:rPr>
          <w:rFonts w:asciiTheme="minorHAnsi" w:eastAsiaTheme="minorEastAsia" w:hAnsiTheme="minorHAnsi" w:cstheme="minorBidi"/>
          <w:bCs w:val="0"/>
          <w:caps w:val="0"/>
          <w:noProof/>
          <w:color w:val="auto"/>
          <w:sz w:val="22"/>
          <w:szCs w:val="22"/>
          <w:lang w:eastAsia="en-GB"/>
        </w:rPr>
        <w:tab/>
      </w:r>
      <w:r w:rsidRPr="00571AD4">
        <w:rPr>
          <w:rFonts w:eastAsia="Times New Roman" w:cs="Arial"/>
          <w:noProof/>
          <w:color w:val="auto"/>
        </w:rPr>
        <w:t>References</w:t>
      </w:r>
      <w:r w:rsidRPr="00571AD4">
        <w:rPr>
          <w:noProof/>
          <w:color w:val="auto"/>
        </w:rPr>
        <w:tab/>
      </w:r>
      <w:r w:rsidRPr="00571AD4">
        <w:rPr>
          <w:noProof/>
          <w:color w:val="auto"/>
        </w:rPr>
        <w:fldChar w:fldCharType="begin"/>
      </w:r>
      <w:r w:rsidRPr="00571AD4">
        <w:rPr>
          <w:noProof/>
          <w:color w:val="auto"/>
        </w:rPr>
        <w:instrText xml:space="preserve"> PAGEREF _Toc531122420 \h </w:instrText>
      </w:r>
      <w:r w:rsidRPr="00571AD4">
        <w:rPr>
          <w:noProof/>
          <w:color w:val="auto"/>
        </w:rPr>
      </w:r>
      <w:r w:rsidRPr="00571AD4">
        <w:rPr>
          <w:noProof/>
          <w:color w:val="auto"/>
        </w:rPr>
        <w:fldChar w:fldCharType="separate"/>
      </w:r>
      <w:r w:rsidR="00061B35" w:rsidRPr="00571AD4">
        <w:rPr>
          <w:noProof/>
          <w:color w:val="auto"/>
        </w:rPr>
        <w:t>5</w:t>
      </w:r>
      <w:r w:rsidRPr="00571AD4">
        <w:rPr>
          <w:noProof/>
          <w:color w:val="auto"/>
        </w:rPr>
        <w:fldChar w:fldCharType="end"/>
      </w:r>
    </w:p>
    <w:p w14:paraId="4759A750" w14:textId="030D2BB7" w:rsidR="009B20F4" w:rsidRPr="008B0864" w:rsidRDefault="008B0864" w:rsidP="008B0864">
      <w:pPr>
        <w:pStyle w:val="TableofFigures"/>
        <w:tabs>
          <w:tab w:val="right" w:leader="dot" w:pos="9016"/>
        </w:tabs>
        <w:spacing w:line="480" w:lineRule="auto"/>
        <w:rPr>
          <w:rFonts w:ascii="Verdana" w:hAnsi="Verdana"/>
          <w:sz w:val="18"/>
          <w:szCs w:val="18"/>
        </w:rPr>
      </w:pPr>
      <w:r w:rsidRPr="00571AD4">
        <w:rPr>
          <w:rStyle w:val="Hyperlink"/>
          <w:rFonts w:ascii="Verdana" w:hAnsi="Verdana" w:cstheme="minorHAnsi"/>
          <w:b/>
          <w:bCs/>
          <w:caps/>
          <w:smallCaps w:val="0"/>
          <w:noProof/>
          <w:color w:val="auto"/>
          <w:sz w:val="18"/>
          <w:szCs w:val="18"/>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3F3FA863" w14:textId="77777777" w:rsidR="0007275A" w:rsidRPr="0005064F" w:rsidRDefault="0007275A" w:rsidP="0005064F">
      <w:pPr>
        <w:tabs>
          <w:tab w:val="left" w:pos="4007"/>
        </w:tabs>
        <w:rPr>
          <w:rFonts w:ascii="Verdana" w:hAnsi="Verdana"/>
          <w:b/>
          <w:caps/>
          <w:sz w:val="18"/>
          <w:szCs w:val="18"/>
        </w:rPr>
        <w:sectPr w:rsidR="0007275A" w:rsidRPr="0005064F" w:rsidSect="00E05928">
          <w:footerReference w:type="first" r:id="rId13"/>
          <w:pgSz w:w="11906" w:h="16838"/>
          <w:pgMar w:top="1440" w:right="1440" w:bottom="1440" w:left="1440" w:header="708" w:footer="708" w:gutter="0"/>
          <w:cols w:space="708"/>
          <w:titlePg/>
          <w:docGrid w:linePitch="360"/>
        </w:sectPr>
      </w:pPr>
      <w:bookmarkStart w:id="0" w:name="_Toc419303684"/>
    </w:p>
    <w:p w14:paraId="6561D99D" w14:textId="525EEF23" w:rsidR="00FE0518" w:rsidRDefault="00A502A4" w:rsidP="00FE0518">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31122413"/>
      <w:r>
        <w:rPr>
          <w:rFonts w:eastAsia="Times New Roman" w:cs="Arial"/>
          <w:bCs/>
          <w:szCs w:val="20"/>
        </w:rPr>
        <w:t>eXECUTIVE sUMMARY</w:t>
      </w:r>
      <w:bookmarkEnd w:id="1"/>
    </w:p>
    <w:p w14:paraId="1F08E736" w14:textId="77777777" w:rsidR="00FE0518" w:rsidRDefault="00FE0518" w:rsidP="00FE0518"/>
    <w:p w14:paraId="5E573C1E" w14:textId="77777777" w:rsidR="00B83621" w:rsidRDefault="00FE0518" w:rsidP="00FE0518">
      <w:r>
        <w:t xml:space="preserve">This report, distinguishes, the difference between FRS 102 and IFRS 16. FRS </w:t>
      </w:r>
      <w:proofErr w:type="gramStart"/>
      <w:r>
        <w:t>102,</w:t>
      </w:r>
      <w:proofErr w:type="gramEnd"/>
      <w:r>
        <w:t xml:space="preserve"> is the current accounting standard for leases, it came into action on the 01/01/2015, it will be replaced by IFRS 16 the new accounting standard for leases, on the 01/01/2019</w:t>
      </w:r>
      <w:r w:rsidR="00B83621">
        <w:t>.</w:t>
      </w:r>
    </w:p>
    <w:p w14:paraId="1F28BBF5" w14:textId="7CD3FE3D" w:rsidR="00FE0518" w:rsidRDefault="00FE0518" w:rsidP="00FE0518">
      <w:r>
        <w:t xml:space="preserve"> </w:t>
      </w:r>
      <w:r w:rsidR="00975733">
        <w:t xml:space="preserve">The arrangement of the </w:t>
      </w:r>
      <w:r w:rsidR="00AC4C36">
        <w:t xml:space="preserve">finance and operating </w:t>
      </w:r>
      <w:r w:rsidR="00080230">
        <w:t>leases that</w:t>
      </w:r>
      <w:r w:rsidR="00975733">
        <w:t xml:space="preserve"> are used by businesses, are</w:t>
      </w:r>
      <w:r w:rsidR="00AC4C36">
        <w:t xml:space="preserve"> mentioned in the first section of </w:t>
      </w:r>
      <w:r w:rsidR="00080230">
        <w:t>this report</w:t>
      </w:r>
      <w:r w:rsidR="00975733">
        <w:t xml:space="preserve">. </w:t>
      </w:r>
      <w:r w:rsidR="00AC4C36">
        <w:t>Alongside, with how the concept of substance over form</w:t>
      </w:r>
      <w:r w:rsidR="0056725E">
        <w:t>, applies</w:t>
      </w:r>
      <w:r w:rsidR="00080230">
        <w:t xml:space="preserve"> </w:t>
      </w:r>
      <w:proofErr w:type="spellStart"/>
      <w:r w:rsidR="00080230">
        <w:t>too</w:t>
      </w:r>
      <w:proofErr w:type="spellEnd"/>
      <w:r w:rsidR="00080230">
        <w:t xml:space="preserve"> these leases.</w:t>
      </w:r>
    </w:p>
    <w:p w14:paraId="7ADEF912" w14:textId="3E091F1F" w:rsidR="00665224" w:rsidRDefault="00665224" w:rsidP="00FE0518">
      <w:r>
        <w:t xml:space="preserve">There are many criticisms of FRS 102, as a result, the </w:t>
      </w:r>
      <w:r w:rsidR="00C351A8">
        <w:t>financial</w:t>
      </w:r>
      <w:r>
        <w:t xml:space="preserve"> accounting standard board (FASB)</w:t>
      </w:r>
      <w:r w:rsidR="00BE7B72">
        <w:t>, decided to bring in IFRS 16 to correct the critiques of the current accounting standard.</w:t>
      </w:r>
      <w:r w:rsidR="00C351A8">
        <w:t xml:space="preserve"> The main criticism of FRS </w:t>
      </w:r>
      <w:proofErr w:type="gramStart"/>
      <w:r w:rsidR="00C351A8">
        <w:t>102,</w:t>
      </w:r>
      <w:proofErr w:type="gramEnd"/>
      <w:r w:rsidR="00C351A8">
        <w:t xml:space="preserve"> was the off-balance sheet treatment of operating leases. As a result of this treatment</w:t>
      </w:r>
      <w:proofErr w:type="gramStart"/>
      <w:r w:rsidR="00C351A8">
        <w:t>,  a</w:t>
      </w:r>
      <w:proofErr w:type="gramEnd"/>
      <w:r w:rsidR="00C351A8">
        <w:t xml:space="preserve"> liability would be hidden from the financial statement, resulting in an</w:t>
      </w:r>
      <w:r w:rsidR="00E32617">
        <w:t xml:space="preserve"> inaccurate portrayal of the financial situation.</w:t>
      </w:r>
    </w:p>
    <w:p w14:paraId="4CC232F5" w14:textId="0BCF53AF" w:rsidR="0056725E" w:rsidRDefault="0056725E" w:rsidP="00FE0518">
      <w:r>
        <w:t xml:space="preserve">The third section of this </w:t>
      </w:r>
      <w:r w:rsidR="0009153A">
        <w:t>report</w:t>
      </w:r>
      <w:r>
        <w:t xml:space="preserve"> looks into the new accounting treatment IFRS 16, and how it </w:t>
      </w:r>
      <w:r w:rsidR="0009153A">
        <w:t>will have an impact on the financial statements of companies.  It also, describes the main industries that will be impacted as a result of the new accounting treatment and the reasoning behind the impact.</w:t>
      </w:r>
    </w:p>
    <w:p w14:paraId="3BD8482C" w14:textId="2B1F1A50" w:rsidR="009A62E7" w:rsidRDefault="00733C99" w:rsidP="00FE0518">
      <w:r>
        <w:t xml:space="preserve">To finish the report, a </w:t>
      </w:r>
      <w:r w:rsidR="009A62E7">
        <w:t xml:space="preserve">conclusion to summarise the findings and criticisms, of FRS 102, was produced, the conclusion explains why IFRS 16, is replacing FRS 102. </w:t>
      </w:r>
    </w:p>
    <w:p w14:paraId="4E36BCB8" w14:textId="43E83A75" w:rsidR="00FE0518" w:rsidRPr="00FE0518" w:rsidRDefault="00FE0518" w:rsidP="00B83621">
      <w:pPr>
        <w:pStyle w:val="NormalIndent"/>
        <w:spacing w:line="480" w:lineRule="auto"/>
        <w:rPr>
          <w:rFonts w:asciiTheme="minorHAnsi" w:hAnsiTheme="minorHAnsi"/>
          <w:szCs w:val="18"/>
        </w:rPr>
      </w:pPr>
      <w:r w:rsidRPr="00FE0518">
        <w:rPr>
          <w:rFonts w:cs="Arial"/>
          <w:szCs w:val="18"/>
        </w:rPr>
        <w:tab/>
      </w:r>
      <w:r w:rsidRPr="00FE0518">
        <w:rPr>
          <w:rFonts w:asciiTheme="minorHAnsi" w:hAnsiTheme="minorHAnsi"/>
          <w:szCs w:val="18"/>
        </w:rPr>
        <w:t xml:space="preserve"> </w:t>
      </w:r>
    </w:p>
    <w:p w14:paraId="08E77B23" w14:textId="10D6F870" w:rsidR="00FE0518" w:rsidRDefault="00FE0518" w:rsidP="00FE0518">
      <w:pPr>
        <w:tabs>
          <w:tab w:val="left" w:pos="1335"/>
        </w:tabs>
        <w:rPr>
          <w:rFonts w:ascii="Verdana" w:eastAsia="Times New Roman" w:hAnsi="Verdana" w:cs="Arial"/>
          <w:sz w:val="18"/>
          <w:szCs w:val="20"/>
        </w:rPr>
      </w:pPr>
    </w:p>
    <w:p w14:paraId="63CC67D5" w14:textId="09A36CB3" w:rsidR="00FE0518" w:rsidRDefault="00FE0518" w:rsidP="00FE0518">
      <w:pPr>
        <w:rPr>
          <w:rFonts w:ascii="Verdana" w:eastAsia="Times New Roman" w:hAnsi="Verdana" w:cs="Arial"/>
          <w:sz w:val="18"/>
          <w:szCs w:val="20"/>
        </w:rPr>
      </w:pPr>
    </w:p>
    <w:p w14:paraId="5D8DD4A2" w14:textId="77777777" w:rsidR="006C4E5C" w:rsidRPr="00FE0518" w:rsidRDefault="006C4E5C" w:rsidP="00FE0518">
      <w:pPr>
        <w:rPr>
          <w:rFonts w:ascii="Verdana" w:eastAsia="Times New Roman" w:hAnsi="Verdana" w:cs="Arial"/>
          <w:sz w:val="18"/>
          <w:szCs w:val="20"/>
        </w:rPr>
        <w:sectPr w:rsidR="006C4E5C" w:rsidRPr="00FE0518" w:rsidSect="00273161">
          <w:headerReference w:type="default" r:id="rId14"/>
          <w:footerReference w:type="default" r:id="rId15"/>
          <w:headerReference w:type="first" r:id="rId16"/>
          <w:footerReference w:type="first" r:id="rId17"/>
          <w:pgSz w:w="11906" w:h="16838"/>
          <w:pgMar w:top="1440" w:right="1440" w:bottom="1440" w:left="1440" w:header="708" w:footer="708" w:gutter="0"/>
          <w:pgNumType w:start="1"/>
          <w:cols w:space="708"/>
          <w:titlePg/>
          <w:docGrid w:linePitch="360"/>
        </w:sectPr>
      </w:pPr>
    </w:p>
    <w:p w14:paraId="02FA05B9" w14:textId="77777777" w:rsidR="009B20F4" w:rsidRPr="00B139AD"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 w:val="22"/>
          <w:szCs w:val="20"/>
        </w:rPr>
      </w:pPr>
      <w:bookmarkStart w:id="2" w:name="_Toc531122414"/>
      <w:r w:rsidRPr="0043085E">
        <w:rPr>
          <w:rFonts w:eastAsia="Times New Roman" w:cs="Arial"/>
          <w:bCs/>
          <w:szCs w:val="20"/>
        </w:rPr>
        <w:t>Introduction</w:t>
      </w:r>
      <w:bookmarkEnd w:id="0"/>
      <w:bookmarkEnd w:id="2"/>
    </w:p>
    <w:p w14:paraId="1C92A9FF" w14:textId="5F37B732" w:rsidR="00704FEC" w:rsidRPr="00B139AD" w:rsidRDefault="00704FEC" w:rsidP="00CA002A">
      <w:pPr>
        <w:pStyle w:val="NormalIndent"/>
        <w:spacing w:line="240" w:lineRule="auto"/>
        <w:rPr>
          <w:rFonts w:ascii="Arial" w:hAnsi="Arial" w:cs="Arial"/>
          <w:b/>
          <w:sz w:val="22"/>
        </w:rPr>
      </w:pPr>
    </w:p>
    <w:p w14:paraId="44D9BB10" w14:textId="4026D4FF" w:rsidR="007B6A08" w:rsidRPr="00B139AD" w:rsidRDefault="004E2E02" w:rsidP="00CA002A">
      <w:pPr>
        <w:pStyle w:val="NormalIndent"/>
        <w:spacing w:line="240" w:lineRule="auto"/>
        <w:ind w:left="0"/>
        <w:rPr>
          <w:rFonts w:asciiTheme="minorHAnsi" w:hAnsiTheme="minorHAnsi" w:cstheme="minorHAnsi"/>
          <w:sz w:val="22"/>
        </w:rPr>
      </w:pPr>
      <w:r w:rsidRPr="00B139AD">
        <w:rPr>
          <w:rFonts w:asciiTheme="minorHAnsi" w:hAnsiTheme="minorHAnsi" w:cstheme="minorHAnsi"/>
          <w:sz w:val="22"/>
        </w:rPr>
        <w:t xml:space="preserve">The governing accounting bodies, have </w:t>
      </w:r>
      <w:r w:rsidR="007B6A08" w:rsidRPr="00B139AD">
        <w:rPr>
          <w:rFonts w:asciiTheme="minorHAnsi" w:hAnsiTheme="minorHAnsi" w:cstheme="minorHAnsi"/>
          <w:sz w:val="22"/>
        </w:rPr>
        <w:t xml:space="preserve">been reviewing the current accounting treatment, for a while now due to criticism over the past couple of years, as a result, a new accounting treatment, IFRS 17, will be coming into action, at the beginning of January 2019. The adoption of the new accounting treatment will primarily have an effect on financial statements of companies that </w:t>
      </w:r>
      <w:r w:rsidR="00E240D1" w:rsidRPr="00B139AD">
        <w:rPr>
          <w:rFonts w:asciiTheme="minorHAnsi" w:hAnsiTheme="minorHAnsi" w:cstheme="minorHAnsi"/>
          <w:sz w:val="22"/>
        </w:rPr>
        <w:t xml:space="preserve">contract with leases. </w:t>
      </w:r>
      <w:proofErr w:type="gramStart"/>
      <w:r w:rsidR="00E240D1" w:rsidRPr="00B139AD">
        <w:rPr>
          <w:rFonts w:asciiTheme="minorHAnsi" w:hAnsiTheme="minorHAnsi" w:cstheme="minorHAnsi"/>
          <w:sz w:val="22"/>
        </w:rPr>
        <w:t>( T</w:t>
      </w:r>
      <w:proofErr w:type="gramEnd"/>
      <w:r w:rsidR="00E240D1" w:rsidRPr="00B139AD">
        <w:rPr>
          <w:rFonts w:asciiTheme="minorHAnsi" w:hAnsiTheme="minorHAnsi" w:cstheme="minorHAnsi"/>
          <w:sz w:val="22"/>
        </w:rPr>
        <w:t xml:space="preserve"> D George, 2016)</w:t>
      </w:r>
    </w:p>
    <w:p w14:paraId="043AE34B" w14:textId="77777777" w:rsidR="007B6A08" w:rsidRDefault="007B6A08" w:rsidP="004E2E02">
      <w:pPr>
        <w:pStyle w:val="NormalIndent"/>
        <w:spacing w:line="480" w:lineRule="auto"/>
        <w:ind w:left="0"/>
        <w:rPr>
          <w:color w:val="FF0000"/>
        </w:rPr>
      </w:pPr>
    </w:p>
    <w:p w14:paraId="6DB1A24D" w14:textId="77777777" w:rsidR="004E2E02" w:rsidRDefault="004E2E02" w:rsidP="0082232D">
      <w:pPr>
        <w:pStyle w:val="NormalIndent"/>
        <w:spacing w:line="480" w:lineRule="auto"/>
        <w:ind w:left="0"/>
      </w:pPr>
    </w:p>
    <w:p w14:paraId="32492B6F" w14:textId="04E1B3A8" w:rsidR="005346E4" w:rsidRDefault="00704FEC" w:rsidP="00F84D2C">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531122415"/>
      <w:r>
        <w:rPr>
          <w:rFonts w:eastAsia="Times New Roman" w:cs="Arial"/>
          <w:bCs/>
          <w:iCs/>
          <w:szCs w:val="28"/>
        </w:rPr>
        <w:t>Report Remit</w:t>
      </w:r>
      <w:bookmarkEnd w:id="3"/>
    </w:p>
    <w:p w14:paraId="61B5EABA" w14:textId="1E1737C9" w:rsidR="00F84D2C" w:rsidRDefault="00F84D2C" w:rsidP="00F84D2C"/>
    <w:p w14:paraId="7BC3D79B" w14:textId="4E9A61C6" w:rsidR="00F84D2C" w:rsidRPr="004F6192" w:rsidRDefault="004F6192" w:rsidP="00090FF1">
      <w:pPr>
        <w:tabs>
          <w:tab w:val="left" w:pos="1260"/>
        </w:tabs>
        <w:spacing w:line="240" w:lineRule="auto"/>
        <w:jc w:val="both"/>
      </w:pPr>
      <w:r>
        <w:t>The first segment of this report, discusses the way in which leases are currently distinguished and accounted for in accordance to FRS 102. The variance between operating and finance leases is explained in more detail, and how they are accounted for in the financial statements. The concept of substance over form is applied too each circumstance.</w:t>
      </w:r>
      <w:r w:rsidR="00D70A06">
        <w:t xml:space="preserve"> </w:t>
      </w:r>
      <w:r w:rsidR="002A4B17">
        <w:t xml:space="preserve"> The second segment of the report, is circled around the criticism of the current accounting standard and how this treatments conflicts with the principles of the conceptual framework of accounting. The Last segment of the report, reviews the new accoun</w:t>
      </w:r>
      <w:r w:rsidR="004D7C27">
        <w:t>ting standard IFRS 16, and how this will have an impact on the financial statements of companies.</w:t>
      </w:r>
    </w:p>
    <w:p w14:paraId="700A049F" w14:textId="38100552" w:rsidR="00F84D2C" w:rsidRPr="00090FF1" w:rsidRDefault="00F84D2C" w:rsidP="00090FF1">
      <w:pPr>
        <w:pStyle w:val="NormalIndent"/>
        <w:tabs>
          <w:tab w:val="left" w:pos="3645"/>
        </w:tabs>
        <w:spacing w:line="240" w:lineRule="auto"/>
        <w:ind w:left="0"/>
        <w:rPr>
          <w:szCs w:val="18"/>
        </w:rPr>
      </w:pPr>
    </w:p>
    <w:p w14:paraId="3C141180" w14:textId="697F4272" w:rsidR="009B20F4" w:rsidRPr="0043085E" w:rsidRDefault="0005064F" w:rsidP="00090FF1">
      <w:pPr>
        <w:pStyle w:val="Heading2"/>
        <w:keepNext/>
        <w:numPr>
          <w:ilvl w:val="1"/>
          <w:numId w:val="1"/>
        </w:numPr>
        <w:tabs>
          <w:tab w:val="num" w:pos="0"/>
          <w:tab w:val="left" w:pos="851"/>
        </w:tabs>
        <w:spacing w:after="0" w:line="240" w:lineRule="auto"/>
        <w:ind w:left="0" w:firstLine="0"/>
        <w:contextualSpacing w:val="0"/>
        <w:jc w:val="both"/>
        <w:rPr>
          <w:rFonts w:eastAsia="Times New Roman" w:cs="Arial"/>
          <w:bCs/>
          <w:iCs/>
          <w:szCs w:val="28"/>
        </w:rPr>
      </w:pPr>
      <w:bookmarkStart w:id="4" w:name="_Toc531122416"/>
      <w:r>
        <w:rPr>
          <w:rFonts w:eastAsia="Times New Roman" w:cs="Arial"/>
          <w:bCs/>
          <w:iCs/>
          <w:szCs w:val="28"/>
        </w:rPr>
        <w:t>Leases in frs 102</w:t>
      </w:r>
      <w:bookmarkEnd w:id="4"/>
    </w:p>
    <w:p w14:paraId="70946FF6" w14:textId="77777777" w:rsidR="002103CB" w:rsidRPr="00562618" w:rsidRDefault="002103CB" w:rsidP="00090FF1">
      <w:pPr>
        <w:pStyle w:val="NormalIndent"/>
        <w:spacing w:line="240" w:lineRule="auto"/>
        <w:ind w:left="0"/>
        <w:rPr>
          <w:rFonts w:asciiTheme="minorHAnsi" w:hAnsiTheme="minorHAnsi" w:cstheme="minorHAnsi"/>
          <w:sz w:val="22"/>
        </w:rPr>
      </w:pPr>
    </w:p>
    <w:p w14:paraId="7D815A45" w14:textId="17A8EE2A" w:rsidR="00322839" w:rsidRDefault="002103CB" w:rsidP="00090FF1">
      <w:pPr>
        <w:pStyle w:val="NormalIndent"/>
        <w:spacing w:line="240" w:lineRule="auto"/>
        <w:ind w:left="0"/>
        <w:rPr>
          <w:rFonts w:asciiTheme="minorHAnsi" w:hAnsiTheme="minorHAnsi" w:cstheme="minorHAnsi"/>
          <w:sz w:val="22"/>
        </w:rPr>
      </w:pPr>
      <w:r w:rsidRPr="00562618">
        <w:rPr>
          <w:rFonts w:asciiTheme="minorHAnsi" w:hAnsiTheme="minorHAnsi" w:cstheme="minorHAnsi"/>
          <w:sz w:val="22"/>
        </w:rPr>
        <w:t xml:space="preserve">FRS 102, is the new General Accepted </w:t>
      </w:r>
      <w:r w:rsidRPr="00562618">
        <w:rPr>
          <w:rFonts w:asciiTheme="minorHAnsi" w:hAnsiTheme="minorHAnsi" w:cstheme="minorHAnsi"/>
          <w:noProof/>
          <w:sz w:val="22"/>
        </w:rPr>
        <w:t>Accouting</w:t>
      </w:r>
      <w:r w:rsidRPr="00562618">
        <w:rPr>
          <w:rFonts w:asciiTheme="minorHAnsi" w:hAnsiTheme="minorHAnsi" w:cstheme="minorHAnsi"/>
          <w:sz w:val="22"/>
        </w:rPr>
        <w:t xml:space="preserve"> </w:t>
      </w:r>
      <w:r w:rsidRPr="00562618">
        <w:rPr>
          <w:rFonts w:asciiTheme="minorHAnsi" w:hAnsiTheme="minorHAnsi" w:cstheme="minorHAnsi"/>
          <w:noProof/>
          <w:sz w:val="22"/>
        </w:rPr>
        <w:t>Practicse “GAAP”</w:t>
      </w:r>
      <w:r w:rsidRPr="00562618">
        <w:rPr>
          <w:rFonts w:asciiTheme="minorHAnsi" w:hAnsiTheme="minorHAnsi" w:cstheme="minorHAnsi"/>
          <w:sz w:val="22"/>
        </w:rPr>
        <w:t xml:space="preserve"> That was brought into stroke to replace the old GAAP in January 2015, it is the leading accounting </w:t>
      </w:r>
      <w:r w:rsidRPr="00562618">
        <w:rPr>
          <w:rFonts w:asciiTheme="minorHAnsi" w:hAnsiTheme="minorHAnsi" w:cstheme="minorHAnsi"/>
          <w:noProof/>
          <w:sz w:val="22"/>
        </w:rPr>
        <w:t>practise</w:t>
      </w:r>
      <w:r w:rsidRPr="00562618">
        <w:rPr>
          <w:rFonts w:asciiTheme="minorHAnsi" w:hAnsiTheme="minorHAnsi" w:cstheme="minorHAnsi"/>
          <w:sz w:val="22"/>
        </w:rPr>
        <w:t xml:space="preserve"> for the Republic of </w:t>
      </w:r>
      <w:r w:rsidRPr="00562618">
        <w:rPr>
          <w:rFonts w:asciiTheme="minorHAnsi" w:hAnsiTheme="minorHAnsi" w:cstheme="minorHAnsi"/>
          <w:noProof/>
          <w:sz w:val="22"/>
        </w:rPr>
        <w:t>Ireland,</w:t>
      </w:r>
      <w:r w:rsidRPr="00562618">
        <w:rPr>
          <w:rFonts w:asciiTheme="minorHAnsi" w:hAnsiTheme="minorHAnsi" w:cstheme="minorHAnsi"/>
          <w:sz w:val="22"/>
        </w:rPr>
        <w:t xml:space="preserve"> and the UK. </w:t>
      </w:r>
      <w:r w:rsidR="00B0556E" w:rsidRPr="00562618">
        <w:rPr>
          <w:rFonts w:asciiTheme="minorHAnsi" w:hAnsiTheme="minorHAnsi" w:cstheme="minorHAnsi"/>
          <w:sz w:val="22"/>
        </w:rPr>
        <w:t xml:space="preserve">FRS 102, fetches some prominent changes to the way in which lease transactions are accounted for, nonetheless the theory for finance and operating leases remains the same (Collins,2016) </w:t>
      </w:r>
      <w:r w:rsidR="002C5CB1" w:rsidRPr="00562618">
        <w:rPr>
          <w:rFonts w:asciiTheme="minorHAnsi" w:hAnsiTheme="minorHAnsi" w:cstheme="minorHAnsi"/>
          <w:sz w:val="22"/>
        </w:rPr>
        <w:t xml:space="preserve">Leasing is </w:t>
      </w:r>
      <w:r w:rsidR="0071097B" w:rsidRPr="00562618">
        <w:rPr>
          <w:rFonts w:asciiTheme="minorHAnsi" w:hAnsiTheme="minorHAnsi" w:cstheme="minorHAnsi"/>
          <w:sz w:val="22"/>
        </w:rPr>
        <w:t>expounded with</w:t>
      </w:r>
      <w:r w:rsidR="002C5CB1" w:rsidRPr="00562618">
        <w:rPr>
          <w:rFonts w:asciiTheme="minorHAnsi" w:hAnsiTheme="minorHAnsi" w:cstheme="minorHAnsi"/>
          <w:sz w:val="22"/>
        </w:rPr>
        <w:t>in Section 20 of FRS 102</w:t>
      </w:r>
      <w:r w:rsidR="0071097B" w:rsidRPr="00562618">
        <w:rPr>
          <w:rFonts w:asciiTheme="minorHAnsi" w:hAnsiTheme="minorHAnsi" w:cstheme="minorHAnsi"/>
          <w:sz w:val="22"/>
        </w:rPr>
        <w:t>. The</w:t>
      </w:r>
      <w:r w:rsidR="007940C2" w:rsidRPr="00562618">
        <w:rPr>
          <w:rFonts w:asciiTheme="minorHAnsi" w:hAnsiTheme="minorHAnsi" w:cstheme="minorHAnsi"/>
          <w:sz w:val="22"/>
        </w:rPr>
        <w:t>re are a few</w:t>
      </w:r>
      <w:r w:rsidR="0071097B" w:rsidRPr="00562618">
        <w:rPr>
          <w:rFonts w:asciiTheme="minorHAnsi" w:hAnsiTheme="minorHAnsi" w:cstheme="minorHAnsi"/>
          <w:sz w:val="22"/>
        </w:rPr>
        <w:t xml:space="preserve"> accounting for leases that are not covered in FRS 102</w:t>
      </w:r>
      <w:r w:rsidR="007940C2" w:rsidRPr="00562618">
        <w:rPr>
          <w:rFonts w:asciiTheme="minorHAnsi" w:hAnsiTheme="minorHAnsi" w:cstheme="minorHAnsi"/>
          <w:sz w:val="22"/>
        </w:rPr>
        <w:t>. The distinguished few that are not accounted for are</w:t>
      </w:r>
      <w:r w:rsidR="00B63C4B" w:rsidRPr="00562618">
        <w:rPr>
          <w:rFonts w:asciiTheme="minorHAnsi" w:hAnsiTheme="minorHAnsi" w:cstheme="minorHAnsi"/>
          <w:sz w:val="22"/>
        </w:rPr>
        <w:t>, leases</w:t>
      </w:r>
      <w:r w:rsidR="0071097B" w:rsidRPr="00562618">
        <w:rPr>
          <w:rFonts w:asciiTheme="minorHAnsi" w:hAnsiTheme="minorHAnsi" w:cstheme="minorHAnsi"/>
          <w:sz w:val="22"/>
        </w:rPr>
        <w:t xml:space="preserve"> for licensing agreements for instance</w:t>
      </w:r>
      <w:r w:rsidR="007940C2" w:rsidRPr="00562618">
        <w:rPr>
          <w:rFonts w:asciiTheme="minorHAnsi" w:hAnsiTheme="minorHAnsi" w:cstheme="minorHAnsi"/>
          <w:sz w:val="22"/>
        </w:rPr>
        <w:t xml:space="preserve"> the</w:t>
      </w:r>
      <w:r w:rsidR="0071097B" w:rsidRPr="00562618">
        <w:rPr>
          <w:rFonts w:asciiTheme="minorHAnsi" w:hAnsiTheme="minorHAnsi" w:cstheme="minorHAnsi"/>
          <w:sz w:val="22"/>
        </w:rPr>
        <w:t xml:space="preserve"> </w:t>
      </w:r>
      <w:r w:rsidR="007940C2" w:rsidRPr="00090FF1">
        <w:rPr>
          <w:rFonts w:asciiTheme="minorHAnsi" w:hAnsiTheme="minorHAnsi" w:cstheme="minorHAnsi"/>
          <w:sz w:val="22"/>
        </w:rPr>
        <w:t>matters</w:t>
      </w:r>
      <w:r w:rsidR="007940C2" w:rsidRPr="00562618">
        <w:rPr>
          <w:rFonts w:asciiTheme="minorHAnsi" w:hAnsiTheme="minorHAnsi" w:cstheme="minorHAnsi"/>
          <w:sz w:val="22"/>
        </w:rPr>
        <w:t xml:space="preserve"> of,</w:t>
      </w:r>
      <w:r w:rsidR="0071097B" w:rsidRPr="00562618">
        <w:rPr>
          <w:rFonts w:asciiTheme="minorHAnsi" w:hAnsiTheme="minorHAnsi" w:cstheme="minorHAnsi"/>
          <w:sz w:val="22"/>
        </w:rPr>
        <w:t xml:space="preserve"> motion picture films, manuscripts</w:t>
      </w:r>
      <w:r w:rsidR="005907A4" w:rsidRPr="00562618">
        <w:rPr>
          <w:rFonts w:asciiTheme="minorHAnsi" w:hAnsiTheme="minorHAnsi" w:cstheme="minorHAnsi"/>
          <w:sz w:val="22"/>
        </w:rPr>
        <w:t>, and copyright agreements.</w:t>
      </w:r>
      <w:r w:rsidR="007940C2" w:rsidRPr="00562618">
        <w:rPr>
          <w:rFonts w:asciiTheme="minorHAnsi" w:hAnsiTheme="minorHAnsi" w:cstheme="minorHAnsi"/>
          <w:sz w:val="22"/>
        </w:rPr>
        <w:t xml:space="preserve"> The extent of property held by lesses assets that are held by the lessees, regarded as </w:t>
      </w:r>
      <w:r w:rsidR="00B63C4B" w:rsidRPr="00562618">
        <w:rPr>
          <w:rFonts w:asciiTheme="minorHAnsi" w:hAnsiTheme="minorHAnsi" w:cstheme="minorHAnsi"/>
          <w:sz w:val="22"/>
        </w:rPr>
        <w:t>a property investment is</w:t>
      </w:r>
      <w:r w:rsidR="007940C2" w:rsidRPr="00562618">
        <w:rPr>
          <w:rFonts w:asciiTheme="minorHAnsi" w:hAnsiTheme="minorHAnsi" w:cstheme="minorHAnsi"/>
          <w:sz w:val="22"/>
        </w:rPr>
        <w:t xml:space="preserve"> not accounted for.</w:t>
      </w:r>
      <w:r w:rsidR="00B63C4B" w:rsidRPr="00562618">
        <w:rPr>
          <w:rFonts w:asciiTheme="minorHAnsi" w:hAnsiTheme="minorHAnsi" w:cstheme="minorHAnsi"/>
          <w:sz w:val="22"/>
        </w:rPr>
        <w:t xml:space="preserve"> Leases that measure biological assets</w:t>
      </w:r>
      <w:r w:rsidR="007B0E17" w:rsidRPr="00562618">
        <w:rPr>
          <w:rFonts w:asciiTheme="minorHAnsi" w:hAnsiTheme="minorHAnsi" w:cstheme="minorHAnsi"/>
          <w:sz w:val="22"/>
        </w:rPr>
        <w:t xml:space="preserve"> that are seized by lessees for finance leases are not accounted </w:t>
      </w:r>
      <w:r w:rsidR="004B17D9" w:rsidRPr="00562618">
        <w:rPr>
          <w:rFonts w:asciiTheme="minorHAnsi" w:hAnsiTheme="minorHAnsi" w:cstheme="minorHAnsi"/>
          <w:sz w:val="22"/>
        </w:rPr>
        <w:t>for;</w:t>
      </w:r>
      <w:r w:rsidR="007B0E17" w:rsidRPr="00562618">
        <w:rPr>
          <w:rFonts w:asciiTheme="minorHAnsi" w:hAnsiTheme="minorHAnsi" w:cstheme="minorHAnsi"/>
          <w:sz w:val="22"/>
        </w:rPr>
        <w:t xml:space="preserve"> correspondingly biological assets that are provided by lessors for operating leases are not accounted for.</w:t>
      </w:r>
      <w:r w:rsidR="004B17D9" w:rsidRPr="00562618">
        <w:rPr>
          <w:rFonts w:asciiTheme="minorHAnsi" w:hAnsiTheme="minorHAnsi" w:cstheme="minorHAnsi"/>
          <w:sz w:val="22"/>
        </w:rPr>
        <w:t xml:space="preserve"> Leases that have the potential to create a loss to the lessor or lessee due to unusual </w:t>
      </w:r>
      <w:r w:rsidR="00402FEF" w:rsidRPr="00562618">
        <w:rPr>
          <w:rFonts w:asciiTheme="minorHAnsi" w:hAnsiTheme="minorHAnsi" w:cstheme="minorHAnsi"/>
          <w:sz w:val="22"/>
        </w:rPr>
        <w:t>pledged</w:t>
      </w:r>
      <w:r w:rsidR="004B17D9" w:rsidRPr="00562618">
        <w:rPr>
          <w:rFonts w:asciiTheme="minorHAnsi" w:hAnsiTheme="minorHAnsi" w:cstheme="minorHAnsi"/>
          <w:sz w:val="22"/>
        </w:rPr>
        <w:t xml:space="preserve"> terms</w:t>
      </w:r>
      <w:r w:rsidR="00402FEF" w:rsidRPr="00562618">
        <w:rPr>
          <w:rFonts w:asciiTheme="minorHAnsi" w:hAnsiTheme="minorHAnsi" w:cstheme="minorHAnsi"/>
          <w:sz w:val="22"/>
        </w:rPr>
        <w:t xml:space="preserve"> are not recognised.</w:t>
      </w:r>
      <w:r w:rsidR="00D070DD" w:rsidRPr="00562618">
        <w:rPr>
          <w:rFonts w:asciiTheme="minorHAnsi" w:hAnsiTheme="minorHAnsi" w:cstheme="minorHAnsi"/>
          <w:sz w:val="22"/>
        </w:rPr>
        <w:t xml:space="preserve"> Lastly, leases that are granted to a lessee to </w:t>
      </w:r>
      <w:r w:rsidR="002D1EEE" w:rsidRPr="00562618">
        <w:rPr>
          <w:rFonts w:asciiTheme="minorHAnsi" w:hAnsiTheme="minorHAnsi" w:cstheme="minorHAnsi"/>
          <w:sz w:val="22"/>
        </w:rPr>
        <w:t>allow them to use or to explore for, oil, minerals, natural gas and related resources that are not regenerable</w:t>
      </w:r>
      <w:r w:rsidR="003361F6" w:rsidRPr="00562618">
        <w:rPr>
          <w:rFonts w:asciiTheme="minorHAnsi" w:hAnsiTheme="minorHAnsi" w:cstheme="minorHAnsi"/>
          <w:sz w:val="22"/>
        </w:rPr>
        <w:t>. (</w:t>
      </w:r>
      <w:r w:rsidR="00905320" w:rsidRPr="00562618">
        <w:rPr>
          <w:rFonts w:asciiTheme="minorHAnsi" w:hAnsiTheme="minorHAnsi" w:cstheme="minorHAnsi"/>
          <w:sz w:val="22"/>
        </w:rPr>
        <w:t>Collins, 2015, pp321)</w:t>
      </w:r>
    </w:p>
    <w:p w14:paraId="46C57303" w14:textId="3A140336" w:rsidR="003B7C17" w:rsidRDefault="003B7C17" w:rsidP="00090FF1">
      <w:pPr>
        <w:pStyle w:val="NormalIndent"/>
        <w:spacing w:line="240" w:lineRule="auto"/>
        <w:ind w:left="0"/>
        <w:rPr>
          <w:rFonts w:asciiTheme="minorHAnsi" w:hAnsiTheme="minorHAnsi" w:cstheme="minorHAnsi"/>
          <w:sz w:val="22"/>
        </w:rPr>
      </w:pPr>
    </w:p>
    <w:p w14:paraId="09861302" w14:textId="7FF894B8" w:rsidR="00C7025F" w:rsidRDefault="004651B9" w:rsidP="00090FF1">
      <w:pPr>
        <w:pStyle w:val="NormalIndent"/>
        <w:spacing w:line="240" w:lineRule="auto"/>
        <w:ind w:left="0"/>
        <w:rPr>
          <w:rFonts w:asciiTheme="minorHAnsi" w:hAnsiTheme="minorHAnsi" w:cstheme="minorHAnsi"/>
          <w:sz w:val="22"/>
        </w:rPr>
      </w:pPr>
      <w:r>
        <w:rPr>
          <w:rFonts w:asciiTheme="minorHAnsi" w:hAnsiTheme="minorHAnsi" w:cstheme="minorHAnsi"/>
          <w:sz w:val="22"/>
        </w:rPr>
        <w:t xml:space="preserve">A finance lease is a type of lease, in which the finance company is the owner of the asset during the lease, however the lessee has effective control over the asset and also shares the economic risks of the asset. </w:t>
      </w:r>
      <w:proofErr w:type="gramStart"/>
      <w:r>
        <w:rPr>
          <w:rFonts w:asciiTheme="minorHAnsi" w:hAnsiTheme="minorHAnsi" w:cstheme="minorHAnsi"/>
          <w:sz w:val="22"/>
        </w:rPr>
        <w:t>A</w:t>
      </w:r>
      <w:proofErr w:type="gramEnd"/>
      <w:r>
        <w:rPr>
          <w:rFonts w:asciiTheme="minorHAnsi" w:hAnsiTheme="minorHAnsi" w:cstheme="minorHAnsi"/>
          <w:sz w:val="22"/>
        </w:rPr>
        <w:t xml:space="preserve"> Operating lease, </w:t>
      </w:r>
      <w:r w:rsidR="00C7025F">
        <w:rPr>
          <w:rFonts w:asciiTheme="minorHAnsi" w:hAnsiTheme="minorHAnsi" w:cstheme="minorHAnsi"/>
          <w:sz w:val="22"/>
        </w:rPr>
        <w:t>is a type of lease where the lessor, allows the lessee to operate an asset, for a specific period shorter than the economic life of the asset, without transferring any ownership rights. (</w:t>
      </w:r>
      <w:r w:rsidR="00B53931">
        <w:rPr>
          <w:rFonts w:asciiTheme="minorHAnsi" w:hAnsiTheme="minorHAnsi" w:cstheme="minorHAnsi"/>
          <w:sz w:val="22"/>
        </w:rPr>
        <w:t>Dawson</w:t>
      </w:r>
      <w:r w:rsidR="00C7025F">
        <w:rPr>
          <w:rFonts w:asciiTheme="minorHAnsi" w:hAnsiTheme="minorHAnsi" w:cstheme="minorHAnsi"/>
          <w:sz w:val="22"/>
        </w:rPr>
        <w:t>, 2013)</w:t>
      </w:r>
    </w:p>
    <w:p w14:paraId="2CCC0589" w14:textId="7793FC67" w:rsidR="003B7C17" w:rsidRDefault="00D25BB5" w:rsidP="00090FF1">
      <w:pPr>
        <w:pStyle w:val="NormalIndent"/>
        <w:spacing w:line="240" w:lineRule="auto"/>
        <w:ind w:left="0"/>
        <w:rPr>
          <w:rFonts w:asciiTheme="minorHAnsi" w:hAnsiTheme="minorHAnsi" w:cstheme="minorHAnsi"/>
          <w:sz w:val="22"/>
        </w:rPr>
      </w:pPr>
      <w:r>
        <w:rPr>
          <w:rFonts w:asciiTheme="minorHAnsi" w:hAnsiTheme="minorHAnsi" w:cstheme="minorHAnsi"/>
          <w:sz w:val="22"/>
        </w:rPr>
        <w:t>A Finance lease</w:t>
      </w:r>
      <w:r w:rsidR="003B7C17">
        <w:rPr>
          <w:rFonts w:asciiTheme="minorHAnsi" w:hAnsiTheme="minorHAnsi" w:cstheme="minorHAnsi"/>
          <w:sz w:val="22"/>
        </w:rPr>
        <w:t xml:space="preserve"> is a system that </w:t>
      </w:r>
      <w:r>
        <w:rPr>
          <w:rFonts w:asciiTheme="minorHAnsi" w:hAnsiTheme="minorHAnsi" w:cstheme="minorHAnsi"/>
          <w:sz w:val="22"/>
        </w:rPr>
        <w:t>makes</w:t>
      </w:r>
      <w:r w:rsidR="003B7C17">
        <w:rPr>
          <w:rFonts w:asciiTheme="minorHAnsi" w:hAnsiTheme="minorHAnsi" w:cstheme="minorHAnsi"/>
          <w:sz w:val="22"/>
        </w:rPr>
        <w:t xml:space="preserve"> finance</w:t>
      </w:r>
      <w:r>
        <w:rPr>
          <w:rFonts w:asciiTheme="minorHAnsi" w:hAnsiTheme="minorHAnsi" w:cstheme="minorHAnsi"/>
          <w:sz w:val="22"/>
        </w:rPr>
        <w:t xml:space="preserve"> available</w:t>
      </w:r>
      <w:r w:rsidR="003B7C17">
        <w:rPr>
          <w:rFonts w:asciiTheme="minorHAnsi" w:hAnsiTheme="minorHAnsi" w:cstheme="minorHAnsi"/>
          <w:sz w:val="22"/>
        </w:rPr>
        <w:t xml:space="preserve">, </w:t>
      </w:r>
      <w:r>
        <w:rPr>
          <w:rFonts w:asciiTheme="minorHAnsi" w:hAnsiTheme="minorHAnsi" w:cstheme="minorHAnsi"/>
          <w:sz w:val="22"/>
        </w:rPr>
        <w:t>commendably a company being the lessor, that buys a specific asset, for a user, known as the lessee or hirer, and in opportunity rents the asset to them for an approved period. In difference, an operating lease does not considerably transfer all of the risks and rewards that come with the ownership to the lessee. It will</w:t>
      </w:r>
      <w:r w:rsidR="00FF5C33">
        <w:rPr>
          <w:rFonts w:asciiTheme="minorHAnsi" w:hAnsiTheme="minorHAnsi" w:cstheme="minorHAnsi"/>
          <w:sz w:val="22"/>
        </w:rPr>
        <w:t xml:space="preserve"> usually, continue for less the economic half-life of the asset and then would resell the asset at the end of the lease. (</w:t>
      </w:r>
      <w:proofErr w:type="spellStart"/>
      <w:r w:rsidR="00FF5C33">
        <w:rPr>
          <w:rFonts w:asciiTheme="minorHAnsi" w:hAnsiTheme="minorHAnsi" w:cstheme="minorHAnsi"/>
          <w:sz w:val="22"/>
        </w:rPr>
        <w:t>Beeby</w:t>
      </w:r>
      <w:proofErr w:type="spellEnd"/>
      <w:r w:rsidR="00FF5C33">
        <w:rPr>
          <w:rFonts w:asciiTheme="minorHAnsi" w:hAnsiTheme="minorHAnsi" w:cstheme="minorHAnsi"/>
          <w:sz w:val="22"/>
        </w:rPr>
        <w:t>, 2015)</w:t>
      </w:r>
    </w:p>
    <w:p w14:paraId="1B1D87CC" w14:textId="57056893" w:rsidR="001F7986" w:rsidRDefault="001F7986" w:rsidP="00090FF1">
      <w:pPr>
        <w:pStyle w:val="NormalIndent"/>
        <w:spacing w:line="240" w:lineRule="auto"/>
        <w:ind w:left="0"/>
        <w:rPr>
          <w:rFonts w:asciiTheme="minorHAnsi" w:hAnsiTheme="minorHAnsi" w:cstheme="minorHAnsi"/>
          <w:sz w:val="22"/>
        </w:rPr>
      </w:pPr>
    </w:p>
    <w:p w14:paraId="3BB9363F" w14:textId="11E8DDC6" w:rsidR="000406D8" w:rsidRPr="00562618" w:rsidRDefault="00752277" w:rsidP="00090FF1">
      <w:pPr>
        <w:pStyle w:val="NormalIndent"/>
        <w:spacing w:line="240" w:lineRule="auto"/>
        <w:ind w:left="0"/>
        <w:rPr>
          <w:rFonts w:asciiTheme="minorHAnsi" w:hAnsiTheme="minorHAnsi" w:cstheme="minorHAnsi"/>
          <w:sz w:val="22"/>
        </w:rPr>
      </w:pPr>
      <w:r w:rsidRPr="00562618">
        <w:rPr>
          <w:rFonts w:asciiTheme="minorHAnsi" w:hAnsiTheme="minorHAnsi" w:cstheme="minorHAnsi"/>
          <w:sz w:val="22"/>
        </w:rPr>
        <w:t>The least classification is based on a risk and rewards approach, consequently if the risk and rewards of the ownership of the asset appointed to the lease remains with the lessor, the lease is considered as an operating lease. However, if the risk and rewards of the lease transfer from the lessor to the lessee, the lease is considered as a finance lease.</w:t>
      </w:r>
      <w:r w:rsidR="00F603DF" w:rsidRPr="00562618">
        <w:rPr>
          <w:rFonts w:asciiTheme="minorHAnsi" w:hAnsiTheme="minorHAnsi" w:cstheme="minorHAnsi"/>
          <w:sz w:val="22"/>
        </w:rPr>
        <w:t xml:space="preserve"> (O’Neill, 2016) The asset for the lessee will then be produced on the company’s balance sheet with a conforming finance lease creditor. This is due </w:t>
      </w:r>
      <w:r w:rsidR="00737B07" w:rsidRPr="00562618">
        <w:rPr>
          <w:rFonts w:asciiTheme="minorHAnsi" w:hAnsiTheme="minorHAnsi" w:cstheme="minorHAnsi"/>
          <w:sz w:val="22"/>
        </w:rPr>
        <w:t>to;</w:t>
      </w:r>
      <w:r w:rsidR="00F603DF" w:rsidRPr="00562618">
        <w:rPr>
          <w:rFonts w:asciiTheme="minorHAnsi" w:hAnsiTheme="minorHAnsi" w:cstheme="minorHAnsi"/>
          <w:sz w:val="22"/>
        </w:rPr>
        <w:t xml:space="preserve"> in essence the lessee has </w:t>
      </w:r>
      <w:r w:rsidR="00D917C2" w:rsidRPr="00562618">
        <w:rPr>
          <w:rFonts w:asciiTheme="minorHAnsi" w:hAnsiTheme="minorHAnsi" w:cstheme="minorHAnsi"/>
          <w:sz w:val="22"/>
        </w:rPr>
        <w:t>gained an asset through a leasing transaction.</w:t>
      </w:r>
      <w:r w:rsidR="0027087B" w:rsidRPr="00562618">
        <w:rPr>
          <w:rFonts w:asciiTheme="minorHAnsi" w:hAnsiTheme="minorHAnsi" w:cstheme="minorHAnsi"/>
          <w:sz w:val="22"/>
        </w:rPr>
        <w:t xml:space="preserve"> (Collins, 2016)</w:t>
      </w:r>
      <w:r w:rsidR="0083451E" w:rsidRPr="00562618">
        <w:rPr>
          <w:rFonts w:asciiTheme="minorHAnsi" w:hAnsiTheme="minorHAnsi" w:cstheme="minorHAnsi"/>
          <w:sz w:val="22"/>
        </w:rPr>
        <w:t xml:space="preserve"> Additionally, this comes into line with the </w:t>
      </w:r>
      <w:r w:rsidR="00737B07" w:rsidRPr="00562618">
        <w:rPr>
          <w:rFonts w:asciiTheme="minorHAnsi" w:hAnsiTheme="minorHAnsi" w:cstheme="minorHAnsi"/>
          <w:sz w:val="22"/>
        </w:rPr>
        <w:t>principle of substance over form, which ensures that financial statements give a comprehensive picture of events, to present a true and fair view of matters. (Majid, 2016) for example when the risk and rewards are transferred from the lessor too lessee, in substance the lessee gains an asset, and it is documente</w:t>
      </w:r>
      <w:r w:rsidR="000F1155">
        <w:rPr>
          <w:rFonts w:asciiTheme="minorHAnsi" w:hAnsiTheme="minorHAnsi" w:cstheme="minorHAnsi"/>
          <w:sz w:val="22"/>
        </w:rPr>
        <w:t xml:space="preserve">d on the financial statements. An operating lease is an agreement that allows the use of an asset but does not transfer the rights of ownership, to the lessee. An operating lease shows an off-balance sheet finance of assets, where a leased asset and its liabilities of future rent payments </w:t>
      </w:r>
      <w:r w:rsidR="00090FF1">
        <w:rPr>
          <w:rFonts w:asciiTheme="minorHAnsi" w:hAnsiTheme="minorHAnsi" w:cstheme="minorHAnsi"/>
          <w:sz w:val="22"/>
        </w:rPr>
        <w:t>is</w:t>
      </w:r>
      <w:r w:rsidR="000F1155">
        <w:rPr>
          <w:rFonts w:asciiTheme="minorHAnsi" w:hAnsiTheme="minorHAnsi" w:cstheme="minorHAnsi"/>
          <w:sz w:val="22"/>
        </w:rPr>
        <w:t xml:space="preserve"> not contained within the balance sheet of a company. (</w:t>
      </w:r>
      <w:r w:rsidR="00FC5FD0">
        <w:rPr>
          <w:rFonts w:asciiTheme="minorHAnsi" w:hAnsiTheme="minorHAnsi" w:cstheme="minorHAnsi"/>
          <w:sz w:val="22"/>
        </w:rPr>
        <w:t>CPI</w:t>
      </w:r>
      <w:r w:rsidR="000F1155">
        <w:rPr>
          <w:rFonts w:asciiTheme="minorHAnsi" w:hAnsiTheme="minorHAnsi" w:cstheme="minorHAnsi"/>
          <w:sz w:val="22"/>
        </w:rPr>
        <w:t>, 2018)</w:t>
      </w:r>
      <w:r w:rsidR="00455245">
        <w:rPr>
          <w:rFonts w:asciiTheme="minorHAnsi" w:hAnsiTheme="minorHAnsi" w:cstheme="minorHAnsi"/>
          <w:sz w:val="22"/>
        </w:rPr>
        <w:t xml:space="preserve"> Substance over form, also applies to operating leases in the concept that a company has leased a car for three years, the car has an estimated life of five years, with a fair value of 20, 000. The annual fees of the lease were 4000, if this was to be accounted for five months </w:t>
      </w:r>
      <w:r w:rsidR="00180303">
        <w:rPr>
          <w:rFonts w:asciiTheme="minorHAnsi" w:hAnsiTheme="minorHAnsi" w:cstheme="minorHAnsi"/>
          <w:sz w:val="22"/>
        </w:rPr>
        <w:t>on;</w:t>
      </w:r>
      <w:r w:rsidR="00455245">
        <w:rPr>
          <w:rFonts w:asciiTheme="minorHAnsi" w:hAnsiTheme="minorHAnsi" w:cstheme="minorHAnsi"/>
          <w:sz w:val="22"/>
        </w:rPr>
        <w:t xml:space="preserve"> the company that has leased the car has not used the car for its economic life and have the right to argue that they receive any rewards from the course. The annual fees of the car would be lower than the fair value price of the car.</w:t>
      </w:r>
    </w:p>
    <w:p w14:paraId="19CDA98C" w14:textId="77777777" w:rsidR="003361F6" w:rsidRDefault="003361F6" w:rsidP="00090FF1">
      <w:pPr>
        <w:pStyle w:val="NormalIndent"/>
        <w:spacing w:line="240" w:lineRule="auto"/>
        <w:ind w:left="0"/>
        <w:rPr>
          <w:rFonts w:asciiTheme="minorHAnsi" w:hAnsiTheme="minorHAnsi" w:cstheme="minorHAnsi"/>
        </w:rPr>
      </w:pPr>
    </w:p>
    <w:p w14:paraId="66710D9D" w14:textId="77777777" w:rsidR="00322839" w:rsidRDefault="00322839" w:rsidP="00090FF1">
      <w:pPr>
        <w:pStyle w:val="NormalIndent"/>
        <w:spacing w:line="240" w:lineRule="auto"/>
        <w:ind w:left="0"/>
      </w:pPr>
    </w:p>
    <w:p w14:paraId="6DB62D0A" w14:textId="5ED7F2C7" w:rsidR="0005064F" w:rsidRDefault="0005064F" w:rsidP="00090FF1">
      <w:pPr>
        <w:pStyle w:val="Heading2"/>
        <w:keepNext/>
        <w:numPr>
          <w:ilvl w:val="1"/>
          <w:numId w:val="1"/>
        </w:numPr>
        <w:tabs>
          <w:tab w:val="num" w:pos="0"/>
          <w:tab w:val="left" w:pos="851"/>
        </w:tabs>
        <w:spacing w:after="0" w:line="240" w:lineRule="auto"/>
        <w:ind w:left="0" w:firstLine="0"/>
        <w:contextualSpacing w:val="0"/>
        <w:jc w:val="both"/>
        <w:rPr>
          <w:rFonts w:eastAsia="Times New Roman" w:cs="Arial"/>
          <w:bCs/>
          <w:iCs/>
          <w:szCs w:val="28"/>
        </w:rPr>
      </w:pPr>
      <w:bookmarkStart w:id="5" w:name="_Toc531116024"/>
      <w:bookmarkStart w:id="6" w:name="_Toc531122417"/>
      <w:r>
        <w:rPr>
          <w:rFonts w:eastAsia="Times New Roman" w:cs="Arial"/>
          <w:bCs/>
          <w:iCs/>
          <w:szCs w:val="28"/>
        </w:rPr>
        <w:t>criticism of the current accounting standard</w:t>
      </w:r>
      <w:bookmarkEnd w:id="5"/>
      <w:bookmarkEnd w:id="6"/>
      <w:r w:rsidR="006E3078">
        <w:rPr>
          <w:rFonts w:eastAsia="Times New Roman" w:cs="Arial"/>
          <w:bCs/>
          <w:iCs/>
          <w:szCs w:val="28"/>
        </w:rPr>
        <w:t xml:space="preserve"> </w:t>
      </w:r>
      <w:r w:rsidR="00131111">
        <w:rPr>
          <w:rFonts w:eastAsia="Times New Roman" w:cs="Arial"/>
          <w:bCs/>
          <w:iCs/>
          <w:szCs w:val="28"/>
        </w:rPr>
        <w:t>– IAS 17</w:t>
      </w:r>
    </w:p>
    <w:p w14:paraId="49E90F3F" w14:textId="633C12BA" w:rsidR="006E3078" w:rsidRDefault="006E3078" w:rsidP="00090FF1">
      <w:pPr>
        <w:spacing w:line="240" w:lineRule="auto"/>
        <w:jc w:val="both"/>
      </w:pPr>
    </w:p>
    <w:p w14:paraId="078B8A9B" w14:textId="60A6F5BB" w:rsidR="001012B6" w:rsidRDefault="006E3078" w:rsidP="00090FF1">
      <w:pPr>
        <w:spacing w:line="240" w:lineRule="auto"/>
        <w:jc w:val="both"/>
      </w:pPr>
      <w:r>
        <w:t xml:space="preserve">The current accounting standard is instigating quite a disturbance within the accounting profession, there are many arising critiques of the current standard, and many people are urging the UK government to </w:t>
      </w:r>
      <w:r w:rsidR="00B642E4">
        <w:t>revolutionize the standard. (William, 2015)</w:t>
      </w:r>
      <w:r w:rsidR="000406D8">
        <w:t xml:space="preserve"> IFRS 16 is the new revolutionized standard that will replace IAS 17, commencing periods after January 2019. </w:t>
      </w:r>
      <w:r w:rsidR="00150C41">
        <w:t>Under the current accounting standard, lessees are obliged to categorise the lease as either a finance lease or operating lease.</w:t>
      </w:r>
      <w:r w:rsidR="00AF2165">
        <w:t xml:space="preserve">  The main criticisms of the standard </w:t>
      </w:r>
      <w:r w:rsidR="00BA1F00">
        <w:t>arise</w:t>
      </w:r>
      <w:r w:rsidR="00AF2165">
        <w:t xml:space="preserve"> from, </w:t>
      </w:r>
      <w:r w:rsidR="00BA1F00">
        <w:t>the subjective off balance sheet treatment of operating leases by lessees.</w:t>
      </w:r>
      <w:r w:rsidR="00D17D77">
        <w:t xml:space="preserve"> In IAS 17, leases that were classified as operating lease, inevitably </w:t>
      </w:r>
      <w:r w:rsidR="00AF2165">
        <w:t xml:space="preserve">lessees would </w:t>
      </w:r>
      <w:r w:rsidR="00D17D77">
        <w:t>show</w:t>
      </w:r>
      <w:r w:rsidR="00AF2165">
        <w:t xml:space="preserve"> </w:t>
      </w:r>
      <w:r w:rsidR="00D17D77">
        <w:t>neither asset nor</w:t>
      </w:r>
      <w:r w:rsidR="00AF2165">
        <w:t xml:space="preserve"> a liability in the balance </w:t>
      </w:r>
      <w:r w:rsidR="00D17D77">
        <w:t>sheet;</w:t>
      </w:r>
      <w:r w:rsidR="00AF2165">
        <w:t xml:space="preserve"> the lease payment would just be showed as an expense in the profit or loss sheet. However, due to a few number of operating leases being non-refundable, consequently a liability and </w:t>
      </w:r>
      <w:r w:rsidR="00BE33BD">
        <w:t>an</w:t>
      </w:r>
      <w:r w:rsidR="00AF2165">
        <w:t xml:space="preserve"> asset would </w:t>
      </w:r>
      <w:r w:rsidR="00BE33BD">
        <w:t>be represented</w:t>
      </w:r>
      <w:r w:rsidR="00AF2165">
        <w:t xml:space="preserve"> to the lessee.</w:t>
      </w:r>
      <w:r w:rsidR="00BE33BD">
        <w:t xml:space="preserve"> Due to the accounting standard not acknowledging these, the liability would be hidden from the financial statement. Thus, anybody reading the financial statement would not be able to recognize the </w:t>
      </w:r>
      <w:r w:rsidR="002C3B8C">
        <w:t>complete</w:t>
      </w:r>
      <w:r w:rsidR="00BE33BD">
        <w:t xml:space="preserve"> </w:t>
      </w:r>
      <w:r w:rsidR="002C3B8C">
        <w:t>derivation</w:t>
      </w:r>
      <w:r w:rsidR="00BE33BD">
        <w:t xml:space="preserve"> of </w:t>
      </w:r>
      <w:r w:rsidR="002C3B8C">
        <w:t xml:space="preserve">the financial </w:t>
      </w:r>
      <w:r w:rsidR="00BE33BD">
        <w:t xml:space="preserve">situation. </w:t>
      </w:r>
      <w:proofErr w:type="gramStart"/>
      <w:r w:rsidR="00BE33BD">
        <w:t>(Silvia, 2018).</w:t>
      </w:r>
      <w:proofErr w:type="gramEnd"/>
      <w:r w:rsidR="007C014E">
        <w:t xml:space="preserve"> </w:t>
      </w:r>
      <w:r w:rsidR="002415BA">
        <w:t xml:space="preserve"> </w:t>
      </w:r>
      <w:r w:rsidR="006127F6">
        <w:t xml:space="preserve">In addition, </w:t>
      </w:r>
      <w:r w:rsidR="00426183">
        <w:t xml:space="preserve">IAS 17 has been subjective to criticism by globally renowned, companies such as Fed </w:t>
      </w:r>
      <w:proofErr w:type="gramStart"/>
      <w:r w:rsidR="00426183">
        <w:t>Ex,</w:t>
      </w:r>
      <w:proofErr w:type="gramEnd"/>
      <w:r w:rsidR="00426183">
        <w:t xml:space="preserve"> due to these companies would potentially be adding billions of dollars of debt to their balance sheets</w:t>
      </w:r>
      <w:r w:rsidR="00D946C4">
        <w:t xml:space="preserve"> as a result of the new accounting standard that would be coming into action</w:t>
      </w:r>
      <w:r w:rsidR="002A4661">
        <w:t>. The current accounting standard for years has provided off-balance sheet financing which has made companies look less</w:t>
      </w:r>
      <w:r w:rsidR="00C54B2D">
        <w:t xml:space="preserve"> indebted than they actually are. (</w:t>
      </w:r>
      <w:proofErr w:type="spellStart"/>
      <w:r w:rsidR="00C54B2D">
        <w:t>Rapoport</w:t>
      </w:r>
      <w:proofErr w:type="spellEnd"/>
      <w:r w:rsidR="00C54B2D">
        <w:t>, 2013)</w:t>
      </w:r>
      <w:r w:rsidR="004F2BEF">
        <w:t xml:space="preserve"> These disapprovals of IAS 17 go against the principles that are preserved in the conceptual framework of accounting as there is not an accurate disclosure of the financial statement.</w:t>
      </w:r>
      <w:r w:rsidR="001015A9">
        <w:t xml:space="preserve"> Lastly, an additional critique of IAS 17 is the void that it left to explain the risk and rewards in the leasing standard </w:t>
      </w:r>
      <w:r w:rsidR="00405944">
        <w:t>consistently</w:t>
      </w:r>
      <w:r w:rsidR="001015A9">
        <w:t>.</w:t>
      </w:r>
      <w:r w:rsidR="00405944">
        <w:t xml:space="preserve"> Risk and rewards, are subjective to the lessee</w:t>
      </w:r>
      <w:r w:rsidR="00E93363">
        <w:t xml:space="preserve">. In the current standard, the lease can be manipulated to achieve </w:t>
      </w:r>
      <w:r w:rsidR="005B2B2B">
        <w:t>a specific result</w:t>
      </w:r>
      <w:r w:rsidR="00FD626A">
        <w:t xml:space="preserve">, which has </w:t>
      </w:r>
      <w:r w:rsidR="00A24554">
        <w:t>caused criticism.</w:t>
      </w:r>
      <w:r w:rsidR="008D0588">
        <w:t xml:space="preserve"> The inconsistency of the model goes against, the</w:t>
      </w:r>
      <w:r w:rsidR="00032EE3">
        <w:t xml:space="preserve"> values of the framework. (MCMPA</w:t>
      </w:r>
      <w:r w:rsidR="008D0588">
        <w:t>, 2018)</w:t>
      </w:r>
    </w:p>
    <w:p w14:paraId="7ED57016" w14:textId="0A5FD1C4" w:rsidR="002C0681" w:rsidRDefault="00FF0B7E" w:rsidP="00090FF1">
      <w:pPr>
        <w:spacing w:line="240" w:lineRule="auto"/>
        <w:jc w:val="both"/>
      </w:pPr>
      <w:r>
        <w:rPr>
          <w:rFonts w:ascii="Arial" w:hAnsi="Arial" w:cs="Arial"/>
          <w:noProof/>
          <w:sz w:val="20"/>
          <w:szCs w:val="20"/>
          <w:lang w:eastAsia="en-GB"/>
        </w:rPr>
        <w:drawing>
          <wp:anchor distT="0" distB="0" distL="114300" distR="114300" simplePos="0" relativeHeight="251659264" behindDoc="1" locked="0" layoutInCell="1" allowOverlap="1" wp14:anchorId="73D02D2A" wp14:editId="5447BE39">
            <wp:simplePos x="0" y="0"/>
            <wp:positionH relativeFrom="column">
              <wp:posOffset>3048000</wp:posOffset>
            </wp:positionH>
            <wp:positionV relativeFrom="paragraph">
              <wp:posOffset>111760</wp:posOffset>
            </wp:positionV>
            <wp:extent cx="2943225" cy="2207260"/>
            <wp:effectExtent l="0" t="0" r="9525" b="2540"/>
            <wp:wrapTight wrapText="bothSides">
              <wp:wrapPolygon edited="0">
                <wp:start x="0" y="0"/>
                <wp:lineTo x="0" y="21438"/>
                <wp:lineTo x="21530" y="21438"/>
                <wp:lineTo x="2153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llustration+2-7+Conceptual+Framework+for+Financial+Reporting+LO+4.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43225" cy="2207260"/>
                    </a:xfrm>
                    <a:prstGeom prst="rect">
                      <a:avLst/>
                    </a:prstGeom>
                  </pic:spPr>
                </pic:pic>
              </a:graphicData>
            </a:graphic>
            <wp14:sizeRelH relativeFrom="page">
              <wp14:pctWidth>0</wp14:pctWidth>
            </wp14:sizeRelH>
            <wp14:sizeRelV relativeFrom="page">
              <wp14:pctHeight>0</wp14:pctHeight>
            </wp14:sizeRelV>
          </wp:anchor>
        </w:drawing>
      </w:r>
      <w:r w:rsidR="001012B6">
        <w:t>The current accounting treatment conflicts</w:t>
      </w:r>
      <w:r w:rsidR="00753807">
        <w:t xml:space="preserve"> with the </w:t>
      </w:r>
      <w:r w:rsidR="00AE5361">
        <w:t>principles valued by the conceptual framework of accounting.</w:t>
      </w:r>
      <w:r w:rsidR="002911BE">
        <w:t xml:space="preserve"> </w:t>
      </w:r>
      <w:r w:rsidR="00BA1967">
        <w:t xml:space="preserve"> In financial reporting the conceptual framework is organized by a standard setting body, </w:t>
      </w:r>
      <w:proofErr w:type="gramStart"/>
      <w:r w:rsidR="00BA1967">
        <w:t xml:space="preserve">that </w:t>
      </w:r>
      <w:r w:rsidR="00F44FC5">
        <w:t>strategies</w:t>
      </w:r>
      <w:proofErr w:type="gramEnd"/>
      <w:r w:rsidR="00BA1967">
        <w:t xml:space="preserve"> to </w:t>
      </w:r>
      <w:r w:rsidR="00F44FC5">
        <w:t xml:space="preserve">provide guidance to accounting setters, when developing and reviewing a financial report, accordingly making sure that the accounting standards are internally consistent. (Lexicon, 2015) The conceptual framework deals with the </w:t>
      </w:r>
      <w:r w:rsidR="00967AF2">
        <w:t>characteristics</w:t>
      </w:r>
      <w:r w:rsidR="00F44FC5">
        <w:t xml:space="preserve"> that make accounting data m</w:t>
      </w:r>
      <w:r w:rsidR="00967AF2">
        <w:t>ore reliable. Furthermore, the notion to recognise and measure the core fundamentals of the</w:t>
      </w:r>
      <w:r w:rsidR="002C0681">
        <w:t xml:space="preserve"> financial statements, such as liabilities, </w:t>
      </w:r>
      <w:r w:rsidR="00E341D1">
        <w:t>assets,</w:t>
      </w:r>
      <w:r w:rsidR="002C0681">
        <w:t xml:space="preserve"> equity, income and expense are all recognised.</w:t>
      </w:r>
      <w:r w:rsidR="007D5295">
        <w:t xml:space="preserve"> The key principles that the conceptual framework of financial reporting are built on, measurement</w:t>
      </w:r>
      <w:r w:rsidR="00F43DC9">
        <w:t>, revenue</w:t>
      </w:r>
      <w:r w:rsidR="007D5295">
        <w:t xml:space="preserve"> recognition</w:t>
      </w:r>
      <w:proofErr w:type="gramStart"/>
      <w:r w:rsidR="007D5295">
        <w:t>,  expense</w:t>
      </w:r>
      <w:proofErr w:type="gramEnd"/>
      <w:r w:rsidR="007D5295">
        <w:t xml:space="preserve"> recognition, and full disclosure</w:t>
      </w:r>
      <w:r w:rsidR="00A761C9">
        <w:t xml:space="preserve"> </w:t>
      </w:r>
      <w:r w:rsidR="005035C8">
        <w:t>of the financial statement and any supplementary information</w:t>
      </w:r>
      <w:r w:rsidR="007D5295">
        <w:t>. (</w:t>
      </w:r>
      <w:proofErr w:type="spellStart"/>
      <w:r w:rsidR="007D5295">
        <w:t>Macve</w:t>
      </w:r>
      <w:proofErr w:type="spellEnd"/>
      <w:r w:rsidR="007D5295">
        <w:t>, 1992)</w:t>
      </w:r>
    </w:p>
    <w:p w14:paraId="1CBA1EF5" w14:textId="77777777" w:rsidR="004F2BEF" w:rsidRDefault="004F2BEF" w:rsidP="006E3078"/>
    <w:p w14:paraId="191CE65A" w14:textId="5798A342" w:rsidR="00E06E84" w:rsidRDefault="00E06E84" w:rsidP="00F93544">
      <w:pPr>
        <w:pStyle w:val="NormalIndent"/>
        <w:spacing w:line="480" w:lineRule="auto"/>
        <w:ind w:left="0"/>
      </w:pPr>
    </w:p>
    <w:p w14:paraId="4C651D4D" w14:textId="242388EE" w:rsidR="0005064F" w:rsidRDefault="0005064F" w:rsidP="0005064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7" w:name="_Toc531116025"/>
      <w:bookmarkStart w:id="8" w:name="_Toc531122418"/>
      <w:r>
        <w:rPr>
          <w:rFonts w:eastAsia="Times New Roman" w:cs="Arial"/>
          <w:bCs/>
          <w:iCs/>
          <w:szCs w:val="28"/>
        </w:rPr>
        <w:t>Impact of the new accounting treatment</w:t>
      </w:r>
      <w:bookmarkEnd w:id="7"/>
      <w:bookmarkEnd w:id="8"/>
      <w:r w:rsidR="00DA644D">
        <w:rPr>
          <w:rFonts w:eastAsia="Times New Roman" w:cs="Arial"/>
          <w:bCs/>
          <w:iCs/>
          <w:szCs w:val="28"/>
        </w:rPr>
        <w:t xml:space="preserve"> – IFRS 16</w:t>
      </w:r>
    </w:p>
    <w:p w14:paraId="2FCBA903" w14:textId="63B9B7C9" w:rsidR="00675DE6" w:rsidRDefault="00164877" w:rsidP="00864966">
      <w:r>
        <w:rPr>
          <w:noProof/>
          <w:lang w:eastAsia="en-GB"/>
        </w:rPr>
        <w:drawing>
          <wp:anchor distT="0" distB="0" distL="114300" distR="114300" simplePos="0" relativeHeight="251660288" behindDoc="1" locked="0" layoutInCell="1" allowOverlap="1" wp14:anchorId="3EA238C8" wp14:editId="1C1E2738">
            <wp:simplePos x="0" y="0"/>
            <wp:positionH relativeFrom="column">
              <wp:posOffset>2743200</wp:posOffset>
            </wp:positionH>
            <wp:positionV relativeFrom="paragraph">
              <wp:posOffset>2410460</wp:posOffset>
            </wp:positionV>
            <wp:extent cx="3178175" cy="3373120"/>
            <wp:effectExtent l="0" t="0" r="3175" b="0"/>
            <wp:wrapTight wrapText="bothSides">
              <wp:wrapPolygon edited="0">
                <wp:start x="0" y="0"/>
                <wp:lineTo x="0" y="21470"/>
                <wp:lineTo x="21492" y="21470"/>
                <wp:lineTo x="2149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extLst>
                        <a:ext uri="{28A0092B-C50C-407E-A947-70E740481C1C}">
                          <a14:useLocalDpi xmlns:a14="http://schemas.microsoft.com/office/drawing/2010/main" val="0"/>
                        </a:ext>
                      </a:extLst>
                    </a:blip>
                    <a:srcRect l="11794" t="16832" r="50333" b="7733"/>
                    <a:stretch/>
                  </pic:blipFill>
                  <pic:spPr bwMode="auto">
                    <a:xfrm>
                      <a:off x="0" y="0"/>
                      <a:ext cx="3178175" cy="3373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01A2D">
        <w:t xml:space="preserve">In January 2016, the IASB issued the new accounting standard, IFRS 16 </w:t>
      </w:r>
      <w:r w:rsidR="00864966">
        <w:t>that</w:t>
      </w:r>
      <w:r w:rsidR="00B01A2D">
        <w:t xml:space="preserve"> will replace IAS 17</w:t>
      </w:r>
      <w:r w:rsidR="00864966">
        <w:t xml:space="preserve">, commencing from 1st January 2019. IFRS 16 was brought into motion, to eliminate off-balance sheet financing. IFRS 16 </w:t>
      </w:r>
      <w:r w:rsidR="00110177">
        <w:t>obliges</w:t>
      </w:r>
      <w:r w:rsidR="00864966">
        <w:t xml:space="preserve"> lessees to acknowledge assets and liabilities for </w:t>
      </w:r>
      <w:r w:rsidR="0004663E">
        <w:t xml:space="preserve">majority of </w:t>
      </w:r>
      <w:proofErr w:type="gramStart"/>
      <w:r w:rsidR="0004663E">
        <w:t>leases</w:t>
      </w:r>
      <w:r w:rsidR="00D86720">
        <w:t>,</w:t>
      </w:r>
      <w:proofErr w:type="gramEnd"/>
      <w:r w:rsidR="00D86720">
        <w:t xml:space="preserve"> this change allows all leases to be accounted for in the same way.</w:t>
      </w:r>
      <w:r w:rsidR="002F4375">
        <w:t xml:space="preserve"> The new lease standard will have a substantial impact on companies heavily working with operating </w:t>
      </w:r>
      <w:r w:rsidR="00396556">
        <w:t>leases;</w:t>
      </w:r>
      <w:r w:rsidR="0094652B">
        <w:t xml:space="preserve"> it will affect many entities across different </w:t>
      </w:r>
      <w:r w:rsidR="00E621A9">
        <w:t xml:space="preserve">industries. </w:t>
      </w:r>
      <w:r w:rsidR="002F4375">
        <w:t>(Fouche, 2017)</w:t>
      </w:r>
      <w:r w:rsidR="00396556">
        <w:t xml:space="preserve"> IFRS </w:t>
      </w:r>
      <w:proofErr w:type="gramStart"/>
      <w:r w:rsidR="00396556">
        <w:t>16,</w:t>
      </w:r>
      <w:proofErr w:type="gramEnd"/>
      <w:r w:rsidR="00396556">
        <w:t xml:space="preserve"> will </w:t>
      </w:r>
      <w:r w:rsidR="0004663E">
        <w:t>affect</w:t>
      </w:r>
      <w:r w:rsidR="00396556">
        <w:t xml:space="preserve"> a company’s balance sheet, income and cash flow statement.</w:t>
      </w:r>
      <w:r w:rsidR="0004663E">
        <w:t xml:space="preserve"> It will require the company to report on lease assets and lease liabilities in the balance sheet with the exception too short term leases and low value assets. In the income statement, companies that have off balance sheet </w:t>
      </w:r>
      <w:proofErr w:type="gramStart"/>
      <w:r w:rsidR="0004663E">
        <w:t>leases,</w:t>
      </w:r>
      <w:proofErr w:type="gramEnd"/>
      <w:r w:rsidR="0004663E">
        <w:t xml:space="preserve"> will result in higher profit before interest, for example operating profit, due to IFRS 16 results in a company presenting implicit interest in lease payments as part of a finance cost. In the cash flow statement</w:t>
      </w:r>
      <w:r w:rsidR="009F0FC4">
        <w:t xml:space="preserve">, due to IFRS 16, the repayments on lease liabilities are included within the financial </w:t>
      </w:r>
      <w:proofErr w:type="gramStart"/>
      <w:r w:rsidR="009F0FC4">
        <w:t>activities ,</w:t>
      </w:r>
      <w:proofErr w:type="gramEnd"/>
      <w:r w:rsidR="009F0FC4">
        <w:t xml:space="preserve"> interest can also be included with the financial activities.</w:t>
      </w:r>
      <w:r>
        <w:t xml:space="preserve"> The total cash </w:t>
      </w:r>
      <w:proofErr w:type="gramStart"/>
      <w:r>
        <w:t>outflow,</w:t>
      </w:r>
      <w:proofErr w:type="gramEnd"/>
      <w:r>
        <w:t xml:space="preserve"> will remain the same</w:t>
      </w:r>
      <w:r w:rsidR="009F0FC4">
        <w:t xml:space="preserve"> (Ifrs.Org 2018)</w:t>
      </w:r>
      <w:r>
        <w:t>.</w:t>
      </w:r>
      <w:r w:rsidR="00621F3F">
        <w:t xml:space="preserve"> Moreover, </w:t>
      </w:r>
    </w:p>
    <w:p w14:paraId="0D79AB8A" w14:textId="7F1C6779" w:rsidR="00164877" w:rsidRDefault="00ED0462" w:rsidP="00864966">
      <w:r>
        <w:t>One o</w:t>
      </w:r>
      <w:r w:rsidR="004602FD">
        <w:t>f the</w:t>
      </w:r>
      <w:r w:rsidR="004F5E84">
        <w:t xml:space="preserve"> main</w:t>
      </w:r>
      <w:r w:rsidR="004602FD">
        <w:t xml:space="preserve"> industries that IFRS 16 will have a sweeping impact on is </w:t>
      </w:r>
      <w:r w:rsidR="00EA2979">
        <w:t>the retail industry</w:t>
      </w:r>
      <w:r w:rsidR="004F5E84">
        <w:t>, due to the substantial amount of premises that</w:t>
      </w:r>
      <w:r w:rsidR="00905A0D">
        <w:t xml:space="preserve"> retailers</w:t>
      </w:r>
      <w:r w:rsidR="004F5E84">
        <w:t xml:space="preserve"> rent for their stores.</w:t>
      </w:r>
      <w:r w:rsidR="00D9642A">
        <w:t xml:space="preserve">   T</w:t>
      </w:r>
    </w:p>
    <w:p w14:paraId="4641866D" w14:textId="3CD5D036" w:rsidR="00B95DDE" w:rsidRPr="00A30FAE" w:rsidRDefault="00D9642A" w:rsidP="00A30FAE">
      <w:r>
        <w:t xml:space="preserve">The British retail association, has advised retailers to assemble project teams to work on the new standard, colleagues from various sectors </w:t>
      </w:r>
      <w:r w:rsidR="00A21374">
        <w:t>of the company should have a role in these project teams. However, implementation of the new standard has been proving to be tough for retailers, as they do not just lease property, but also lease many assets that are used within their stores. It would be normal for a large retailer to roughly have around 5000-10,000 leases.</w:t>
      </w:r>
      <w:r w:rsidR="00C85DFF">
        <w:t xml:space="preserve"> Retailers, will now be required to collect all this new data, for their leases, which they did not have to do in the past, as a result, the will need to employ specialists these new requirements.</w:t>
      </w:r>
      <w:r w:rsidR="006A293A">
        <w:t xml:space="preserve"> (</w:t>
      </w:r>
      <w:proofErr w:type="spellStart"/>
      <w:r w:rsidR="006A293A">
        <w:t>Icaew</w:t>
      </w:r>
      <w:proofErr w:type="spellEnd"/>
      <w:r w:rsidR="006A293A">
        <w:t>, 2017)</w:t>
      </w:r>
    </w:p>
    <w:p w14:paraId="5ACEEB4C" w14:textId="77777777" w:rsidR="00B95DDE" w:rsidRDefault="00B95DDE" w:rsidP="00B01A2D">
      <w:pPr>
        <w:pStyle w:val="NormalIndent"/>
        <w:spacing w:line="240" w:lineRule="auto"/>
        <w:rPr>
          <w:rFonts w:asciiTheme="minorHAnsi" w:hAnsiTheme="minorHAnsi" w:cstheme="minorHAnsi"/>
          <w:sz w:val="22"/>
        </w:rPr>
      </w:pPr>
    </w:p>
    <w:p w14:paraId="3F3CC27F" w14:textId="77777777" w:rsidR="00E06E84" w:rsidRPr="00675DE6" w:rsidRDefault="00E06E84" w:rsidP="00A30FAE">
      <w:pPr>
        <w:pStyle w:val="NormalIndent"/>
        <w:spacing w:line="480" w:lineRule="auto"/>
        <w:ind w:left="0"/>
      </w:pPr>
    </w:p>
    <w:p w14:paraId="6E657DFE" w14:textId="25737ED5" w:rsidR="009B20F4" w:rsidRPr="0043085E" w:rsidRDefault="0005064F"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9" w:name="_Toc531122419"/>
      <w:bookmarkStart w:id="10" w:name="_GoBack"/>
      <w:r>
        <w:rPr>
          <w:rFonts w:eastAsia="Times New Roman" w:cs="Arial"/>
          <w:bCs/>
          <w:iCs/>
          <w:szCs w:val="28"/>
        </w:rPr>
        <w:t>conclusion</w:t>
      </w:r>
      <w:bookmarkEnd w:id="9"/>
    </w:p>
    <w:bookmarkEnd w:id="10"/>
    <w:p w14:paraId="1A4D21E2" w14:textId="77777777" w:rsidR="009B20F4" w:rsidRPr="0043085E" w:rsidRDefault="009B20F4" w:rsidP="009B20F4">
      <w:pPr>
        <w:pStyle w:val="NormalIndent"/>
        <w:spacing w:line="480" w:lineRule="auto"/>
      </w:pPr>
    </w:p>
    <w:p w14:paraId="5DBC227B" w14:textId="76F61924" w:rsidR="00A30FAE" w:rsidRPr="00365185" w:rsidRDefault="00CB6706" w:rsidP="00365185">
      <w:pPr>
        <w:tabs>
          <w:tab w:val="left" w:pos="1260"/>
        </w:tabs>
        <w:spacing w:line="240" w:lineRule="auto"/>
        <w:rPr>
          <w:rFonts w:asciiTheme="minorHAnsi" w:hAnsiTheme="minorHAnsi" w:cstheme="minorHAnsi"/>
        </w:rPr>
      </w:pPr>
      <w:r w:rsidRPr="00365185">
        <w:rPr>
          <w:rFonts w:asciiTheme="minorHAnsi" w:hAnsiTheme="minorHAnsi" w:cstheme="minorHAnsi"/>
        </w:rPr>
        <w:t>In conclusion to the report, FRS 102, is distinguished into two types of leases, operating and finance leases.</w:t>
      </w:r>
      <w:r w:rsidR="00DA644D" w:rsidRPr="00365185">
        <w:rPr>
          <w:rFonts w:asciiTheme="minorHAnsi" w:hAnsiTheme="minorHAnsi" w:cstheme="minorHAnsi"/>
        </w:rPr>
        <w:t xml:space="preserve"> FRS 102, came into motion in 01/01/2015, it will stay into motion, until the 01/01/2019, when it will be replaced by IFRS 16. Over the several years, FRS 102, was subjective to many criticisms,</w:t>
      </w:r>
      <w:r w:rsidR="00CD68D3" w:rsidRPr="00365185">
        <w:rPr>
          <w:rFonts w:asciiTheme="minorHAnsi" w:hAnsiTheme="minorHAnsi" w:cstheme="minorHAnsi"/>
        </w:rPr>
        <w:t xml:space="preserve"> the leading or</w:t>
      </w:r>
      <w:r w:rsidR="00A20B28" w:rsidRPr="00365185">
        <w:rPr>
          <w:rFonts w:asciiTheme="minorHAnsi" w:hAnsiTheme="minorHAnsi" w:cstheme="minorHAnsi"/>
        </w:rPr>
        <w:t xml:space="preserve">deal, was that FRS </w:t>
      </w:r>
      <w:proofErr w:type="gramStart"/>
      <w:r w:rsidR="00A20B28" w:rsidRPr="00365185">
        <w:rPr>
          <w:rFonts w:asciiTheme="minorHAnsi" w:hAnsiTheme="minorHAnsi" w:cstheme="minorHAnsi"/>
        </w:rPr>
        <w:t>102,</w:t>
      </w:r>
      <w:proofErr w:type="gramEnd"/>
      <w:r w:rsidR="00A20B28" w:rsidRPr="00365185">
        <w:rPr>
          <w:rFonts w:asciiTheme="minorHAnsi" w:hAnsiTheme="minorHAnsi" w:cstheme="minorHAnsi"/>
        </w:rPr>
        <w:t xml:space="preserve"> had </w:t>
      </w:r>
      <w:r w:rsidR="003B56E7" w:rsidRPr="00365185">
        <w:rPr>
          <w:rFonts w:asciiTheme="minorHAnsi" w:hAnsiTheme="minorHAnsi" w:cstheme="minorHAnsi"/>
        </w:rPr>
        <w:t>an</w:t>
      </w:r>
      <w:r w:rsidR="00A20B28" w:rsidRPr="00365185">
        <w:rPr>
          <w:rFonts w:asciiTheme="minorHAnsi" w:hAnsiTheme="minorHAnsi" w:cstheme="minorHAnsi"/>
        </w:rPr>
        <w:t xml:space="preserve"> off-balance sheet treatment of </w:t>
      </w:r>
      <w:r w:rsidR="003B56E7" w:rsidRPr="00365185">
        <w:rPr>
          <w:rFonts w:asciiTheme="minorHAnsi" w:hAnsiTheme="minorHAnsi" w:cstheme="minorHAnsi"/>
        </w:rPr>
        <w:t xml:space="preserve">operating leases by lessees, which </w:t>
      </w:r>
      <w:r w:rsidR="00FE0207" w:rsidRPr="00365185">
        <w:rPr>
          <w:rFonts w:asciiTheme="minorHAnsi" w:hAnsiTheme="minorHAnsi" w:cstheme="minorHAnsi"/>
        </w:rPr>
        <w:t>gave an inaccurate</w:t>
      </w:r>
      <w:r w:rsidR="003B56E7" w:rsidRPr="00365185">
        <w:rPr>
          <w:rFonts w:asciiTheme="minorHAnsi" w:hAnsiTheme="minorHAnsi" w:cstheme="minorHAnsi"/>
        </w:rPr>
        <w:t xml:space="preserve"> view of the balance sheet, and would make companies look less indebted that what they actually were.</w:t>
      </w:r>
      <w:r w:rsidR="00FE0207" w:rsidRPr="00365185">
        <w:rPr>
          <w:rFonts w:asciiTheme="minorHAnsi" w:hAnsiTheme="minorHAnsi" w:cstheme="minorHAnsi"/>
        </w:rPr>
        <w:t xml:space="preserve"> Lessees were not recognizing assets or liabilities on the balance sheet.</w:t>
      </w:r>
      <w:r w:rsidR="00AD69BC" w:rsidRPr="00365185">
        <w:rPr>
          <w:rFonts w:asciiTheme="minorHAnsi" w:hAnsiTheme="minorHAnsi" w:cstheme="minorHAnsi"/>
        </w:rPr>
        <w:t xml:space="preserve"> Lastly, the new accounting standard IFRS </w:t>
      </w:r>
      <w:proofErr w:type="gramStart"/>
      <w:r w:rsidR="00AD69BC" w:rsidRPr="00365185">
        <w:rPr>
          <w:rFonts w:asciiTheme="minorHAnsi" w:hAnsiTheme="minorHAnsi" w:cstheme="minorHAnsi"/>
        </w:rPr>
        <w:t>16,</w:t>
      </w:r>
      <w:proofErr w:type="gramEnd"/>
      <w:r w:rsidR="00AD69BC" w:rsidRPr="00365185">
        <w:rPr>
          <w:rFonts w:asciiTheme="minorHAnsi" w:hAnsiTheme="minorHAnsi" w:cstheme="minorHAnsi"/>
        </w:rPr>
        <w:t xml:space="preserve"> has been brought in to correct the criticisms of FRS 102. Nevertheless, by correcting the criticisms of FRS 102, specific industries such as retail, will </w:t>
      </w:r>
      <w:r w:rsidR="00AC3E26" w:rsidRPr="00365185">
        <w:rPr>
          <w:rFonts w:asciiTheme="minorHAnsi" w:hAnsiTheme="minorHAnsi" w:cstheme="minorHAnsi"/>
        </w:rPr>
        <w:t>be affected the most.</w:t>
      </w:r>
    </w:p>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headerReference w:type="default" r:id="rId20"/>
          <w:headerReference w:type="first" r:id="rId21"/>
          <w:pgSz w:w="11906" w:h="16838"/>
          <w:pgMar w:top="1440" w:right="1440" w:bottom="1440" w:left="1440" w:header="567" w:footer="567" w:gutter="0"/>
          <w:cols w:space="708"/>
          <w:titlePg/>
          <w:docGrid w:linePitch="360"/>
        </w:sectPr>
      </w:pPr>
      <w:bookmarkStart w:id="11" w:name="_Toc305165507"/>
    </w:p>
    <w:p w14:paraId="6BBD8D67" w14:textId="77777777" w:rsidR="009B20F4" w:rsidRPr="001E442A"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 w:val="20"/>
          <w:szCs w:val="20"/>
          <w:u w:val="single"/>
        </w:rPr>
      </w:pPr>
      <w:bookmarkStart w:id="12" w:name="_Toc531122420"/>
      <w:r w:rsidRPr="001E442A">
        <w:rPr>
          <w:rFonts w:eastAsia="Times New Roman" w:cs="Arial"/>
          <w:bCs/>
          <w:sz w:val="20"/>
          <w:szCs w:val="20"/>
          <w:u w:val="single"/>
        </w:rPr>
        <w:t>References</w:t>
      </w:r>
      <w:bookmarkEnd w:id="11"/>
      <w:bookmarkEnd w:id="12"/>
    </w:p>
    <w:p w14:paraId="505A0206" w14:textId="0AAB735A" w:rsidR="003361F6" w:rsidRPr="001E442A" w:rsidRDefault="003361F6" w:rsidP="003361F6">
      <w:pPr>
        <w:pStyle w:val="NormalWeb"/>
        <w:shd w:val="clear" w:color="auto" w:fill="FFFFFF"/>
        <w:spacing w:before="0" w:beforeAutospacing="0" w:after="0" w:afterAutospacing="0" w:line="360" w:lineRule="atLeast"/>
        <w:ind w:hanging="120"/>
        <w:rPr>
          <w:rFonts w:ascii="Arial" w:hAnsi="Arial" w:cs="Arial"/>
          <w:b/>
          <w:szCs w:val="32"/>
          <w:u w:val="single"/>
        </w:rPr>
      </w:pPr>
      <w:r w:rsidRPr="001E442A">
        <w:rPr>
          <w:rFonts w:ascii="Arial" w:hAnsi="Arial" w:cs="Arial"/>
          <w:b/>
          <w:szCs w:val="32"/>
          <w:u w:val="single"/>
        </w:rPr>
        <w:t>Websites</w:t>
      </w:r>
    </w:p>
    <w:p w14:paraId="2C3FAC36" w14:textId="7E1D3A8F" w:rsidR="00475112" w:rsidRPr="001E442A" w:rsidRDefault="001E442A" w:rsidP="001E442A">
      <w:pPr>
        <w:pStyle w:val="NormalWeb"/>
        <w:shd w:val="clear" w:color="auto" w:fill="FFFFFF"/>
        <w:tabs>
          <w:tab w:val="left" w:pos="3540"/>
        </w:tabs>
        <w:spacing w:before="0" w:beforeAutospacing="0" w:after="0" w:afterAutospacing="0" w:line="360" w:lineRule="atLeast"/>
        <w:ind w:hanging="120"/>
        <w:rPr>
          <w:rStyle w:val="selectable"/>
          <w:rFonts w:ascii="Arial" w:hAnsi="Arial" w:cs="Arial"/>
          <w:sz w:val="18"/>
          <w:szCs w:val="18"/>
        </w:rPr>
      </w:pPr>
      <w:r>
        <w:rPr>
          <w:rStyle w:val="selectable"/>
          <w:rFonts w:ascii="Arial" w:hAnsi="Arial" w:cs="Arial"/>
          <w:sz w:val="18"/>
          <w:szCs w:val="18"/>
        </w:rPr>
        <w:tab/>
      </w:r>
      <w:r>
        <w:rPr>
          <w:rStyle w:val="selectable"/>
          <w:rFonts w:ascii="Arial" w:hAnsi="Arial" w:cs="Arial"/>
          <w:sz w:val="18"/>
          <w:szCs w:val="18"/>
        </w:rPr>
        <w:tab/>
      </w:r>
    </w:p>
    <w:p w14:paraId="084E83BC" w14:textId="77777777" w:rsidR="00475112" w:rsidRPr="00365185" w:rsidRDefault="00475112" w:rsidP="00365185">
      <w:pPr>
        <w:pStyle w:val="Heading4"/>
        <w:shd w:val="clear" w:color="auto" w:fill="FFFFFF"/>
        <w:spacing w:before="0" w:line="240" w:lineRule="auto"/>
        <w:jc w:val="both"/>
        <w:rPr>
          <w:rFonts w:ascii="Arial" w:hAnsi="Arial" w:cs="Arial"/>
          <w:i w:val="0"/>
          <w:color w:val="auto"/>
          <w:sz w:val="18"/>
          <w:szCs w:val="18"/>
        </w:rPr>
      </w:pPr>
      <w:r w:rsidRPr="00365185">
        <w:rPr>
          <w:rFonts w:ascii="Arial" w:hAnsi="Arial" w:cs="Arial"/>
          <w:bCs/>
          <w:i w:val="0"/>
          <w:color w:val="auto"/>
          <w:sz w:val="18"/>
          <w:szCs w:val="18"/>
        </w:rPr>
        <w:t>FRS 102 and leasing</w:t>
      </w:r>
    </w:p>
    <w:p w14:paraId="47208323" w14:textId="77777777" w:rsidR="00475112" w:rsidRPr="00365185" w:rsidRDefault="00475112" w:rsidP="00365185">
      <w:pPr>
        <w:pStyle w:val="NormalWeb"/>
        <w:shd w:val="clear" w:color="auto" w:fill="FFFFFF"/>
        <w:spacing w:before="0" w:beforeAutospacing="0" w:after="0" w:afterAutospacing="0"/>
        <w:ind w:hanging="120"/>
        <w:jc w:val="both"/>
        <w:rPr>
          <w:rFonts w:ascii="Arial" w:hAnsi="Arial" w:cs="Arial"/>
          <w:sz w:val="18"/>
          <w:szCs w:val="18"/>
        </w:rPr>
      </w:pPr>
      <w:r w:rsidRPr="00365185">
        <w:rPr>
          <w:rStyle w:val="Strong"/>
          <w:rFonts w:ascii="Arial" w:hAnsi="Arial" w:cs="Arial"/>
          <w:b w:val="0"/>
          <w:sz w:val="18"/>
          <w:szCs w:val="18"/>
        </w:rPr>
        <w:t>In-text: </w:t>
      </w:r>
      <w:r w:rsidRPr="00365185">
        <w:rPr>
          <w:rStyle w:val="selectable"/>
          <w:rFonts w:ascii="Arial" w:hAnsi="Arial" w:cs="Arial"/>
          <w:sz w:val="18"/>
          <w:szCs w:val="18"/>
        </w:rPr>
        <w:t>(Collings, 2016)</w:t>
      </w:r>
    </w:p>
    <w:p w14:paraId="15F0579D" w14:textId="4D38989F" w:rsidR="0008523D" w:rsidRPr="00365185" w:rsidRDefault="00475112" w:rsidP="00365185">
      <w:pPr>
        <w:pStyle w:val="NormalWeb"/>
        <w:shd w:val="clear" w:color="auto" w:fill="FFFFFF"/>
        <w:spacing w:before="0" w:beforeAutospacing="0" w:after="0" w:afterAutospacing="0"/>
        <w:ind w:hanging="120"/>
        <w:jc w:val="both"/>
        <w:rPr>
          <w:rFonts w:ascii="Arial" w:hAnsi="Arial" w:cs="Arial"/>
          <w:sz w:val="18"/>
          <w:szCs w:val="18"/>
        </w:rPr>
      </w:pPr>
      <w:r w:rsidRPr="00365185">
        <w:rPr>
          <w:rStyle w:val="Strong"/>
          <w:rFonts w:ascii="Arial" w:hAnsi="Arial" w:cs="Arial"/>
          <w:b w:val="0"/>
          <w:sz w:val="18"/>
          <w:szCs w:val="18"/>
        </w:rPr>
        <w:t>Your Bibliography: </w:t>
      </w:r>
      <w:r w:rsidRPr="00365185">
        <w:rPr>
          <w:rStyle w:val="selectable"/>
          <w:rFonts w:ascii="Arial" w:hAnsi="Arial" w:cs="Arial"/>
          <w:sz w:val="18"/>
          <w:szCs w:val="18"/>
        </w:rPr>
        <w:t>Collings, S. (2016). </w:t>
      </w:r>
      <w:proofErr w:type="gramStart"/>
      <w:r w:rsidRPr="00365185">
        <w:rPr>
          <w:rStyle w:val="selectable"/>
          <w:rFonts w:ascii="Arial" w:hAnsi="Arial" w:cs="Arial"/>
          <w:iCs/>
          <w:sz w:val="18"/>
          <w:szCs w:val="18"/>
        </w:rPr>
        <w:t>FRS 102 and leasing</w:t>
      </w:r>
      <w:r w:rsidRPr="00365185">
        <w:rPr>
          <w:rStyle w:val="selectable"/>
          <w:rFonts w:ascii="Arial" w:hAnsi="Arial" w:cs="Arial"/>
          <w:sz w:val="18"/>
          <w:szCs w:val="18"/>
        </w:rPr>
        <w:t>.</w:t>
      </w:r>
      <w:proofErr w:type="gramEnd"/>
      <w:r w:rsidRPr="00365185">
        <w:rPr>
          <w:rStyle w:val="selectable"/>
          <w:rFonts w:ascii="Arial" w:hAnsi="Arial" w:cs="Arial"/>
          <w:sz w:val="18"/>
          <w:szCs w:val="18"/>
        </w:rPr>
        <w:t xml:space="preserve"> [</w:t>
      </w:r>
      <w:proofErr w:type="gramStart"/>
      <w:r w:rsidRPr="00365185">
        <w:rPr>
          <w:rStyle w:val="selectable"/>
          <w:rFonts w:ascii="Arial" w:hAnsi="Arial" w:cs="Arial"/>
          <w:sz w:val="18"/>
          <w:szCs w:val="18"/>
        </w:rPr>
        <w:t>online</w:t>
      </w:r>
      <w:proofErr w:type="gramEnd"/>
      <w:r w:rsidRPr="00365185">
        <w:rPr>
          <w:rStyle w:val="selectable"/>
          <w:rFonts w:ascii="Arial" w:hAnsi="Arial" w:cs="Arial"/>
          <w:sz w:val="18"/>
          <w:szCs w:val="18"/>
        </w:rPr>
        <w:t xml:space="preserve">] </w:t>
      </w:r>
      <w:proofErr w:type="gramStart"/>
      <w:r w:rsidRPr="00365185">
        <w:rPr>
          <w:rStyle w:val="selectable"/>
          <w:rFonts w:ascii="Arial" w:hAnsi="Arial" w:cs="Arial"/>
          <w:sz w:val="18"/>
          <w:szCs w:val="18"/>
        </w:rPr>
        <w:t>AAT Comment.</w:t>
      </w:r>
      <w:proofErr w:type="gramEnd"/>
      <w:r w:rsidRPr="00365185">
        <w:rPr>
          <w:rStyle w:val="selectable"/>
          <w:rFonts w:ascii="Arial" w:hAnsi="Arial" w:cs="Arial"/>
          <w:sz w:val="18"/>
          <w:szCs w:val="18"/>
        </w:rPr>
        <w:t xml:space="preserve"> Available at: https://www.aatcomment.org.uk/frs-102-and-leasing/ [Accessed 23 Nov. 2018].</w:t>
      </w:r>
      <w:r w:rsidR="00562618" w:rsidRPr="00365185">
        <w:rPr>
          <w:rStyle w:val="selectable"/>
          <w:rFonts w:ascii="Arial" w:hAnsi="Arial" w:cs="Arial"/>
          <w:sz w:val="18"/>
          <w:szCs w:val="18"/>
        </w:rPr>
        <w:t xml:space="preserve"> </w:t>
      </w:r>
    </w:p>
    <w:p w14:paraId="426FACF4" w14:textId="77777777" w:rsidR="0008523D" w:rsidRPr="00365185" w:rsidRDefault="0008523D" w:rsidP="00365185">
      <w:pPr>
        <w:pStyle w:val="NormalWeb"/>
        <w:shd w:val="clear" w:color="auto" w:fill="FFFFFF"/>
        <w:spacing w:before="0" w:beforeAutospacing="0" w:after="0" w:afterAutospacing="0"/>
        <w:ind w:hanging="120"/>
        <w:jc w:val="both"/>
        <w:rPr>
          <w:rFonts w:ascii="Arial" w:hAnsi="Arial" w:cs="Arial"/>
          <w:sz w:val="18"/>
          <w:szCs w:val="18"/>
        </w:rPr>
      </w:pPr>
    </w:p>
    <w:p w14:paraId="6210C439" w14:textId="77777777" w:rsidR="0071097B" w:rsidRPr="00365185" w:rsidRDefault="0071097B" w:rsidP="00365185">
      <w:pPr>
        <w:shd w:val="clear" w:color="auto" w:fill="FFFFFF"/>
        <w:autoSpaceDE/>
        <w:autoSpaceDN/>
        <w:adjustRightInd/>
        <w:spacing w:after="0" w:line="240" w:lineRule="auto"/>
        <w:ind w:hanging="120"/>
        <w:jc w:val="both"/>
        <w:rPr>
          <w:rFonts w:ascii="Arial" w:eastAsia="Times New Roman" w:hAnsi="Arial" w:cs="Arial"/>
          <w:sz w:val="18"/>
          <w:szCs w:val="18"/>
          <w:lang w:eastAsia="en-GB"/>
        </w:rPr>
      </w:pPr>
      <w:r w:rsidRPr="00365185">
        <w:rPr>
          <w:rFonts w:ascii="Arial" w:eastAsia="Times New Roman" w:hAnsi="Arial" w:cs="Arial"/>
          <w:bCs/>
          <w:sz w:val="18"/>
          <w:szCs w:val="18"/>
          <w:lang w:eastAsia="en-GB"/>
        </w:rPr>
        <w:t>In-text: </w:t>
      </w:r>
      <w:r w:rsidRPr="00365185">
        <w:rPr>
          <w:rFonts w:ascii="Arial" w:eastAsia="Times New Roman" w:hAnsi="Arial" w:cs="Arial"/>
          <w:sz w:val="18"/>
          <w:szCs w:val="18"/>
          <w:lang w:eastAsia="en-GB"/>
        </w:rPr>
        <w:t>(O'Neill, 2016)</w:t>
      </w:r>
    </w:p>
    <w:p w14:paraId="3844B9D1" w14:textId="77777777" w:rsidR="0071097B" w:rsidRPr="00365185" w:rsidRDefault="0071097B" w:rsidP="00365185">
      <w:pPr>
        <w:shd w:val="clear" w:color="auto" w:fill="FFFFFF"/>
        <w:autoSpaceDE/>
        <w:autoSpaceDN/>
        <w:adjustRightInd/>
        <w:spacing w:after="0" w:line="240" w:lineRule="auto"/>
        <w:ind w:hanging="120"/>
        <w:jc w:val="both"/>
        <w:rPr>
          <w:rFonts w:ascii="Arial" w:eastAsia="Times New Roman" w:hAnsi="Arial" w:cs="Arial"/>
          <w:sz w:val="18"/>
          <w:szCs w:val="18"/>
          <w:lang w:eastAsia="en-GB"/>
        </w:rPr>
      </w:pPr>
      <w:proofErr w:type="gramStart"/>
      <w:r w:rsidRPr="00365185">
        <w:rPr>
          <w:rFonts w:ascii="Arial" w:eastAsia="Times New Roman" w:hAnsi="Arial" w:cs="Arial"/>
          <w:bCs/>
          <w:sz w:val="18"/>
          <w:szCs w:val="18"/>
          <w:lang w:eastAsia="en-GB"/>
        </w:rPr>
        <w:t>Your</w:t>
      </w:r>
      <w:proofErr w:type="gramEnd"/>
      <w:r w:rsidRPr="00365185">
        <w:rPr>
          <w:rFonts w:ascii="Arial" w:eastAsia="Times New Roman" w:hAnsi="Arial" w:cs="Arial"/>
          <w:bCs/>
          <w:sz w:val="18"/>
          <w:szCs w:val="18"/>
          <w:lang w:eastAsia="en-GB"/>
        </w:rPr>
        <w:t xml:space="preserve"> Bibliography: </w:t>
      </w:r>
      <w:r w:rsidRPr="00365185">
        <w:rPr>
          <w:rFonts w:ascii="Arial" w:eastAsia="Times New Roman" w:hAnsi="Arial" w:cs="Arial"/>
          <w:sz w:val="18"/>
          <w:szCs w:val="18"/>
          <w:lang w:eastAsia="en-GB"/>
        </w:rPr>
        <w:t>O'Neill, D. (2016). </w:t>
      </w:r>
      <w:r w:rsidRPr="00365185">
        <w:rPr>
          <w:rFonts w:ascii="Arial" w:eastAsia="Times New Roman" w:hAnsi="Arial" w:cs="Arial"/>
          <w:iCs/>
          <w:sz w:val="18"/>
          <w:szCs w:val="18"/>
          <w:lang w:eastAsia="en-GB"/>
        </w:rPr>
        <w:t>FRS 102 – Section 20 Summary – Leases</w:t>
      </w:r>
      <w:r w:rsidRPr="00365185">
        <w:rPr>
          <w:rFonts w:ascii="Arial" w:eastAsia="Times New Roman" w:hAnsi="Arial" w:cs="Arial"/>
          <w:sz w:val="18"/>
          <w:szCs w:val="18"/>
          <w:lang w:eastAsia="en-GB"/>
        </w:rPr>
        <w:t>. [</w:t>
      </w:r>
      <w:proofErr w:type="gramStart"/>
      <w:r w:rsidRPr="00365185">
        <w:rPr>
          <w:rFonts w:ascii="Arial" w:eastAsia="Times New Roman" w:hAnsi="Arial" w:cs="Arial"/>
          <w:sz w:val="18"/>
          <w:szCs w:val="18"/>
          <w:lang w:eastAsia="en-GB"/>
        </w:rPr>
        <w:t>online</w:t>
      </w:r>
      <w:proofErr w:type="gramEnd"/>
      <w:r w:rsidRPr="00365185">
        <w:rPr>
          <w:rFonts w:ascii="Arial" w:eastAsia="Times New Roman" w:hAnsi="Arial" w:cs="Arial"/>
          <w:sz w:val="18"/>
          <w:szCs w:val="18"/>
          <w:lang w:eastAsia="en-GB"/>
        </w:rPr>
        <w:t xml:space="preserve">] </w:t>
      </w:r>
      <w:proofErr w:type="spellStart"/>
      <w:proofErr w:type="gramStart"/>
      <w:r w:rsidRPr="00365185">
        <w:rPr>
          <w:rFonts w:ascii="Arial" w:eastAsia="Times New Roman" w:hAnsi="Arial" w:cs="Arial"/>
          <w:sz w:val="18"/>
          <w:szCs w:val="18"/>
          <w:lang w:eastAsia="en-GB"/>
        </w:rPr>
        <w:t>AccountingWEB</w:t>
      </w:r>
      <w:proofErr w:type="spellEnd"/>
      <w:r w:rsidRPr="00365185">
        <w:rPr>
          <w:rFonts w:ascii="Arial" w:eastAsia="Times New Roman" w:hAnsi="Arial" w:cs="Arial"/>
          <w:sz w:val="18"/>
          <w:szCs w:val="18"/>
          <w:lang w:eastAsia="en-GB"/>
        </w:rPr>
        <w:t>.</w:t>
      </w:r>
      <w:proofErr w:type="gramEnd"/>
      <w:r w:rsidRPr="00365185">
        <w:rPr>
          <w:rFonts w:ascii="Arial" w:eastAsia="Times New Roman" w:hAnsi="Arial" w:cs="Arial"/>
          <w:sz w:val="18"/>
          <w:szCs w:val="18"/>
          <w:lang w:eastAsia="en-GB"/>
        </w:rPr>
        <w:t xml:space="preserve"> Available at: https://www.accountingweb.co.uk/community/industry-insights/frs-102-section-20-summary-leases [Accessed 23 Nov. 2018].</w:t>
      </w:r>
    </w:p>
    <w:p w14:paraId="464C5EAB" w14:textId="77777777" w:rsidR="00150C41" w:rsidRPr="00365185" w:rsidRDefault="00150C41" w:rsidP="00365185">
      <w:pPr>
        <w:shd w:val="clear" w:color="auto" w:fill="FFFFFF"/>
        <w:autoSpaceDE/>
        <w:autoSpaceDN/>
        <w:adjustRightInd/>
        <w:spacing w:after="0" w:line="240" w:lineRule="auto"/>
        <w:ind w:hanging="120"/>
        <w:jc w:val="both"/>
        <w:rPr>
          <w:rFonts w:ascii="Arial" w:eastAsia="Times New Roman" w:hAnsi="Arial" w:cs="Arial"/>
          <w:sz w:val="18"/>
          <w:szCs w:val="18"/>
          <w:lang w:eastAsia="en-GB"/>
        </w:rPr>
      </w:pPr>
    </w:p>
    <w:p w14:paraId="3CA462E4" w14:textId="45BE0FD7" w:rsidR="00150C41" w:rsidRPr="00365185" w:rsidRDefault="00150C41" w:rsidP="00365185">
      <w:pPr>
        <w:shd w:val="clear" w:color="auto" w:fill="FFFFFF"/>
        <w:autoSpaceDE/>
        <w:autoSpaceDN/>
        <w:adjustRightInd/>
        <w:spacing w:after="0" w:line="240" w:lineRule="auto"/>
        <w:ind w:hanging="120"/>
        <w:jc w:val="both"/>
        <w:rPr>
          <w:rFonts w:ascii="Arial" w:eastAsia="Times New Roman" w:hAnsi="Arial" w:cs="Arial"/>
          <w:sz w:val="18"/>
          <w:szCs w:val="18"/>
          <w:lang w:eastAsia="en-GB"/>
        </w:rPr>
      </w:pPr>
      <w:proofErr w:type="gramStart"/>
      <w:r w:rsidRPr="00365185">
        <w:rPr>
          <w:rFonts w:ascii="Arial" w:eastAsia="Times New Roman" w:hAnsi="Arial" w:cs="Arial"/>
          <w:bCs/>
          <w:sz w:val="18"/>
          <w:szCs w:val="18"/>
          <w:lang w:eastAsia="en-GB"/>
        </w:rPr>
        <w:t>in-text</w:t>
      </w:r>
      <w:proofErr w:type="gramEnd"/>
      <w:r w:rsidRPr="00365185">
        <w:rPr>
          <w:rFonts w:ascii="Arial" w:eastAsia="Times New Roman" w:hAnsi="Arial" w:cs="Arial"/>
          <w:bCs/>
          <w:sz w:val="18"/>
          <w:szCs w:val="18"/>
          <w:lang w:eastAsia="en-GB"/>
        </w:rPr>
        <w:t>: </w:t>
      </w:r>
      <w:r w:rsidRPr="00365185">
        <w:rPr>
          <w:rFonts w:ascii="Arial" w:eastAsia="Times New Roman" w:hAnsi="Arial" w:cs="Arial"/>
          <w:sz w:val="18"/>
          <w:szCs w:val="18"/>
          <w:lang w:eastAsia="en-GB"/>
        </w:rPr>
        <w:t>(Silvia, 2018)</w:t>
      </w:r>
    </w:p>
    <w:p w14:paraId="0972A976" w14:textId="77777777" w:rsidR="00150C41" w:rsidRPr="00365185" w:rsidRDefault="00150C41" w:rsidP="00365185">
      <w:pPr>
        <w:shd w:val="clear" w:color="auto" w:fill="FFFFFF"/>
        <w:autoSpaceDE/>
        <w:autoSpaceDN/>
        <w:adjustRightInd/>
        <w:spacing w:after="0" w:line="240" w:lineRule="auto"/>
        <w:ind w:hanging="120"/>
        <w:jc w:val="both"/>
        <w:rPr>
          <w:rFonts w:ascii="Arial" w:eastAsia="Times New Roman" w:hAnsi="Arial" w:cs="Arial"/>
          <w:sz w:val="18"/>
          <w:szCs w:val="18"/>
          <w:lang w:eastAsia="en-GB"/>
        </w:rPr>
      </w:pPr>
      <w:proofErr w:type="gramStart"/>
      <w:r w:rsidRPr="00365185">
        <w:rPr>
          <w:rFonts w:ascii="Arial" w:eastAsia="Times New Roman" w:hAnsi="Arial" w:cs="Arial"/>
          <w:bCs/>
          <w:sz w:val="18"/>
          <w:szCs w:val="18"/>
          <w:lang w:eastAsia="en-GB"/>
        </w:rPr>
        <w:t>Your</w:t>
      </w:r>
      <w:proofErr w:type="gramEnd"/>
      <w:r w:rsidRPr="00365185">
        <w:rPr>
          <w:rFonts w:ascii="Arial" w:eastAsia="Times New Roman" w:hAnsi="Arial" w:cs="Arial"/>
          <w:bCs/>
          <w:sz w:val="18"/>
          <w:szCs w:val="18"/>
          <w:lang w:eastAsia="en-GB"/>
        </w:rPr>
        <w:t xml:space="preserve"> Bibliography: </w:t>
      </w:r>
      <w:proofErr w:type="spellStart"/>
      <w:r w:rsidRPr="00365185">
        <w:rPr>
          <w:rFonts w:ascii="Arial" w:eastAsia="Times New Roman" w:hAnsi="Arial" w:cs="Arial"/>
          <w:sz w:val="18"/>
          <w:szCs w:val="18"/>
          <w:lang w:eastAsia="en-GB"/>
        </w:rPr>
        <w:t>IFRSbox</w:t>
      </w:r>
      <w:proofErr w:type="spellEnd"/>
      <w:r w:rsidRPr="00365185">
        <w:rPr>
          <w:rFonts w:ascii="Arial" w:eastAsia="Times New Roman" w:hAnsi="Arial" w:cs="Arial"/>
          <w:sz w:val="18"/>
          <w:szCs w:val="18"/>
          <w:lang w:eastAsia="en-GB"/>
        </w:rPr>
        <w:t>. (2018). </w:t>
      </w:r>
      <w:r w:rsidRPr="00365185">
        <w:rPr>
          <w:rFonts w:ascii="Arial" w:eastAsia="Times New Roman" w:hAnsi="Arial" w:cs="Arial"/>
          <w:iCs/>
          <w:sz w:val="18"/>
          <w:szCs w:val="18"/>
          <w:lang w:eastAsia="en-GB"/>
        </w:rPr>
        <w:t xml:space="preserve">IFRS 16 Leases vs. IAS 17 Leases: How the lease accounting changed - </w:t>
      </w:r>
      <w:proofErr w:type="spellStart"/>
      <w:r w:rsidRPr="00365185">
        <w:rPr>
          <w:rFonts w:ascii="Arial" w:eastAsia="Times New Roman" w:hAnsi="Arial" w:cs="Arial"/>
          <w:iCs/>
          <w:sz w:val="18"/>
          <w:szCs w:val="18"/>
          <w:lang w:eastAsia="en-GB"/>
        </w:rPr>
        <w:t>IFRSbox</w:t>
      </w:r>
      <w:proofErr w:type="spellEnd"/>
      <w:r w:rsidRPr="00365185">
        <w:rPr>
          <w:rFonts w:ascii="Arial" w:eastAsia="Times New Roman" w:hAnsi="Arial" w:cs="Arial"/>
          <w:iCs/>
          <w:sz w:val="18"/>
          <w:szCs w:val="18"/>
          <w:lang w:eastAsia="en-GB"/>
        </w:rPr>
        <w:t xml:space="preserve"> - Making IFRS Easy</w:t>
      </w:r>
      <w:r w:rsidRPr="00365185">
        <w:rPr>
          <w:rFonts w:ascii="Arial" w:eastAsia="Times New Roman" w:hAnsi="Arial" w:cs="Arial"/>
          <w:sz w:val="18"/>
          <w:szCs w:val="18"/>
          <w:lang w:eastAsia="en-GB"/>
        </w:rPr>
        <w:t>. [</w:t>
      </w:r>
      <w:proofErr w:type="gramStart"/>
      <w:r w:rsidRPr="00365185">
        <w:rPr>
          <w:rFonts w:ascii="Arial" w:eastAsia="Times New Roman" w:hAnsi="Arial" w:cs="Arial"/>
          <w:sz w:val="18"/>
          <w:szCs w:val="18"/>
          <w:lang w:eastAsia="en-GB"/>
        </w:rPr>
        <w:t>online</w:t>
      </w:r>
      <w:proofErr w:type="gramEnd"/>
      <w:r w:rsidRPr="00365185">
        <w:rPr>
          <w:rFonts w:ascii="Arial" w:eastAsia="Times New Roman" w:hAnsi="Arial" w:cs="Arial"/>
          <w:sz w:val="18"/>
          <w:szCs w:val="18"/>
          <w:lang w:eastAsia="en-GB"/>
        </w:rPr>
        <w:t>] Available at: https://www.ifrsbox.com/ifrs-16-ias-17-leases/ [Accessed 4 Dec. 2018].</w:t>
      </w:r>
    </w:p>
    <w:p w14:paraId="2971CC72" w14:textId="77777777" w:rsidR="00DC76A3" w:rsidRPr="00365185" w:rsidRDefault="00DC76A3" w:rsidP="00365185">
      <w:pPr>
        <w:shd w:val="clear" w:color="auto" w:fill="FFFFFF"/>
        <w:autoSpaceDE/>
        <w:autoSpaceDN/>
        <w:adjustRightInd/>
        <w:spacing w:after="0" w:line="240" w:lineRule="auto"/>
        <w:ind w:hanging="120"/>
        <w:jc w:val="both"/>
        <w:rPr>
          <w:rFonts w:ascii="Arial" w:eastAsia="Times New Roman" w:hAnsi="Arial" w:cs="Arial"/>
          <w:sz w:val="18"/>
          <w:szCs w:val="18"/>
          <w:lang w:eastAsia="en-GB"/>
        </w:rPr>
      </w:pPr>
    </w:p>
    <w:p w14:paraId="2B4CF292" w14:textId="148C09A0" w:rsidR="00DC76A3" w:rsidRPr="00365185" w:rsidRDefault="00DC76A3" w:rsidP="00365185">
      <w:pPr>
        <w:pStyle w:val="Heading3"/>
        <w:numPr>
          <w:ilvl w:val="0"/>
          <w:numId w:val="0"/>
        </w:numPr>
        <w:shd w:val="clear" w:color="auto" w:fill="FFFFFF"/>
        <w:spacing w:line="240" w:lineRule="auto"/>
        <w:ind w:left="851" w:hanging="851"/>
        <w:jc w:val="both"/>
        <w:rPr>
          <w:rFonts w:ascii="Arial" w:hAnsi="Arial" w:cs="Arial"/>
          <w:caps/>
          <w:sz w:val="18"/>
          <w:szCs w:val="18"/>
        </w:rPr>
      </w:pPr>
      <w:r w:rsidRPr="00365185">
        <w:rPr>
          <w:rFonts w:ascii="Arial" w:hAnsi="Arial" w:cs="Arial"/>
          <w:caps/>
          <w:sz w:val="18"/>
          <w:szCs w:val="18"/>
        </w:rPr>
        <w:t xml:space="preserve">CONCEPTUAL FRAMEWORK </w:t>
      </w:r>
    </w:p>
    <w:p w14:paraId="42029A8A" w14:textId="77777777" w:rsidR="00DC76A3" w:rsidRPr="00365185" w:rsidRDefault="00DC76A3" w:rsidP="00365185">
      <w:pPr>
        <w:pStyle w:val="NormalWeb"/>
        <w:shd w:val="clear" w:color="auto" w:fill="FFFFFF"/>
        <w:spacing w:before="0" w:beforeAutospacing="0" w:after="0" w:afterAutospacing="0"/>
        <w:ind w:hanging="120"/>
        <w:jc w:val="both"/>
        <w:rPr>
          <w:rFonts w:ascii="Arial" w:hAnsi="Arial" w:cs="Arial"/>
          <w:sz w:val="18"/>
          <w:szCs w:val="18"/>
        </w:rPr>
      </w:pPr>
      <w:r w:rsidRPr="00365185">
        <w:rPr>
          <w:rStyle w:val="Strong"/>
          <w:rFonts w:ascii="Arial" w:hAnsi="Arial" w:cs="Arial"/>
          <w:b w:val="0"/>
          <w:sz w:val="18"/>
          <w:szCs w:val="18"/>
        </w:rPr>
        <w:t>In-text: </w:t>
      </w:r>
      <w:r w:rsidRPr="00365185">
        <w:rPr>
          <w:rStyle w:val="selectable"/>
          <w:rFonts w:ascii="Arial" w:hAnsi="Arial" w:cs="Arial"/>
          <w:sz w:val="18"/>
          <w:szCs w:val="18"/>
        </w:rPr>
        <w:t>(Lexicon, 2015)</w:t>
      </w:r>
    </w:p>
    <w:p w14:paraId="78EF6F41" w14:textId="77777777" w:rsidR="00DC76A3" w:rsidRPr="00365185" w:rsidRDefault="00DC76A3" w:rsidP="00365185">
      <w:pPr>
        <w:pStyle w:val="NormalWeb"/>
        <w:shd w:val="clear" w:color="auto" w:fill="FFFFFF"/>
        <w:spacing w:before="0" w:beforeAutospacing="0" w:after="0" w:afterAutospacing="0"/>
        <w:ind w:hanging="120"/>
        <w:jc w:val="both"/>
        <w:rPr>
          <w:rFonts w:ascii="Arial" w:hAnsi="Arial" w:cs="Arial"/>
          <w:sz w:val="18"/>
          <w:szCs w:val="18"/>
        </w:rPr>
      </w:pPr>
      <w:proofErr w:type="gramStart"/>
      <w:r w:rsidRPr="00365185">
        <w:rPr>
          <w:rStyle w:val="Strong"/>
          <w:rFonts w:ascii="Arial" w:hAnsi="Arial" w:cs="Arial"/>
          <w:b w:val="0"/>
          <w:sz w:val="18"/>
          <w:szCs w:val="18"/>
        </w:rPr>
        <w:t>Your</w:t>
      </w:r>
      <w:proofErr w:type="gramEnd"/>
      <w:r w:rsidRPr="00365185">
        <w:rPr>
          <w:rStyle w:val="Strong"/>
          <w:rFonts w:ascii="Arial" w:hAnsi="Arial" w:cs="Arial"/>
          <w:b w:val="0"/>
          <w:sz w:val="18"/>
          <w:szCs w:val="18"/>
        </w:rPr>
        <w:t xml:space="preserve"> Bibliography: </w:t>
      </w:r>
      <w:r w:rsidRPr="00365185">
        <w:rPr>
          <w:rStyle w:val="selectable"/>
          <w:rFonts w:ascii="Arial" w:hAnsi="Arial" w:cs="Arial"/>
          <w:sz w:val="18"/>
          <w:szCs w:val="18"/>
        </w:rPr>
        <w:t xml:space="preserve">Lexicon. </w:t>
      </w:r>
      <w:proofErr w:type="gramStart"/>
      <w:r w:rsidRPr="00365185">
        <w:rPr>
          <w:rStyle w:val="selectable"/>
          <w:rFonts w:ascii="Arial" w:hAnsi="Arial" w:cs="Arial"/>
          <w:sz w:val="18"/>
          <w:szCs w:val="18"/>
        </w:rPr>
        <w:t>(2015). </w:t>
      </w:r>
      <w:r w:rsidRPr="00365185">
        <w:rPr>
          <w:rStyle w:val="selectable"/>
          <w:rFonts w:ascii="Arial" w:hAnsi="Arial" w:cs="Arial"/>
          <w:iCs/>
          <w:sz w:val="18"/>
          <w:szCs w:val="18"/>
        </w:rPr>
        <w:t>Conceptual Framework Definition from Financial Times Lexicon</w:t>
      </w:r>
      <w:r w:rsidRPr="00365185">
        <w:rPr>
          <w:rStyle w:val="selectable"/>
          <w:rFonts w:ascii="Arial" w:hAnsi="Arial" w:cs="Arial"/>
          <w:sz w:val="18"/>
          <w:szCs w:val="18"/>
        </w:rPr>
        <w:t>.</w:t>
      </w:r>
      <w:proofErr w:type="gramEnd"/>
      <w:r w:rsidRPr="00365185">
        <w:rPr>
          <w:rStyle w:val="selectable"/>
          <w:rFonts w:ascii="Arial" w:hAnsi="Arial" w:cs="Arial"/>
          <w:sz w:val="18"/>
          <w:szCs w:val="18"/>
        </w:rPr>
        <w:t xml:space="preserve"> [</w:t>
      </w:r>
      <w:proofErr w:type="gramStart"/>
      <w:r w:rsidRPr="00365185">
        <w:rPr>
          <w:rStyle w:val="selectable"/>
          <w:rFonts w:ascii="Arial" w:hAnsi="Arial" w:cs="Arial"/>
          <w:sz w:val="18"/>
          <w:szCs w:val="18"/>
        </w:rPr>
        <w:t>online</w:t>
      </w:r>
      <w:proofErr w:type="gramEnd"/>
      <w:r w:rsidRPr="00365185">
        <w:rPr>
          <w:rStyle w:val="selectable"/>
          <w:rFonts w:ascii="Arial" w:hAnsi="Arial" w:cs="Arial"/>
          <w:sz w:val="18"/>
          <w:szCs w:val="18"/>
        </w:rPr>
        <w:t>] Available at: http://lexicon.ft.com/Term?term=conceptual-framework [Accessed 4 Dec. 2018].</w:t>
      </w:r>
    </w:p>
    <w:p w14:paraId="4D1A9D4E" w14:textId="77777777" w:rsidR="0071097B" w:rsidRPr="00365185" w:rsidRDefault="0071097B" w:rsidP="00365185">
      <w:pPr>
        <w:pStyle w:val="NormalWeb"/>
        <w:shd w:val="clear" w:color="auto" w:fill="FFFFFF"/>
        <w:spacing w:before="0" w:beforeAutospacing="0" w:after="0" w:afterAutospacing="0"/>
        <w:jc w:val="both"/>
        <w:rPr>
          <w:rFonts w:ascii="Arial" w:hAnsi="Arial" w:cs="Arial"/>
          <w:sz w:val="18"/>
          <w:szCs w:val="18"/>
        </w:rPr>
      </w:pPr>
    </w:p>
    <w:p w14:paraId="2A2381F0" w14:textId="77777777" w:rsidR="001015A9" w:rsidRPr="00365185" w:rsidRDefault="001015A9" w:rsidP="00365185">
      <w:pPr>
        <w:shd w:val="clear" w:color="auto" w:fill="FFFFFF"/>
        <w:autoSpaceDE/>
        <w:autoSpaceDN/>
        <w:adjustRightInd/>
        <w:spacing w:after="0" w:line="240" w:lineRule="auto"/>
        <w:ind w:hanging="120"/>
        <w:jc w:val="both"/>
        <w:rPr>
          <w:rFonts w:ascii="Arial" w:eastAsia="Times New Roman" w:hAnsi="Arial" w:cs="Arial"/>
          <w:sz w:val="18"/>
          <w:szCs w:val="18"/>
          <w:lang w:eastAsia="en-GB"/>
        </w:rPr>
      </w:pPr>
      <w:r w:rsidRPr="00365185">
        <w:rPr>
          <w:rFonts w:ascii="Arial" w:eastAsia="Times New Roman" w:hAnsi="Arial" w:cs="Arial"/>
          <w:bCs/>
          <w:sz w:val="18"/>
          <w:szCs w:val="18"/>
          <w:lang w:eastAsia="en-GB"/>
        </w:rPr>
        <w:t>In-text: </w:t>
      </w:r>
      <w:r w:rsidRPr="00365185">
        <w:rPr>
          <w:rFonts w:ascii="Arial" w:eastAsia="Times New Roman" w:hAnsi="Arial" w:cs="Arial"/>
          <w:sz w:val="18"/>
          <w:szCs w:val="18"/>
          <w:lang w:eastAsia="en-GB"/>
        </w:rPr>
        <w:t>(MCMPA, 2018)</w:t>
      </w:r>
    </w:p>
    <w:p w14:paraId="2F3C9B4C" w14:textId="77777777" w:rsidR="001015A9" w:rsidRPr="00365185" w:rsidRDefault="001015A9" w:rsidP="00365185">
      <w:pPr>
        <w:shd w:val="clear" w:color="auto" w:fill="FFFFFF"/>
        <w:autoSpaceDE/>
        <w:autoSpaceDN/>
        <w:adjustRightInd/>
        <w:spacing w:after="0" w:line="240" w:lineRule="auto"/>
        <w:ind w:hanging="120"/>
        <w:jc w:val="both"/>
        <w:rPr>
          <w:rFonts w:ascii="Arial" w:eastAsia="Times New Roman" w:hAnsi="Arial" w:cs="Arial"/>
          <w:sz w:val="18"/>
          <w:szCs w:val="18"/>
          <w:lang w:eastAsia="en-GB"/>
        </w:rPr>
      </w:pPr>
      <w:proofErr w:type="gramStart"/>
      <w:r w:rsidRPr="00365185">
        <w:rPr>
          <w:rFonts w:ascii="Arial" w:eastAsia="Times New Roman" w:hAnsi="Arial" w:cs="Arial"/>
          <w:bCs/>
          <w:sz w:val="18"/>
          <w:szCs w:val="18"/>
          <w:lang w:eastAsia="en-GB"/>
        </w:rPr>
        <w:t>Your</w:t>
      </w:r>
      <w:proofErr w:type="gramEnd"/>
      <w:r w:rsidRPr="00365185">
        <w:rPr>
          <w:rFonts w:ascii="Arial" w:eastAsia="Times New Roman" w:hAnsi="Arial" w:cs="Arial"/>
          <w:bCs/>
          <w:sz w:val="18"/>
          <w:szCs w:val="18"/>
          <w:lang w:eastAsia="en-GB"/>
        </w:rPr>
        <w:t xml:space="preserve"> Bibliography: </w:t>
      </w:r>
      <w:r w:rsidRPr="00365185">
        <w:rPr>
          <w:rFonts w:ascii="Arial" w:eastAsia="Times New Roman" w:hAnsi="Arial" w:cs="Arial"/>
          <w:sz w:val="18"/>
          <w:szCs w:val="18"/>
          <w:lang w:eastAsia="en-GB"/>
        </w:rPr>
        <w:t xml:space="preserve">MCMPA. </w:t>
      </w:r>
      <w:proofErr w:type="gramStart"/>
      <w:r w:rsidRPr="00365185">
        <w:rPr>
          <w:rFonts w:ascii="Arial" w:eastAsia="Times New Roman" w:hAnsi="Arial" w:cs="Arial"/>
          <w:sz w:val="18"/>
          <w:szCs w:val="18"/>
          <w:lang w:eastAsia="en-GB"/>
        </w:rPr>
        <w:t>(2018). [online] Available at: https://www.mcmcpa.com/lease-proposal-continues-to-garner-criticism [Accessed 5 Dec. 2018].</w:t>
      </w:r>
      <w:proofErr w:type="gramEnd"/>
    </w:p>
    <w:p w14:paraId="46B9DC89" w14:textId="77777777" w:rsidR="001E442A" w:rsidRPr="00365185" w:rsidRDefault="001E442A" w:rsidP="00365185">
      <w:pPr>
        <w:shd w:val="clear" w:color="auto" w:fill="FFFFFF"/>
        <w:autoSpaceDE/>
        <w:autoSpaceDN/>
        <w:adjustRightInd/>
        <w:spacing w:after="0" w:line="240" w:lineRule="auto"/>
        <w:ind w:hanging="120"/>
        <w:jc w:val="both"/>
        <w:rPr>
          <w:rFonts w:ascii="Arial" w:eastAsia="Times New Roman" w:hAnsi="Arial" w:cs="Arial"/>
          <w:sz w:val="18"/>
          <w:szCs w:val="18"/>
          <w:lang w:eastAsia="en-GB"/>
        </w:rPr>
      </w:pPr>
    </w:p>
    <w:p w14:paraId="776FED2A" w14:textId="25725758" w:rsidR="000F1155" w:rsidRPr="00365185" w:rsidRDefault="000F1155" w:rsidP="00365185">
      <w:pPr>
        <w:shd w:val="clear" w:color="auto" w:fill="FFFFFF"/>
        <w:autoSpaceDE/>
        <w:autoSpaceDN/>
        <w:adjustRightInd/>
        <w:spacing w:after="0" w:line="240" w:lineRule="auto"/>
        <w:ind w:hanging="120"/>
        <w:jc w:val="both"/>
        <w:rPr>
          <w:rFonts w:ascii="Arial" w:eastAsia="Times New Roman" w:hAnsi="Arial" w:cs="Arial"/>
          <w:sz w:val="18"/>
          <w:szCs w:val="18"/>
          <w:lang w:eastAsia="en-GB"/>
        </w:rPr>
      </w:pPr>
      <w:r w:rsidRPr="00365185">
        <w:rPr>
          <w:rFonts w:ascii="Arial" w:eastAsia="Times New Roman" w:hAnsi="Arial" w:cs="Arial"/>
          <w:bCs/>
          <w:sz w:val="18"/>
          <w:szCs w:val="18"/>
          <w:lang w:eastAsia="en-GB"/>
        </w:rPr>
        <w:t>In-text: </w:t>
      </w:r>
      <w:r w:rsidRPr="00365185">
        <w:rPr>
          <w:rFonts w:ascii="Arial" w:eastAsia="Times New Roman" w:hAnsi="Arial" w:cs="Arial"/>
          <w:sz w:val="18"/>
          <w:szCs w:val="18"/>
          <w:lang w:eastAsia="en-GB"/>
        </w:rPr>
        <w:t>(CPI, 2018)</w:t>
      </w:r>
    </w:p>
    <w:p w14:paraId="1BEA5AA6" w14:textId="77777777" w:rsidR="000F1155" w:rsidRPr="00365185" w:rsidRDefault="000F1155" w:rsidP="00365185">
      <w:pPr>
        <w:shd w:val="clear" w:color="auto" w:fill="FFFFFF"/>
        <w:autoSpaceDE/>
        <w:autoSpaceDN/>
        <w:adjustRightInd/>
        <w:spacing w:after="0" w:line="240" w:lineRule="auto"/>
        <w:ind w:hanging="120"/>
        <w:jc w:val="both"/>
        <w:rPr>
          <w:rFonts w:ascii="Arial" w:eastAsia="Times New Roman" w:hAnsi="Arial" w:cs="Arial"/>
          <w:sz w:val="18"/>
          <w:szCs w:val="18"/>
          <w:lang w:eastAsia="en-GB"/>
        </w:rPr>
      </w:pPr>
      <w:proofErr w:type="gramStart"/>
      <w:r w:rsidRPr="00365185">
        <w:rPr>
          <w:rFonts w:ascii="Arial" w:eastAsia="Times New Roman" w:hAnsi="Arial" w:cs="Arial"/>
          <w:bCs/>
          <w:sz w:val="18"/>
          <w:szCs w:val="18"/>
          <w:lang w:eastAsia="en-GB"/>
        </w:rPr>
        <w:t>Your</w:t>
      </w:r>
      <w:proofErr w:type="gramEnd"/>
      <w:r w:rsidRPr="00365185">
        <w:rPr>
          <w:rFonts w:ascii="Arial" w:eastAsia="Times New Roman" w:hAnsi="Arial" w:cs="Arial"/>
          <w:bCs/>
          <w:sz w:val="18"/>
          <w:szCs w:val="18"/>
          <w:lang w:eastAsia="en-GB"/>
        </w:rPr>
        <w:t xml:space="preserve"> Bibliography: </w:t>
      </w:r>
      <w:r w:rsidRPr="00365185">
        <w:rPr>
          <w:rFonts w:ascii="Arial" w:eastAsia="Times New Roman" w:hAnsi="Arial" w:cs="Arial"/>
          <w:sz w:val="18"/>
          <w:szCs w:val="18"/>
          <w:lang w:eastAsia="en-GB"/>
        </w:rPr>
        <w:t>Corporate Finance Institute. (2018). </w:t>
      </w:r>
      <w:r w:rsidRPr="00365185">
        <w:rPr>
          <w:rFonts w:ascii="Arial" w:eastAsia="Times New Roman" w:hAnsi="Arial" w:cs="Arial"/>
          <w:iCs/>
          <w:sz w:val="18"/>
          <w:szCs w:val="18"/>
          <w:lang w:eastAsia="en-GB"/>
        </w:rPr>
        <w:t>Operating Lease - Learn How to Account for Operating Leases</w:t>
      </w:r>
      <w:r w:rsidRPr="00365185">
        <w:rPr>
          <w:rFonts w:ascii="Arial" w:eastAsia="Times New Roman" w:hAnsi="Arial" w:cs="Arial"/>
          <w:sz w:val="18"/>
          <w:szCs w:val="18"/>
          <w:lang w:eastAsia="en-GB"/>
        </w:rPr>
        <w:t>. [</w:t>
      </w:r>
      <w:proofErr w:type="gramStart"/>
      <w:r w:rsidRPr="00365185">
        <w:rPr>
          <w:rFonts w:ascii="Arial" w:eastAsia="Times New Roman" w:hAnsi="Arial" w:cs="Arial"/>
          <w:sz w:val="18"/>
          <w:szCs w:val="18"/>
          <w:lang w:eastAsia="en-GB"/>
        </w:rPr>
        <w:t>online</w:t>
      </w:r>
      <w:proofErr w:type="gramEnd"/>
      <w:r w:rsidRPr="00365185">
        <w:rPr>
          <w:rFonts w:ascii="Arial" w:eastAsia="Times New Roman" w:hAnsi="Arial" w:cs="Arial"/>
          <w:sz w:val="18"/>
          <w:szCs w:val="18"/>
          <w:lang w:eastAsia="en-GB"/>
        </w:rPr>
        <w:t>] Available at: https://corporatefinanceinstitute.com/resources/knowledge/accounting/operating-lease/ [Accessed 5 Dec. 2018].</w:t>
      </w:r>
    </w:p>
    <w:p w14:paraId="609B8947" w14:textId="77777777" w:rsidR="006A53F7" w:rsidRPr="00365185" w:rsidRDefault="006A53F7" w:rsidP="00365185">
      <w:pPr>
        <w:shd w:val="clear" w:color="auto" w:fill="FFFFFF"/>
        <w:autoSpaceDE/>
        <w:autoSpaceDN/>
        <w:adjustRightInd/>
        <w:spacing w:after="0" w:line="240" w:lineRule="auto"/>
        <w:ind w:hanging="120"/>
        <w:jc w:val="both"/>
        <w:rPr>
          <w:rFonts w:ascii="Arial" w:eastAsia="Times New Roman" w:hAnsi="Arial" w:cs="Arial"/>
          <w:sz w:val="18"/>
          <w:szCs w:val="18"/>
          <w:lang w:eastAsia="en-GB"/>
        </w:rPr>
      </w:pPr>
    </w:p>
    <w:p w14:paraId="00A87D2A" w14:textId="77777777" w:rsidR="006A53F7" w:rsidRPr="00365185" w:rsidRDefault="006A53F7" w:rsidP="00365185">
      <w:pPr>
        <w:shd w:val="clear" w:color="auto" w:fill="FFFFFF"/>
        <w:autoSpaceDE/>
        <w:autoSpaceDN/>
        <w:adjustRightInd/>
        <w:spacing w:after="0" w:line="240" w:lineRule="auto"/>
        <w:ind w:hanging="120"/>
        <w:rPr>
          <w:rFonts w:ascii="Arial" w:eastAsia="Times New Roman" w:hAnsi="Arial" w:cs="Arial"/>
          <w:sz w:val="18"/>
          <w:szCs w:val="18"/>
          <w:lang w:eastAsia="en-GB"/>
        </w:rPr>
      </w:pPr>
      <w:r w:rsidRPr="00365185">
        <w:rPr>
          <w:rFonts w:ascii="Arial" w:eastAsia="Times New Roman" w:hAnsi="Arial" w:cs="Arial"/>
          <w:bCs/>
          <w:sz w:val="18"/>
          <w:szCs w:val="18"/>
          <w:lang w:eastAsia="en-GB"/>
        </w:rPr>
        <w:t>In-text: </w:t>
      </w:r>
      <w:r w:rsidRPr="00365185">
        <w:rPr>
          <w:rFonts w:ascii="Arial" w:eastAsia="Times New Roman" w:hAnsi="Arial" w:cs="Arial"/>
          <w:sz w:val="18"/>
          <w:szCs w:val="18"/>
          <w:lang w:eastAsia="en-GB"/>
        </w:rPr>
        <w:t>(Fouche, 2017)</w:t>
      </w:r>
    </w:p>
    <w:p w14:paraId="5AD65261" w14:textId="77777777" w:rsidR="006A53F7" w:rsidRPr="00365185" w:rsidRDefault="006A53F7" w:rsidP="00365185">
      <w:pPr>
        <w:shd w:val="clear" w:color="auto" w:fill="FFFFFF"/>
        <w:autoSpaceDE/>
        <w:autoSpaceDN/>
        <w:adjustRightInd/>
        <w:spacing w:after="0" w:line="240" w:lineRule="auto"/>
        <w:ind w:hanging="120"/>
        <w:rPr>
          <w:rFonts w:ascii="Arial" w:eastAsia="Times New Roman" w:hAnsi="Arial" w:cs="Arial"/>
          <w:sz w:val="18"/>
          <w:szCs w:val="18"/>
          <w:lang w:eastAsia="en-GB"/>
        </w:rPr>
      </w:pPr>
      <w:proofErr w:type="gramStart"/>
      <w:r w:rsidRPr="00365185">
        <w:rPr>
          <w:rFonts w:ascii="Arial" w:eastAsia="Times New Roman" w:hAnsi="Arial" w:cs="Arial"/>
          <w:bCs/>
          <w:sz w:val="18"/>
          <w:szCs w:val="18"/>
          <w:lang w:eastAsia="en-GB"/>
        </w:rPr>
        <w:t>Your</w:t>
      </w:r>
      <w:proofErr w:type="gramEnd"/>
      <w:r w:rsidRPr="00365185">
        <w:rPr>
          <w:rFonts w:ascii="Arial" w:eastAsia="Times New Roman" w:hAnsi="Arial" w:cs="Arial"/>
          <w:bCs/>
          <w:sz w:val="18"/>
          <w:szCs w:val="18"/>
          <w:lang w:eastAsia="en-GB"/>
        </w:rPr>
        <w:t xml:space="preserve"> Bibliography: </w:t>
      </w:r>
      <w:r w:rsidRPr="00365185">
        <w:rPr>
          <w:rFonts w:ascii="Arial" w:eastAsia="Times New Roman" w:hAnsi="Arial" w:cs="Arial"/>
          <w:sz w:val="18"/>
          <w:szCs w:val="18"/>
          <w:lang w:eastAsia="en-GB"/>
        </w:rPr>
        <w:t>Fouche, S. (2017). </w:t>
      </w:r>
      <w:r w:rsidRPr="00365185">
        <w:rPr>
          <w:rFonts w:ascii="Arial" w:eastAsia="Times New Roman" w:hAnsi="Arial" w:cs="Arial"/>
          <w:iCs/>
          <w:sz w:val="18"/>
          <w:szCs w:val="18"/>
          <w:lang w:eastAsia="en-GB"/>
        </w:rPr>
        <w:t>The impact IFRS 16 will have on businesses, from an accounting and operational perspective</w:t>
      </w:r>
      <w:r w:rsidRPr="00365185">
        <w:rPr>
          <w:rFonts w:ascii="Arial" w:eastAsia="Times New Roman" w:hAnsi="Arial" w:cs="Arial"/>
          <w:sz w:val="18"/>
          <w:szCs w:val="18"/>
          <w:lang w:eastAsia="en-GB"/>
        </w:rPr>
        <w:t>. [</w:t>
      </w:r>
      <w:proofErr w:type="gramStart"/>
      <w:r w:rsidRPr="00365185">
        <w:rPr>
          <w:rFonts w:ascii="Arial" w:eastAsia="Times New Roman" w:hAnsi="Arial" w:cs="Arial"/>
          <w:sz w:val="18"/>
          <w:szCs w:val="18"/>
          <w:lang w:eastAsia="en-GB"/>
        </w:rPr>
        <w:t>online</w:t>
      </w:r>
      <w:proofErr w:type="gramEnd"/>
      <w:r w:rsidRPr="00365185">
        <w:rPr>
          <w:rFonts w:ascii="Arial" w:eastAsia="Times New Roman" w:hAnsi="Arial" w:cs="Arial"/>
          <w:sz w:val="18"/>
          <w:szCs w:val="18"/>
          <w:lang w:eastAsia="en-GB"/>
        </w:rPr>
        <w:t>] Rentworks.co.za. Available at: https://www.rentworks.co.za/news/the-impact-ifrs-16-will-have-on-businesses.html [Accessed 5 Dec. 2018].</w:t>
      </w:r>
    </w:p>
    <w:p w14:paraId="78A345F8" w14:textId="091DCD30" w:rsidR="0004663E" w:rsidRPr="00365185" w:rsidRDefault="0004663E" w:rsidP="00365185">
      <w:pPr>
        <w:shd w:val="clear" w:color="auto" w:fill="FFFFFF"/>
        <w:autoSpaceDE/>
        <w:autoSpaceDN/>
        <w:adjustRightInd/>
        <w:spacing w:after="0" w:line="240" w:lineRule="auto"/>
        <w:ind w:hanging="120"/>
        <w:rPr>
          <w:rFonts w:ascii="Arial" w:eastAsia="Times New Roman" w:hAnsi="Arial" w:cs="Arial"/>
          <w:sz w:val="18"/>
          <w:szCs w:val="18"/>
          <w:lang w:eastAsia="en-GB"/>
        </w:rPr>
      </w:pPr>
      <w:r w:rsidRPr="00365185">
        <w:rPr>
          <w:rFonts w:ascii="Arial" w:eastAsia="Times New Roman" w:hAnsi="Arial" w:cs="Arial"/>
          <w:sz w:val="18"/>
          <w:szCs w:val="18"/>
          <w:lang w:eastAsia="en-GB"/>
        </w:rPr>
        <w:t>(Ifrs.org 2018)</w:t>
      </w:r>
    </w:p>
    <w:p w14:paraId="2AC0408B" w14:textId="77777777" w:rsidR="0004663E" w:rsidRPr="00365185" w:rsidRDefault="0004663E" w:rsidP="00365185">
      <w:pPr>
        <w:shd w:val="clear" w:color="auto" w:fill="FFFFFF"/>
        <w:autoSpaceDE/>
        <w:autoSpaceDN/>
        <w:adjustRightInd/>
        <w:spacing w:after="0" w:line="240" w:lineRule="auto"/>
        <w:ind w:hanging="120"/>
        <w:rPr>
          <w:rFonts w:ascii="Arial" w:eastAsia="Times New Roman" w:hAnsi="Arial" w:cs="Arial"/>
          <w:sz w:val="18"/>
          <w:szCs w:val="18"/>
          <w:lang w:eastAsia="en-GB"/>
        </w:rPr>
      </w:pPr>
      <w:proofErr w:type="gramStart"/>
      <w:r w:rsidRPr="00365185">
        <w:rPr>
          <w:rFonts w:ascii="Arial" w:eastAsia="Times New Roman" w:hAnsi="Arial" w:cs="Arial"/>
          <w:bCs/>
          <w:sz w:val="18"/>
          <w:szCs w:val="18"/>
          <w:lang w:eastAsia="en-GB"/>
        </w:rPr>
        <w:t>Your</w:t>
      </w:r>
      <w:proofErr w:type="gramEnd"/>
      <w:r w:rsidRPr="00365185">
        <w:rPr>
          <w:rFonts w:ascii="Arial" w:eastAsia="Times New Roman" w:hAnsi="Arial" w:cs="Arial"/>
          <w:bCs/>
          <w:sz w:val="18"/>
          <w:szCs w:val="18"/>
          <w:lang w:eastAsia="en-GB"/>
        </w:rPr>
        <w:t xml:space="preserve"> Bibliography: </w:t>
      </w:r>
      <w:r w:rsidRPr="00365185">
        <w:rPr>
          <w:rFonts w:ascii="Arial" w:eastAsia="Times New Roman" w:hAnsi="Arial" w:cs="Arial"/>
          <w:sz w:val="18"/>
          <w:szCs w:val="18"/>
          <w:lang w:eastAsia="en-GB"/>
        </w:rPr>
        <w:t xml:space="preserve">Ifrs.org. </w:t>
      </w:r>
      <w:proofErr w:type="gramStart"/>
      <w:r w:rsidRPr="00365185">
        <w:rPr>
          <w:rFonts w:ascii="Arial" w:eastAsia="Times New Roman" w:hAnsi="Arial" w:cs="Arial"/>
          <w:sz w:val="18"/>
          <w:szCs w:val="18"/>
          <w:lang w:eastAsia="en-GB"/>
        </w:rPr>
        <w:t>(2018). [online] Available at: https://www.ifrs.org/-/media/project/leases/ifrs/published-documents/ifrs16-effects-analysis.pdf [Accessed 5 Dec. 2018].</w:t>
      </w:r>
      <w:proofErr w:type="gramEnd"/>
    </w:p>
    <w:p w14:paraId="66CC9859" w14:textId="77777777" w:rsidR="00621F3F" w:rsidRPr="00365185" w:rsidRDefault="00621F3F" w:rsidP="00365185">
      <w:pPr>
        <w:shd w:val="clear" w:color="auto" w:fill="FFFFFF"/>
        <w:autoSpaceDE/>
        <w:autoSpaceDN/>
        <w:adjustRightInd/>
        <w:spacing w:after="0" w:line="240" w:lineRule="auto"/>
        <w:ind w:hanging="120"/>
        <w:rPr>
          <w:rFonts w:ascii="Arial" w:eastAsia="Times New Roman" w:hAnsi="Arial" w:cs="Arial"/>
          <w:sz w:val="18"/>
          <w:szCs w:val="18"/>
          <w:lang w:eastAsia="en-GB"/>
        </w:rPr>
      </w:pPr>
    </w:p>
    <w:p w14:paraId="0C693258" w14:textId="77777777" w:rsidR="00621F3F" w:rsidRPr="00365185" w:rsidRDefault="00621F3F" w:rsidP="00365185">
      <w:pPr>
        <w:pStyle w:val="Heading3"/>
        <w:numPr>
          <w:ilvl w:val="0"/>
          <w:numId w:val="0"/>
        </w:numPr>
        <w:shd w:val="clear" w:color="auto" w:fill="FFFFFF"/>
        <w:spacing w:line="240" w:lineRule="auto"/>
        <w:ind w:left="851" w:hanging="851"/>
        <w:rPr>
          <w:rFonts w:ascii="Arial" w:hAnsi="Arial" w:cs="Arial"/>
          <w:caps/>
          <w:sz w:val="18"/>
          <w:szCs w:val="18"/>
        </w:rPr>
      </w:pPr>
      <w:r w:rsidRPr="00365185">
        <w:rPr>
          <w:rFonts w:ascii="Arial" w:hAnsi="Arial" w:cs="Arial"/>
          <w:caps/>
          <w:sz w:val="18"/>
          <w:szCs w:val="18"/>
        </w:rPr>
        <w:t>WHY IFRS 16 WILL RADICALLY CHANGE THE RETAIL SECTOR</w:t>
      </w:r>
    </w:p>
    <w:p w14:paraId="3ABD0714" w14:textId="24483BC9" w:rsidR="00621F3F" w:rsidRPr="00365185" w:rsidRDefault="00621F3F" w:rsidP="00365185">
      <w:pPr>
        <w:pStyle w:val="NormalWeb"/>
        <w:shd w:val="clear" w:color="auto" w:fill="FFFFFF"/>
        <w:spacing w:before="0" w:beforeAutospacing="0" w:after="0" w:afterAutospacing="0"/>
        <w:ind w:hanging="120"/>
        <w:rPr>
          <w:rFonts w:ascii="Arial" w:hAnsi="Arial" w:cs="Arial"/>
          <w:sz w:val="18"/>
          <w:szCs w:val="18"/>
        </w:rPr>
      </w:pPr>
      <w:r w:rsidRPr="00365185">
        <w:rPr>
          <w:rStyle w:val="Strong"/>
          <w:rFonts w:ascii="Arial" w:hAnsi="Arial" w:cs="Arial"/>
          <w:b w:val="0"/>
          <w:sz w:val="18"/>
          <w:szCs w:val="18"/>
        </w:rPr>
        <w:t>In-text: </w:t>
      </w:r>
      <w:r w:rsidRPr="00365185">
        <w:rPr>
          <w:rStyle w:val="selectable"/>
          <w:rFonts w:ascii="Arial" w:hAnsi="Arial" w:cs="Arial"/>
          <w:sz w:val="18"/>
          <w:szCs w:val="18"/>
        </w:rPr>
        <w:t>(</w:t>
      </w:r>
      <w:proofErr w:type="spellStart"/>
      <w:r w:rsidRPr="00365185">
        <w:rPr>
          <w:rStyle w:val="selectable"/>
          <w:rFonts w:ascii="Arial" w:hAnsi="Arial" w:cs="Arial"/>
          <w:sz w:val="18"/>
          <w:szCs w:val="18"/>
        </w:rPr>
        <w:t>Icaew</w:t>
      </w:r>
      <w:proofErr w:type="spellEnd"/>
      <w:r w:rsidRPr="00365185">
        <w:rPr>
          <w:rStyle w:val="selectable"/>
          <w:rFonts w:ascii="Arial" w:hAnsi="Arial" w:cs="Arial"/>
          <w:sz w:val="18"/>
          <w:szCs w:val="18"/>
        </w:rPr>
        <w:t>, 2017)</w:t>
      </w:r>
    </w:p>
    <w:p w14:paraId="00C54B15" w14:textId="77777777" w:rsidR="00621F3F" w:rsidRPr="00365185" w:rsidRDefault="00621F3F" w:rsidP="00365185">
      <w:pPr>
        <w:pStyle w:val="NormalWeb"/>
        <w:shd w:val="clear" w:color="auto" w:fill="FFFFFF"/>
        <w:spacing w:before="0" w:beforeAutospacing="0" w:after="0" w:afterAutospacing="0"/>
        <w:ind w:hanging="120"/>
        <w:rPr>
          <w:rFonts w:ascii="Arial" w:hAnsi="Arial" w:cs="Arial"/>
          <w:sz w:val="18"/>
          <w:szCs w:val="18"/>
        </w:rPr>
      </w:pPr>
      <w:proofErr w:type="gramStart"/>
      <w:r w:rsidRPr="00365185">
        <w:rPr>
          <w:rStyle w:val="Strong"/>
          <w:rFonts w:ascii="Arial" w:hAnsi="Arial" w:cs="Arial"/>
          <w:b w:val="0"/>
          <w:sz w:val="18"/>
          <w:szCs w:val="18"/>
        </w:rPr>
        <w:t>Your</w:t>
      </w:r>
      <w:proofErr w:type="gramEnd"/>
      <w:r w:rsidRPr="00365185">
        <w:rPr>
          <w:rStyle w:val="Strong"/>
          <w:rFonts w:ascii="Arial" w:hAnsi="Arial" w:cs="Arial"/>
          <w:b w:val="0"/>
          <w:sz w:val="18"/>
          <w:szCs w:val="18"/>
        </w:rPr>
        <w:t xml:space="preserve"> Bibliography: </w:t>
      </w:r>
      <w:r w:rsidRPr="00365185">
        <w:rPr>
          <w:rStyle w:val="selectable"/>
          <w:rFonts w:ascii="Arial" w:hAnsi="Arial" w:cs="Arial"/>
          <w:sz w:val="18"/>
          <w:szCs w:val="18"/>
        </w:rPr>
        <w:t>Economia.icaew.com. (2017). </w:t>
      </w:r>
      <w:r w:rsidRPr="00365185">
        <w:rPr>
          <w:rStyle w:val="selectable"/>
          <w:rFonts w:ascii="Arial" w:hAnsi="Arial" w:cs="Arial"/>
          <w:iCs/>
          <w:sz w:val="18"/>
          <w:szCs w:val="18"/>
        </w:rPr>
        <w:t>Why IFRS 16 will radically change the retail sector</w:t>
      </w:r>
      <w:r w:rsidRPr="00365185">
        <w:rPr>
          <w:rStyle w:val="selectable"/>
          <w:rFonts w:ascii="Arial" w:hAnsi="Arial" w:cs="Arial"/>
          <w:sz w:val="18"/>
          <w:szCs w:val="18"/>
        </w:rPr>
        <w:t>. [</w:t>
      </w:r>
      <w:proofErr w:type="gramStart"/>
      <w:r w:rsidRPr="00365185">
        <w:rPr>
          <w:rStyle w:val="selectable"/>
          <w:rFonts w:ascii="Arial" w:hAnsi="Arial" w:cs="Arial"/>
          <w:sz w:val="18"/>
          <w:szCs w:val="18"/>
        </w:rPr>
        <w:t>online</w:t>
      </w:r>
      <w:proofErr w:type="gramEnd"/>
      <w:r w:rsidRPr="00365185">
        <w:rPr>
          <w:rStyle w:val="selectable"/>
          <w:rFonts w:ascii="Arial" w:hAnsi="Arial" w:cs="Arial"/>
          <w:sz w:val="18"/>
          <w:szCs w:val="18"/>
        </w:rPr>
        <w:t>] Available at: https://economia.icaew.com/features/july-2017/why-ifrs-16-will-radically-impact-the-retail-sector [Accessed 5 Dec. 2018].</w:t>
      </w:r>
    </w:p>
    <w:p w14:paraId="53DF1EE9" w14:textId="77777777" w:rsidR="00365185" w:rsidRDefault="00365185" w:rsidP="00365185">
      <w:pPr>
        <w:pStyle w:val="NormalWeb"/>
        <w:shd w:val="clear" w:color="auto" w:fill="FFFFFF"/>
        <w:spacing w:before="0" w:beforeAutospacing="0" w:after="0" w:afterAutospacing="0"/>
        <w:jc w:val="both"/>
        <w:rPr>
          <w:rFonts w:ascii="Arial" w:hAnsi="Arial" w:cs="Arial"/>
          <w:color w:val="666666"/>
          <w:sz w:val="20"/>
          <w:szCs w:val="20"/>
          <w:lang w:eastAsia="en-GB"/>
        </w:rPr>
      </w:pPr>
    </w:p>
    <w:p w14:paraId="30AB5C76" w14:textId="77DA9E22" w:rsidR="003361F6" w:rsidRPr="001E442A" w:rsidRDefault="001E442A" w:rsidP="00365185">
      <w:pPr>
        <w:pStyle w:val="NormalWeb"/>
        <w:shd w:val="clear" w:color="auto" w:fill="FFFFFF"/>
        <w:spacing w:before="0" w:beforeAutospacing="0" w:after="0" w:afterAutospacing="0"/>
        <w:jc w:val="both"/>
        <w:rPr>
          <w:rFonts w:ascii="Arial" w:hAnsi="Arial" w:cs="Arial"/>
          <w:b/>
          <w:szCs w:val="18"/>
          <w:u w:val="single"/>
        </w:rPr>
      </w:pPr>
      <w:r w:rsidRPr="001E442A">
        <w:rPr>
          <w:rFonts w:ascii="Arial" w:hAnsi="Arial" w:cs="Arial"/>
          <w:b/>
          <w:szCs w:val="18"/>
          <w:u w:val="single"/>
        </w:rPr>
        <w:t>Books</w:t>
      </w:r>
    </w:p>
    <w:p w14:paraId="0B2794DA" w14:textId="77777777" w:rsidR="007D5295" w:rsidRPr="001E442A" w:rsidRDefault="007D5295" w:rsidP="001E442A">
      <w:pPr>
        <w:pStyle w:val="Heading4"/>
        <w:shd w:val="clear" w:color="auto" w:fill="FFFFFF"/>
        <w:spacing w:before="0" w:line="240" w:lineRule="auto"/>
        <w:jc w:val="both"/>
        <w:rPr>
          <w:rFonts w:ascii="Arial" w:eastAsia="Times New Roman" w:hAnsi="Arial" w:cs="Arial"/>
          <w:b/>
          <w:i w:val="0"/>
          <w:iCs w:val="0"/>
          <w:color w:val="FF0000"/>
          <w:sz w:val="18"/>
          <w:szCs w:val="18"/>
          <w:u w:val="single"/>
        </w:rPr>
      </w:pPr>
    </w:p>
    <w:p w14:paraId="2C869590" w14:textId="77777777" w:rsidR="00905320" w:rsidRPr="001E442A" w:rsidRDefault="00905320" w:rsidP="001E442A">
      <w:pPr>
        <w:pStyle w:val="Heading4"/>
        <w:shd w:val="clear" w:color="auto" w:fill="FFFFFF"/>
        <w:spacing w:before="0" w:line="240" w:lineRule="auto"/>
        <w:jc w:val="both"/>
        <w:rPr>
          <w:rFonts w:ascii="Arial" w:hAnsi="Arial" w:cs="Arial"/>
          <w:i w:val="0"/>
          <w:color w:val="auto"/>
          <w:sz w:val="18"/>
          <w:szCs w:val="18"/>
        </w:rPr>
      </w:pPr>
      <w:r w:rsidRPr="001E442A">
        <w:rPr>
          <w:rFonts w:ascii="Arial" w:hAnsi="Arial" w:cs="Arial"/>
          <w:bCs/>
          <w:i w:val="0"/>
          <w:color w:val="auto"/>
          <w:sz w:val="18"/>
          <w:szCs w:val="18"/>
        </w:rPr>
        <w:t xml:space="preserve">Interpretation and Application of UK GAAP for accounting periods commencing on or after 1 </w:t>
      </w:r>
      <w:proofErr w:type="spellStart"/>
      <w:proofErr w:type="gramStart"/>
      <w:r w:rsidRPr="001E442A">
        <w:rPr>
          <w:rFonts w:ascii="Arial" w:hAnsi="Arial" w:cs="Arial"/>
          <w:bCs/>
          <w:i w:val="0"/>
          <w:color w:val="auto"/>
          <w:sz w:val="18"/>
          <w:szCs w:val="18"/>
        </w:rPr>
        <w:t>january</w:t>
      </w:r>
      <w:proofErr w:type="spellEnd"/>
      <w:proofErr w:type="gramEnd"/>
      <w:r w:rsidRPr="001E442A">
        <w:rPr>
          <w:rFonts w:ascii="Arial" w:hAnsi="Arial" w:cs="Arial"/>
          <w:bCs/>
          <w:i w:val="0"/>
          <w:color w:val="auto"/>
          <w:sz w:val="18"/>
          <w:szCs w:val="18"/>
        </w:rPr>
        <w:t xml:space="preserve"> 2015</w:t>
      </w:r>
    </w:p>
    <w:p w14:paraId="422490E0" w14:textId="77777777" w:rsidR="00905320" w:rsidRPr="001E442A" w:rsidRDefault="00905320" w:rsidP="001E442A">
      <w:pPr>
        <w:pStyle w:val="NormalWeb"/>
        <w:shd w:val="clear" w:color="auto" w:fill="FFFFFF"/>
        <w:spacing w:before="0" w:beforeAutospacing="0" w:after="0" w:afterAutospacing="0"/>
        <w:ind w:hanging="120"/>
        <w:jc w:val="both"/>
        <w:rPr>
          <w:rFonts w:ascii="Arial" w:hAnsi="Arial" w:cs="Arial"/>
          <w:sz w:val="18"/>
          <w:szCs w:val="18"/>
        </w:rPr>
      </w:pPr>
      <w:r w:rsidRPr="001E442A">
        <w:rPr>
          <w:rStyle w:val="Strong"/>
          <w:rFonts w:ascii="Arial" w:hAnsi="Arial" w:cs="Arial"/>
          <w:b w:val="0"/>
          <w:sz w:val="18"/>
          <w:szCs w:val="18"/>
        </w:rPr>
        <w:t>In-text: </w:t>
      </w:r>
      <w:r w:rsidRPr="001E442A">
        <w:rPr>
          <w:rStyle w:val="selectable"/>
          <w:rFonts w:ascii="Arial" w:hAnsi="Arial" w:cs="Arial"/>
          <w:sz w:val="18"/>
          <w:szCs w:val="18"/>
        </w:rPr>
        <w:t>(Collings, 2015)</w:t>
      </w:r>
    </w:p>
    <w:p w14:paraId="0FD6B9DE" w14:textId="36D1761E" w:rsidR="00905320" w:rsidRPr="001E442A" w:rsidRDefault="00905320" w:rsidP="001E442A">
      <w:pPr>
        <w:pStyle w:val="NormalWeb"/>
        <w:shd w:val="clear" w:color="auto" w:fill="FFFFFF"/>
        <w:spacing w:before="0" w:beforeAutospacing="0" w:after="0" w:afterAutospacing="0"/>
        <w:ind w:hanging="120"/>
        <w:jc w:val="both"/>
        <w:rPr>
          <w:rStyle w:val="selectable"/>
          <w:rFonts w:ascii="Arial" w:hAnsi="Arial" w:cs="Arial"/>
          <w:sz w:val="18"/>
          <w:szCs w:val="18"/>
        </w:rPr>
      </w:pPr>
      <w:r w:rsidRPr="001E442A">
        <w:rPr>
          <w:rStyle w:val="Strong"/>
          <w:rFonts w:ascii="Arial" w:hAnsi="Arial" w:cs="Arial"/>
          <w:b w:val="0"/>
          <w:sz w:val="18"/>
          <w:szCs w:val="18"/>
        </w:rPr>
        <w:t>Your Bibliography: </w:t>
      </w:r>
      <w:r w:rsidRPr="001E442A">
        <w:rPr>
          <w:rStyle w:val="selectable"/>
          <w:rFonts w:ascii="Arial" w:hAnsi="Arial" w:cs="Arial"/>
          <w:sz w:val="18"/>
          <w:szCs w:val="18"/>
        </w:rPr>
        <w:t>Collings, S. (2015). </w:t>
      </w:r>
      <w:r w:rsidRPr="001E442A">
        <w:rPr>
          <w:rStyle w:val="selectable"/>
          <w:rFonts w:ascii="Arial" w:hAnsi="Arial" w:cs="Arial"/>
          <w:iCs/>
          <w:sz w:val="18"/>
          <w:szCs w:val="18"/>
        </w:rPr>
        <w:t xml:space="preserve">Interpretation and Application of UK GAAP for accounting periods commencing on or after 1 </w:t>
      </w:r>
      <w:proofErr w:type="spellStart"/>
      <w:proofErr w:type="gramStart"/>
      <w:r w:rsidRPr="001E442A">
        <w:rPr>
          <w:rStyle w:val="selectable"/>
          <w:rFonts w:ascii="Arial" w:hAnsi="Arial" w:cs="Arial"/>
          <w:iCs/>
          <w:sz w:val="18"/>
          <w:szCs w:val="18"/>
        </w:rPr>
        <w:t>january</w:t>
      </w:r>
      <w:proofErr w:type="spellEnd"/>
      <w:proofErr w:type="gramEnd"/>
      <w:r w:rsidRPr="001E442A">
        <w:rPr>
          <w:rStyle w:val="selectable"/>
          <w:rFonts w:ascii="Arial" w:hAnsi="Arial" w:cs="Arial"/>
          <w:iCs/>
          <w:sz w:val="18"/>
          <w:szCs w:val="18"/>
        </w:rPr>
        <w:t xml:space="preserve"> 2015</w:t>
      </w:r>
      <w:r w:rsidRPr="001E442A">
        <w:rPr>
          <w:rStyle w:val="selectable"/>
          <w:rFonts w:ascii="Arial" w:hAnsi="Arial" w:cs="Arial"/>
          <w:sz w:val="18"/>
          <w:szCs w:val="18"/>
        </w:rPr>
        <w:t>. Chichester: Wiley, pp.321-323.</w:t>
      </w:r>
    </w:p>
    <w:p w14:paraId="1CAD3398" w14:textId="2794CCC7" w:rsidR="00D25BB5" w:rsidRPr="001E442A" w:rsidRDefault="00D25BB5" w:rsidP="001E442A">
      <w:pPr>
        <w:pStyle w:val="NormalWeb"/>
        <w:shd w:val="clear" w:color="auto" w:fill="FFFFFF"/>
        <w:spacing w:before="0" w:beforeAutospacing="0" w:after="0" w:afterAutospacing="0"/>
        <w:ind w:hanging="120"/>
        <w:jc w:val="both"/>
        <w:rPr>
          <w:rStyle w:val="selectable"/>
          <w:rFonts w:ascii="Arial" w:hAnsi="Arial" w:cs="Arial"/>
          <w:sz w:val="18"/>
          <w:szCs w:val="18"/>
        </w:rPr>
      </w:pPr>
    </w:p>
    <w:p w14:paraId="4467B828" w14:textId="0EB0E2C9" w:rsidR="00D25BB5" w:rsidRPr="001E442A" w:rsidRDefault="00D25BB5" w:rsidP="001E442A">
      <w:pPr>
        <w:pStyle w:val="Heading4"/>
        <w:shd w:val="clear" w:color="auto" w:fill="FFFFFF"/>
        <w:spacing w:before="0" w:line="240" w:lineRule="auto"/>
        <w:jc w:val="both"/>
        <w:rPr>
          <w:rFonts w:ascii="Arial" w:hAnsi="Arial" w:cs="Arial"/>
          <w:i w:val="0"/>
          <w:color w:val="auto"/>
          <w:sz w:val="18"/>
          <w:szCs w:val="18"/>
        </w:rPr>
      </w:pPr>
      <w:r w:rsidRPr="001E442A">
        <w:rPr>
          <w:rFonts w:ascii="Arial" w:hAnsi="Arial" w:cs="Arial"/>
          <w:bCs/>
          <w:i w:val="0"/>
          <w:color w:val="auto"/>
          <w:sz w:val="18"/>
          <w:szCs w:val="18"/>
        </w:rPr>
        <w:t>Manual of accounting</w:t>
      </w:r>
    </w:p>
    <w:p w14:paraId="5A10B40A" w14:textId="77777777" w:rsidR="00D25BB5" w:rsidRPr="001E442A" w:rsidRDefault="00D25BB5" w:rsidP="001E442A">
      <w:pPr>
        <w:pStyle w:val="NormalWeb"/>
        <w:shd w:val="clear" w:color="auto" w:fill="FFFFFF"/>
        <w:spacing w:before="0" w:beforeAutospacing="0" w:after="0" w:afterAutospacing="0"/>
        <w:ind w:hanging="120"/>
        <w:jc w:val="both"/>
        <w:rPr>
          <w:rFonts w:ascii="Arial" w:hAnsi="Arial" w:cs="Arial"/>
          <w:sz w:val="18"/>
          <w:szCs w:val="18"/>
        </w:rPr>
      </w:pPr>
      <w:r w:rsidRPr="001E442A">
        <w:rPr>
          <w:rStyle w:val="Strong"/>
          <w:rFonts w:ascii="Arial" w:hAnsi="Arial" w:cs="Arial"/>
          <w:b w:val="0"/>
          <w:sz w:val="18"/>
          <w:szCs w:val="18"/>
        </w:rPr>
        <w:t>In-text: </w:t>
      </w:r>
      <w:r w:rsidRPr="001E442A">
        <w:rPr>
          <w:rStyle w:val="selectable"/>
          <w:rFonts w:ascii="Arial" w:hAnsi="Arial" w:cs="Arial"/>
          <w:sz w:val="18"/>
          <w:szCs w:val="18"/>
        </w:rPr>
        <w:t>(</w:t>
      </w:r>
      <w:proofErr w:type="spellStart"/>
      <w:r w:rsidRPr="001E442A">
        <w:rPr>
          <w:rStyle w:val="selectable"/>
          <w:rFonts w:ascii="Arial" w:hAnsi="Arial" w:cs="Arial"/>
          <w:sz w:val="18"/>
          <w:szCs w:val="18"/>
        </w:rPr>
        <w:t>Beeby</w:t>
      </w:r>
      <w:proofErr w:type="spellEnd"/>
      <w:r w:rsidRPr="001E442A">
        <w:rPr>
          <w:rStyle w:val="selectable"/>
          <w:rFonts w:ascii="Arial" w:hAnsi="Arial" w:cs="Arial"/>
          <w:sz w:val="18"/>
          <w:szCs w:val="18"/>
        </w:rPr>
        <w:t>, 2015)</w:t>
      </w:r>
    </w:p>
    <w:p w14:paraId="4DD7D7D9" w14:textId="77777777" w:rsidR="00D25BB5" w:rsidRPr="001E442A" w:rsidRDefault="00D25BB5" w:rsidP="001E442A">
      <w:pPr>
        <w:pStyle w:val="NormalWeb"/>
        <w:shd w:val="clear" w:color="auto" w:fill="FFFFFF"/>
        <w:spacing w:before="0" w:beforeAutospacing="0" w:after="0" w:afterAutospacing="0"/>
        <w:ind w:hanging="120"/>
        <w:jc w:val="both"/>
        <w:rPr>
          <w:rStyle w:val="selectable"/>
          <w:rFonts w:ascii="Arial" w:hAnsi="Arial" w:cs="Arial"/>
          <w:sz w:val="18"/>
          <w:szCs w:val="18"/>
        </w:rPr>
      </w:pPr>
      <w:proofErr w:type="gramStart"/>
      <w:r w:rsidRPr="001E442A">
        <w:rPr>
          <w:rStyle w:val="Strong"/>
          <w:rFonts w:ascii="Arial" w:hAnsi="Arial" w:cs="Arial"/>
          <w:b w:val="0"/>
          <w:sz w:val="18"/>
          <w:szCs w:val="18"/>
        </w:rPr>
        <w:t>Your</w:t>
      </w:r>
      <w:proofErr w:type="gramEnd"/>
      <w:r w:rsidRPr="001E442A">
        <w:rPr>
          <w:rStyle w:val="Strong"/>
          <w:rFonts w:ascii="Arial" w:hAnsi="Arial" w:cs="Arial"/>
          <w:b w:val="0"/>
          <w:sz w:val="18"/>
          <w:szCs w:val="18"/>
        </w:rPr>
        <w:t xml:space="preserve"> Bibliography: </w:t>
      </w:r>
      <w:proofErr w:type="spellStart"/>
      <w:r w:rsidRPr="001E442A">
        <w:rPr>
          <w:rStyle w:val="selectable"/>
          <w:rFonts w:ascii="Arial" w:hAnsi="Arial" w:cs="Arial"/>
          <w:sz w:val="18"/>
          <w:szCs w:val="18"/>
        </w:rPr>
        <w:t>Beeby</w:t>
      </w:r>
      <w:proofErr w:type="spellEnd"/>
      <w:r w:rsidRPr="001E442A">
        <w:rPr>
          <w:rStyle w:val="selectable"/>
          <w:rFonts w:ascii="Arial" w:hAnsi="Arial" w:cs="Arial"/>
          <w:sz w:val="18"/>
          <w:szCs w:val="18"/>
        </w:rPr>
        <w:t>, H. (2015). </w:t>
      </w:r>
      <w:proofErr w:type="gramStart"/>
      <w:r w:rsidRPr="001E442A">
        <w:rPr>
          <w:rStyle w:val="selectable"/>
          <w:rFonts w:ascii="Arial" w:hAnsi="Arial" w:cs="Arial"/>
          <w:iCs/>
          <w:sz w:val="18"/>
          <w:szCs w:val="18"/>
        </w:rPr>
        <w:t>Manual of accounting</w:t>
      </w:r>
      <w:r w:rsidRPr="001E442A">
        <w:rPr>
          <w:rStyle w:val="selectable"/>
          <w:rFonts w:ascii="Arial" w:hAnsi="Arial" w:cs="Arial"/>
          <w:sz w:val="18"/>
          <w:szCs w:val="18"/>
        </w:rPr>
        <w:t>.</w:t>
      </w:r>
      <w:proofErr w:type="gramEnd"/>
      <w:r w:rsidRPr="001E442A">
        <w:rPr>
          <w:rStyle w:val="selectable"/>
          <w:rFonts w:ascii="Arial" w:hAnsi="Arial" w:cs="Arial"/>
          <w:sz w:val="18"/>
          <w:szCs w:val="18"/>
        </w:rPr>
        <w:t xml:space="preserve"> Haywards Heath: Bloomsbury.</w:t>
      </w:r>
    </w:p>
    <w:p w14:paraId="503153DF" w14:textId="77777777" w:rsidR="007D5295" w:rsidRPr="001E442A" w:rsidRDefault="007D5295" w:rsidP="001E442A">
      <w:pPr>
        <w:pStyle w:val="NormalWeb"/>
        <w:shd w:val="clear" w:color="auto" w:fill="FFFFFF"/>
        <w:spacing w:before="0" w:beforeAutospacing="0" w:after="0" w:afterAutospacing="0"/>
        <w:ind w:hanging="120"/>
        <w:jc w:val="both"/>
        <w:rPr>
          <w:rStyle w:val="selectable"/>
          <w:rFonts w:ascii="Arial" w:hAnsi="Arial" w:cs="Arial"/>
          <w:sz w:val="18"/>
          <w:szCs w:val="18"/>
        </w:rPr>
      </w:pPr>
    </w:p>
    <w:p w14:paraId="08861D48" w14:textId="22290C83" w:rsidR="007D5295" w:rsidRPr="001E442A" w:rsidRDefault="007D5295" w:rsidP="001E442A">
      <w:pPr>
        <w:pStyle w:val="Heading4"/>
        <w:shd w:val="clear" w:color="auto" w:fill="FFFFFF"/>
        <w:spacing w:before="0" w:line="240" w:lineRule="auto"/>
        <w:jc w:val="both"/>
        <w:rPr>
          <w:rFonts w:ascii="Arial" w:hAnsi="Arial" w:cs="Arial"/>
          <w:bCs/>
          <w:i w:val="0"/>
          <w:color w:val="auto"/>
          <w:sz w:val="18"/>
          <w:szCs w:val="18"/>
        </w:rPr>
      </w:pPr>
    </w:p>
    <w:p w14:paraId="6D919C61" w14:textId="77777777" w:rsidR="007D5295" w:rsidRPr="001E442A" w:rsidRDefault="007D5295" w:rsidP="001E442A">
      <w:pPr>
        <w:pStyle w:val="Heading4"/>
        <w:shd w:val="clear" w:color="auto" w:fill="FFFFFF"/>
        <w:spacing w:before="0" w:line="240" w:lineRule="auto"/>
        <w:jc w:val="both"/>
        <w:rPr>
          <w:rFonts w:ascii="Arial" w:hAnsi="Arial" w:cs="Arial"/>
          <w:i w:val="0"/>
          <w:color w:val="auto"/>
          <w:sz w:val="18"/>
          <w:szCs w:val="18"/>
        </w:rPr>
      </w:pPr>
      <w:r w:rsidRPr="001E442A">
        <w:rPr>
          <w:rFonts w:ascii="Arial" w:hAnsi="Arial" w:cs="Arial"/>
          <w:bCs/>
          <w:i w:val="0"/>
          <w:color w:val="auto"/>
          <w:sz w:val="18"/>
          <w:szCs w:val="18"/>
        </w:rPr>
        <w:t>A conceptual framework for financial accounting and reporting</w:t>
      </w:r>
    </w:p>
    <w:p w14:paraId="74D78573" w14:textId="4196DE68" w:rsidR="007D5295" w:rsidRPr="001E442A" w:rsidRDefault="007D5295" w:rsidP="00365185">
      <w:pPr>
        <w:pStyle w:val="NormalWeb"/>
        <w:shd w:val="clear" w:color="auto" w:fill="FFFFFF"/>
        <w:spacing w:before="0" w:beforeAutospacing="0" w:after="0" w:afterAutospacing="0"/>
        <w:ind w:hanging="120"/>
        <w:jc w:val="both"/>
        <w:rPr>
          <w:rFonts w:ascii="Arial" w:hAnsi="Arial" w:cs="Arial"/>
          <w:sz w:val="18"/>
          <w:szCs w:val="18"/>
        </w:rPr>
      </w:pPr>
      <w:r w:rsidRPr="001E442A">
        <w:rPr>
          <w:rStyle w:val="Strong"/>
          <w:rFonts w:ascii="Arial" w:hAnsi="Arial" w:cs="Arial"/>
          <w:b w:val="0"/>
          <w:sz w:val="18"/>
          <w:szCs w:val="18"/>
        </w:rPr>
        <w:t>In-text: </w:t>
      </w:r>
      <w:r w:rsidRPr="001E442A">
        <w:rPr>
          <w:rStyle w:val="selectable"/>
          <w:rFonts w:ascii="Arial" w:hAnsi="Arial" w:cs="Arial"/>
          <w:sz w:val="18"/>
          <w:szCs w:val="18"/>
        </w:rPr>
        <w:t>(</w:t>
      </w:r>
      <w:proofErr w:type="spellStart"/>
      <w:r w:rsidRPr="001E442A">
        <w:rPr>
          <w:rStyle w:val="selectable"/>
          <w:rFonts w:ascii="Arial" w:hAnsi="Arial" w:cs="Arial"/>
          <w:sz w:val="18"/>
          <w:szCs w:val="18"/>
        </w:rPr>
        <w:t>Macve</w:t>
      </w:r>
      <w:proofErr w:type="spellEnd"/>
      <w:r w:rsidRPr="001E442A">
        <w:rPr>
          <w:rStyle w:val="selectable"/>
          <w:rFonts w:ascii="Arial" w:hAnsi="Arial" w:cs="Arial"/>
          <w:sz w:val="18"/>
          <w:szCs w:val="18"/>
        </w:rPr>
        <w:t>, 1992</w:t>
      </w:r>
      <w:proofErr w:type="gramStart"/>
      <w:r w:rsidRPr="001E442A">
        <w:rPr>
          <w:rStyle w:val="selectable"/>
          <w:rFonts w:ascii="Arial" w:hAnsi="Arial" w:cs="Arial"/>
          <w:sz w:val="18"/>
          <w:szCs w:val="18"/>
        </w:rPr>
        <w:t>)</w:t>
      </w:r>
      <w:r w:rsidR="00FF0B7E" w:rsidRPr="001E442A">
        <w:rPr>
          <w:rFonts w:ascii="Arial" w:hAnsi="Arial" w:cs="Arial"/>
          <w:noProof/>
          <w:sz w:val="18"/>
          <w:szCs w:val="18"/>
          <w:lang w:eastAsia="en-GB"/>
        </w:rPr>
        <w:t xml:space="preserve"> </w:t>
      </w:r>
      <w:r w:rsidR="00365185">
        <w:rPr>
          <w:rFonts w:ascii="Arial" w:hAnsi="Arial" w:cs="Arial"/>
          <w:sz w:val="18"/>
          <w:szCs w:val="18"/>
        </w:rPr>
        <w:t xml:space="preserve"> </w:t>
      </w:r>
      <w:r w:rsidRPr="001E442A">
        <w:rPr>
          <w:rStyle w:val="Strong"/>
          <w:rFonts w:ascii="Arial" w:hAnsi="Arial" w:cs="Arial"/>
          <w:b w:val="0"/>
          <w:sz w:val="18"/>
          <w:szCs w:val="18"/>
        </w:rPr>
        <w:t>Your</w:t>
      </w:r>
      <w:proofErr w:type="gramEnd"/>
      <w:r w:rsidRPr="001E442A">
        <w:rPr>
          <w:rStyle w:val="Strong"/>
          <w:rFonts w:ascii="Arial" w:hAnsi="Arial" w:cs="Arial"/>
          <w:b w:val="0"/>
          <w:sz w:val="18"/>
          <w:szCs w:val="18"/>
        </w:rPr>
        <w:t xml:space="preserve"> Bibliography: </w:t>
      </w:r>
      <w:proofErr w:type="spellStart"/>
      <w:r w:rsidRPr="001E442A">
        <w:rPr>
          <w:rStyle w:val="selectable"/>
          <w:rFonts w:ascii="Arial" w:hAnsi="Arial" w:cs="Arial"/>
          <w:sz w:val="18"/>
          <w:szCs w:val="18"/>
        </w:rPr>
        <w:t>Macve</w:t>
      </w:r>
      <w:proofErr w:type="spellEnd"/>
      <w:r w:rsidRPr="001E442A">
        <w:rPr>
          <w:rStyle w:val="selectable"/>
          <w:rFonts w:ascii="Arial" w:hAnsi="Arial" w:cs="Arial"/>
          <w:sz w:val="18"/>
          <w:szCs w:val="18"/>
        </w:rPr>
        <w:t>, R. (1992). </w:t>
      </w:r>
      <w:proofErr w:type="gramStart"/>
      <w:r w:rsidRPr="001E442A">
        <w:rPr>
          <w:rStyle w:val="selectable"/>
          <w:rFonts w:ascii="Arial" w:hAnsi="Arial" w:cs="Arial"/>
          <w:iCs/>
          <w:sz w:val="18"/>
          <w:szCs w:val="18"/>
        </w:rPr>
        <w:t>A conceptual framework for financial accounting and reporting</w:t>
      </w:r>
      <w:r w:rsidRPr="001E442A">
        <w:rPr>
          <w:rStyle w:val="selectable"/>
          <w:rFonts w:ascii="Arial" w:hAnsi="Arial" w:cs="Arial"/>
          <w:sz w:val="18"/>
          <w:szCs w:val="18"/>
        </w:rPr>
        <w:t>.</w:t>
      </w:r>
      <w:proofErr w:type="gramEnd"/>
      <w:r w:rsidRPr="001E442A">
        <w:rPr>
          <w:rStyle w:val="selectable"/>
          <w:rFonts w:ascii="Arial" w:hAnsi="Arial" w:cs="Arial"/>
          <w:sz w:val="18"/>
          <w:szCs w:val="18"/>
        </w:rPr>
        <w:t xml:space="preserve"> https://books.google.co.uk/books/about/A_Conceptual_Framework_for_Financial_Acc.html?id=zqHhf4Cb_3MC&amp;printsec=frontcover&amp;source=kp_read_button&amp;redir_esc=y#v=onepage&amp;q&amp;f=fals</w:t>
      </w:r>
    </w:p>
    <w:p w14:paraId="0F6B6303" w14:textId="77777777" w:rsidR="007D5295" w:rsidRPr="001E442A" w:rsidRDefault="007D5295" w:rsidP="001E442A">
      <w:pPr>
        <w:pStyle w:val="NormalWeb"/>
        <w:shd w:val="clear" w:color="auto" w:fill="FFFFFF"/>
        <w:spacing w:before="0" w:beforeAutospacing="0" w:after="0" w:afterAutospacing="0"/>
        <w:ind w:hanging="120"/>
        <w:jc w:val="both"/>
        <w:rPr>
          <w:rFonts w:ascii="Arial" w:hAnsi="Arial" w:cs="Arial"/>
          <w:sz w:val="18"/>
          <w:szCs w:val="18"/>
        </w:rPr>
      </w:pPr>
    </w:p>
    <w:p w14:paraId="23CFFC4B" w14:textId="77777777" w:rsidR="00D25BB5" w:rsidRPr="001E442A" w:rsidRDefault="00D25BB5" w:rsidP="001E442A">
      <w:pPr>
        <w:pStyle w:val="NormalWeb"/>
        <w:shd w:val="clear" w:color="auto" w:fill="FFFFFF"/>
        <w:spacing w:before="0" w:beforeAutospacing="0" w:after="0" w:afterAutospacing="0"/>
        <w:ind w:hanging="120"/>
        <w:jc w:val="both"/>
        <w:rPr>
          <w:rFonts w:ascii="Arial" w:hAnsi="Arial" w:cs="Arial"/>
          <w:color w:val="666666"/>
          <w:sz w:val="18"/>
          <w:szCs w:val="18"/>
        </w:rPr>
      </w:pPr>
    </w:p>
    <w:p w14:paraId="6D1BA421" w14:textId="46606C10" w:rsidR="003361F6" w:rsidRPr="001E442A" w:rsidRDefault="001E442A" w:rsidP="001E442A">
      <w:pPr>
        <w:pStyle w:val="NormalWeb"/>
        <w:shd w:val="clear" w:color="auto" w:fill="FFFFFF"/>
        <w:spacing w:before="0" w:beforeAutospacing="0" w:after="0" w:afterAutospacing="0"/>
        <w:jc w:val="both"/>
        <w:rPr>
          <w:rFonts w:ascii="Arial" w:hAnsi="Arial" w:cs="Arial"/>
          <w:b/>
          <w:szCs w:val="18"/>
          <w:u w:val="single"/>
        </w:rPr>
      </w:pPr>
      <w:r w:rsidRPr="001E442A">
        <w:rPr>
          <w:rFonts w:ascii="Arial" w:hAnsi="Arial" w:cs="Arial"/>
          <w:b/>
          <w:szCs w:val="18"/>
          <w:u w:val="single"/>
        </w:rPr>
        <w:t>Blogs - Articles</w:t>
      </w:r>
    </w:p>
    <w:p w14:paraId="7108608C" w14:textId="77777777" w:rsidR="007B6A08" w:rsidRPr="001E442A" w:rsidRDefault="007B6A08" w:rsidP="001E442A">
      <w:pPr>
        <w:pStyle w:val="NormalWeb"/>
        <w:shd w:val="clear" w:color="auto" w:fill="FFFFFF"/>
        <w:spacing w:before="0" w:beforeAutospacing="0" w:after="0" w:afterAutospacing="0"/>
        <w:ind w:hanging="120"/>
        <w:jc w:val="both"/>
        <w:rPr>
          <w:rFonts w:ascii="Arial" w:hAnsi="Arial" w:cs="Arial"/>
          <w:b/>
          <w:sz w:val="18"/>
          <w:szCs w:val="18"/>
          <w:u w:val="single"/>
        </w:rPr>
      </w:pPr>
    </w:p>
    <w:p w14:paraId="1DD514F8" w14:textId="77777777" w:rsidR="007B6A08" w:rsidRPr="001E442A" w:rsidRDefault="007B6A08" w:rsidP="001E442A">
      <w:pPr>
        <w:pStyle w:val="Heading4"/>
        <w:shd w:val="clear" w:color="auto" w:fill="FFFFFF"/>
        <w:spacing w:before="0" w:line="240" w:lineRule="auto"/>
        <w:jc w:val="both"/>
        <w:rPr>
          <w:rFonts w:ascii="Arial" w:hAnsi="Arial" w:cs="Arial"/>
          <w:i w:val="0"/>
          <w:color w:val="auto"/>
          <w:sz w:val="18"/>
          <w:szCs w:val="18"/>
        </w:rPr>
      </w:pPr>
      <w:r w:rsidRPr="001E442A">
        <w:rPr>
          <w:rFonts w:ascii="Arial" w:hAnsi="Arial" w:cs="Arial"/>
          <w:bCs/>
          <w:i w:val="0"/>
          <w:color w:val="auto"/>
          <w:sz w:val="18"/>
          <w:szCs w:val="18"/>
        </w:rPr>
        <w:t>Global IFRS Adoption</w:t>
      </w:r>
    </w:p>
    <w:p w14:paraId="12922F0F" w14:textId="77777777" w:rsidR="007B6A08" w:rsidRPr="001E442A" w:rsidRDefault="007B6A08" w:rsidP="001E442A">
      <w:pPr>
        <w:pStyle w:val="NormalWeb"/>
        <w:shd w:val="clear" w:color="auto" w:fill="FFFFFF"/>
        <w:spacing w:before="0" w:beforeAutospacing="0" w:after="0" w:afterAutospacing="0"/>
        <w:ind w:hanging="120"/>
        <w:jc w:val="both"/>
        <w:rPr>
          <w:rFonts w:ascii="Arial" w:hAnsi="Arial" w:cs="Arial"/>
          <w:sz w:val="18"/>
          <w:szCs w:val="18"/>
        </w:rPr>
      </w:pPr>
      <w:r w:rsidRPr="001E442A">
        <w:rPr>
          <w:rStyle w:val="Strong"/>
          <w:rFonts w:ascii="Arial" w:hAnsi="Arial" w:cs="Arial"/>
          <w:b w:val="0"/>
          <w:sz w:val="18"/>
          <w:szCs w:val="18"/>
        </w:rPr>
        <w:t>In-text: </w:t>
      </w:r>
      <w:r w:rsidRPr="001E442A">
        <w:rPr>
          <w:rStyle w:val="selectable"/>
          <w:rFonts w:ascii="Arial" w:hAnsi="Arial" w:cs="Arial"/>
          <w:sz w:val="18"/>
          <w:szCs w:val="18"/>
        </w:rPr>
        <w:t>(T D George, 2016)</w:t>
      </w:r>
    </w:p>
    <w:p w14:paraId="0D241870" w14:textId="77777777" w:rsidR="007B6A08" w:rsidRPr="001E442A" w:rsidRDefault="007B6A08" w:rsidP="001E442A">
      <w:pPr>
        <w:pStyle w:val="NormalWeb"/>
        <w:shd w:val="clear" w:color="auto" w:fill="FFFFFF"/>
        <w:spacing w:before="0" w:beforeAutospacing="0" w:after="0" w:afterAutospacing="0"/>
        <w:ind w:hanging="120"/>
        <w:jc w:val="both"/>
        <w:rPr>
          <w:rFonts w:ascii="Arial" w:hAnsi="Arial" w:cs="Arial"/>
          <w:sz w:val="18"/>
          <w:szCs w:val="18"/>
        </w:rPr>
      </w:pPr>
      <w:proofErr w:type="gramStart"/>
      <w:r w:rsidRPr="001E442A">
        <w:rPr>
          <w:rStyle w:val="Strong"/>
          <w:rFonts w:ascii="Arial" w:hAnsi="Arial" w:cs="Arial"/>
          <w:b w:val="0"/>
          <w:sz w:val="18"/>
          <w:szCs w:val="18"/>
        </w:rPr>
        <w:t>Your</w:t>
      </w:r>
      <w:proofErr w:type="gramEnd"/>
      <w:r w:rsidRPr="001E442A">
        <w:rPr>
          <w:rStyle w:val="Strong"/>
          <w:rFonts w:ascii="Arial" w:hAnsi="Arial" w:cs="Arial"/>
          <w:b w:val="0"/>
          <w:sz w:val="18"/>
          <w:szCs w:val="18"/>
        </w:rPr>
        <w:t xml:space="preserve"> Bibliography: </w:t>
      </w:r>
      <w:r w:rsidRPr="001E442A">
        <w:rPr>
          <w:rStyle w:val="selectable"/>
          <w:rFonts w:ascii="Arial" w:hAnsi="Arial" w:cs="Arial"/>
          <w:sz w:val="18"/>
          <w:szCs w:val="18"/>
        </w:rPr>
        <w:t xml:space="preserve">T D George, E. (2016). </w:t>
      </w:r>
      <w:proofErr w:type="gramStart"/>
      <w:r w:rsidRPr="001E442A">
        <w:rPr>
          <w:rStyle w:val="selectable"/>
          <w:rFonts w:ascii="Arial" w:hAnsi="Arial" w:cs="Arial"/>
          <w:sz w:val="18"/>
          <w:szCs w:val="18"/>
        </w:rPr>
        <w:t>Global IFRS Adoption.</w:t>
      </w:r>
      <w:proofErr w:type="gramEnd"/>
      <w:r w:rsidRPr="001E442A">
        <w:rPr>
          <w:rStyle w:val="selectable"/>
          <w:rFonts w:ascii="Arial" w:hAnsi="Arial" w:cs="Arial"/>
          <w:sz w:val="18"/>
          <w:szCs w:val="18"/>
        </w:rPr>
        <w:t xml:space="preserve"> [Blog] </w:t>
      </w:r>
      <w:proofErr w:type="gramStart"/>
      <w:r w:rsidRPr="001E442A">
        <w:rPr>
          <w:rStyle w:val="selectable"/>
          <w:rFonts w:ascii="Arial" w:hAnsi="Arial" w:cs="Arial"/>
          <w:iCs/>
          <w:sz w:val="18"/>
          <w:szCs w:val="18"/>
        </w:rPr>
        <w:t>Consequences of Global IFRS Adoption</w:t>
      </w:r>
      <w:r w:rsidRPr="001E442A">
        <w:rPr>
          <w:rStyle w:val="selectable"/>
          <w:rFonts w:ascii="Arial" w:hAnsi="Arial" w:cs="Arial"/>
          <w:sz w:val="18"/>
          <w:szCs w:val="18"/>
        </w:rPr>
        <w:t>.</w:t>
      </w:r>
      <w:proofErr w:type="gramEnd"/>
    </w:p>
    <w:p w14:paraId="696CD5AA" w14:textId="77777777" w:rsidR="007B6A08" w:rsidRPr="001E442A" w:rsidRDefault="007B6A08" w:rsidP="001E442A">
      <w:pPr>
        <w:pStyle w:val="NormalWeb"/>
        <w:shd w:val="clear" w:color="auto" w:fill="FFFFFF"/>
        <w:spacing w:before="0" w:beforeAutospacing="0" w:after="0" w:afterAutospacing="0"/>
        <w:ind w:hanging="120"/>
        <w:jc w:val="both"/>
        <w:rPr>
          <w:rFonts w:ascii="Arial" w:hAnsi="Arial" w:cs="Arial"/>
          <w:sz w:val="18"/>
          <w:szCs w:val="18"/>
        </w:rPr>
      </w:pPr>
    </w:p>
    <w:p w14:paraId="34A8BD96" w14:textId="77777777" w:rsidR="00737B07" w:rsidRPr="001E442A" w:rsidRDefault="00737B07" w:rsidP="001E442A">
      <w:pPr>
        <w:shd w:val="clear" w:color="auto" w:fill="FFFFFF"/>
        <w:autoSpaceDE/>
        <w:autoSpaceDN/>
        <w:adjustRightInd/>
        <w:spacing w:after="0" w:line="240" w:lineRule="auto"/>
        <w:jc w:val="both"/>
        <w:rPr>
          <w:rFonts w:ascii="Arial" w:eastAsia="Times New Roman" w:hAnsi="Arial" w:cs="Arial"/>
          <w:sz w:val="18"/>
          <w:szCs w:val="18"/>
          <w:lang w:eastAsia="en-GB"/>
        </w:rPr>
      </w:pPr>
      <w:r w:rsidRPr="001E442A">
        <w:rPr>
          <w:rFonts w:ascii="Arial" w:eastAsia="Times New Roman" w:hAnsi="Arial" w:cs="Arial"/>
          <w:bCs/>
          <w:sz w:val="18"/>
          <w:szCs w:val="18"/>
          <w:lang w:eastAsia="en-GB"/>
        </w:rPr>
        <w:t>In-text: </w:t>
      </w:r>
      <w:r w:rsidRPr="001E442A">
        <w:rPr>
          <w:rFonts w:ascii="Arial" w:eastAsia="Times New Roman" w:hAnsi="Arial" w:cs="Arial"/>
          <w:sz w:val="18"/>
          <w:szCs w:val="18"/>
          <w:lang w:eastAsia="en-GB"/>
        </w:rPr>
        <w:t>(Majid, 2016)</w:t>
      </w:r>
    </w:p>
    <w:p w14:paraId="5529A646" w14:textId="77777777" w:rsidR="0027287C" w:rsidRPr="001E442A" w:rsidRDefault="00737B07" w:rsidP="001E442A">
      <w:pPr>
        <w:shd w:val="clear" w:color="auto" w:fill="FFFFFF"/>
        <w:autoSpaceDE/>
        <w:autoSpaceDN/>
        <w:adjustRightInd/>
        <w:spacing w:after="0" w:line="240" w:lineRule="auto"/>
        <w:ind w:hanging="120"/>
        <w:jc w:val="both"/>
        <w:rPr>
          <w:rFonts w:ascii="Arial" w:eastAsia="Times New Roman" w:hAnsi="Arial" w:cs="Arial"/>
          <w:sz w:val="18"/>
          <w:szCs w:val="18"/>
          <w:lang w:eastAsia="en-GB"/>
        </w:rPr>
      </w:pPr>
      <w:proofErr w:type="gramStart"/>
      <w:r w:rsidRPr="001E442A">
        <w:rPr>
          <w:rFonts w:ascii="Arial" w:eastAsia="Times New Roman" w:hAnsi="Arial" w:cs="Arial"/>
          <w:bCs/>
          <w:sz w:val="18"/>
          <w:szCs w:val="18"/>
          <w:lang w:eastAsia="en-GB"/>
        </w:rPr>
        <w:t>Your</w:t>
      </w:r>
      <w:proofErr w:type="gramEnd"/>
      <w:r w:rsidRPr="001E442A">
        <w:rPr>
          <w:rFonts w:ascii="Arial" w:eastAsia="Times New Roman" w:hAnsi="Arial" w:cs="Arial"/>
          <w:bCs/>
          <w:sz w:val="18"/>
          <w:szCs w:val="18"/>
          <w:lang w:eastAsia="en-GB"/>
        </w:rPr>
        <w:t xml:space="preserve"> Bibliography: </w:t>
      </w:r>
      <w:r w:rsidRPr="001E442A">
        <w:rPr>
          <w:rFonts w:ascii="Arial" w:eastAsia="Times New Roman" w:hAnsi="Arial" w:cs="Arial"/>
          <w:sz w:val="18"/>
          <w:szCs w:val="18"/>
          <w:lang w:eastAsia="en-GB"/>
        </w:rPr>
        <w:t>Majid, A. (2016). [Blog] </w:t>
      </w:r>
      <w:r w:rsidRPr="001E442A">
        <w:rPr>
          <w:rFonts w:ascii="Arial" w:eastAsia="Times New Roman" w:hAnsi="Arial" w:cs="Arial"/>
          <w:iCs/>
          <w:sz w:val="18"/>
          <w:szCs w:val="18"/>
          <w:lang w:eastAsia="en-GB"/>
        </w:rPr>
        <w:t xml:space="preserve">Substance </w:t>
      </w:r>
      <w:proofErr w:type="gramStart"/>
      <w:r w:rsidRPr="001E442A">
        <w:rPr>
          <w:rFonts w:ascii="Arial" w:eastAsia="Times New Roman" w:hAnsi="Arial" w:cs="Arial"/>
          <w:iCs/>
          <w:sz w:val="18"/>
          <w:szCs w:val="18"/>
          <w:lang w:eastAsia="en-GB"/>
        </w:rPr>
        <w:t>Over</w:t>
      </w:r>
      <w:proofErr w:type="gramEnd"/>
      <w:r w:rsidRPr="001E442A">
        <w:rPr>
          <w:rFonts w:ascii="Arial" w:eastAsia="Times New Roman" w:hAnsi="Arial" w:cs="Arial"/>
          <w:iCs/>
          <w:sz w:val="18"/>
          <w:szCs w:val="18"/>
          <w:lang w:eastAsia="en-GB"/>
        </w:rPr>
        <w:t xml:space="preserve"> Form Concept</w:t>
      </w:r>
      <w:r w:rsidRPr="001E442A">
        <w:rPr>
          <w:rFonts w:ascii="Arial" w:eastAsia="Times New Roman" w:hAnsi="Arial" w:cs="Arial"/>
          <w:sz w:val="18"/>
          <w:szCs w:val="18"/>
          <w:lang w:eastAsia="en-GB"/>
        </w:rPr>
        <w:t>.</w:t>
      </w:r>
      <w:r w:rsidR="00FF0B7E" w:rsidRPr="001E442A">
        <w:rPr>
          <w:rFonts w:ascii="Arial" w:hAnsi="Arial" w:cs="Arial"/>
          <w:noProof/>
          <w:sz w:val="18"/>
          <w:szCs w:val="18"/>
          <w:lang w:eastAsia="en-GB"/>
        </w:rPr>
        <w:t xml:space="preserve"> </w:t>
      </w:r>
      <w:r w:rsidRPr="001E442A">
        <w:rPr>
          <w:rFonts w:ascii="Arial" w:eastAsia="Times New Roman" w:hAnsi="Arial" w:cs="Arial"/>
          <w:sz w:val="18"/>
          <w:szCs w:val="18"/>
          <w:lang w:eastAsia="en-GB"/>
        </w:rPr>
        <w:t>Available at: https://leaningonline.blogspot.com/2016/04/substance-over-form-concept-example.html [Accessed 25 Nov.</w:t>
      </w:r>
    </w:p>
    <w:p w14:paraId="487DECC6" w14:textId="39DCB634" w:rsidR="00737B07" w:rsidRPr="001E442A" w:rsidRDefault="00737B07" w:rsidP="001E442A">
      <w:pPr>
        <w:shd w:val="clear" w:color="auto" w:fill="FFFFFF"/>
        <w:autoSpaceDE/>
        <w:autoSpaceDN/>
        <w:adjustRightInd/>
        <w:spacing w:after="0" w:line="240" w:lineRule="auto"/>
        <w:ind w:hanging="120"/>
        <w:jc w:val="both"/>
        <w:rPr>
          <w:rFonts w:ascii="Arial" w:eastAsia="Times New Roman" w:hAnsi="Arial" w:cs="Arial"/>
          <w:sz w:val="18"/>
          <w:szCs w:val="18"/>
          <w:lang w:eastAsia="en-GB"/>
        </w:rPr>
      </w:pPr>
      <w:r w:rsidRPr="001E442A">
        <w:rPr>
          <w:rFonts w:ascii="Arial" w:eastAsia="Times New Roman" w:hAnsi="Arial" w:cs="Arial"/>
          <w:sz w:val="18"/>
          <w:szCs w:val="18"/>
          <w:lang w:eastAsia="en-GB"/>
        </w:rPr>
        <w:t xml:space="preserve"> 2018].</w:t>
      </w:r>
    </w:p>
    <w:p w14:paraId="6346BC82" w14:textId="77777777" w:rsidR="0027287C" w:rsidRPr="001E442A" w:rsidRDefault="0027287C" w:rsidP="001E442A">
      <w:pPr>
        <w:shd w:val="clear" w:color="auto" w:fill="FFFFFF"/>
        <w:autoSpaceDE/>
        <w:autoSpaceDN/>
        <w:adjustRightInd/>
        <w:spacing w:after="0" w:line="240" w:lineRule="auto"/>
        <w:ind w:hanging="120"/>
        <w:jc w:val="both"/>
        <w:rPr>
          <w:rFonts w:ascii="Arial" w:eastAsia="Times New Roman" w:hAnsi="Arial" w:cs="Arial"/>
          <w:sz w:val="18"/>
          <w:szCs w:val="18"/>
          <w:lang w:eastAsia="en-GB"/>
        </w:rPr>
      </w:pPr>
    </w:p>
    <w:p w14:paraId="18502687" w14:textId="77777777" w:rsidR="0027287C" w:rsidRPr="001E442A" w:rsidRDefault="0027287C" w:rsidP="001E442A">
      <w:pPr>
        <w:pStyle w:val="Heading4"/>
        <w:shd w:val="clear" w:color="auto" w:fill="FFFFFF"/>
        <w:spacing w:before="0" w:line="240" w:lineRule="auto"/>
        <w:jc w:val="both"/>
        <w:rPr>
          <w:rFonts w:ascii="Arial" w:hAnsi="Arial" w:cs="Arial"/>
          <w:i w:val="0"/>
          <w:color w:val="auto"/>
          <w:sz w:val="18"/>
          <w:szCs w:val="18"/>
        </w:rPr>
      </w:pPr>
      <w:r w:rsidRPr="001E442A">
        <w:rPr>
          <w:rFonts w:ascii="Arial" w:hAnsi="Arial" w:cs="Arial"/>
          <w:bCs/>
          <w:i w:val="0"/>
          <w:color w:val="auto"/>
          <w:sz w:val="18"/>
          <w:szCs w:val="18"/>
        </w:rPr>
        <w:t>Finance lease or Operating lease</w:t>
      </w:r>
    </w:p>
    <w:p w14:paraId="55E2CF06" w14:textId="77777777" w:rsidR="0027287C" w:rsidRPr="001E442A" w:rsidRDefault="0027287C" w:rsidP="001E442A">
      <w:pPr>
        <w:pStyle w:val="NormalWeb"/>
        <w:shd w:val="clear" w:color="auto" w:fill="FFFFFF"/>
        <w:spacing w:before="0" w:beforeAutospacing="0" w:after="0" w:afterAutospacing="0"/>
        <w:ind w:hanging="120"/>
        <w:jc w:val="both"/>
        <w:rPr>
          <w:rFonts w:ascii="Arial" w:hAnsi="Arial" w:cs="Arial"/>
          <w:sz w:val="18"/>
          <w:szCs w:val="18"/>
        </w:rPr>
      </w:pPr>
      <w:r w:rsidRPr="001E442A">
        <w:rPr>
          <w:rStyle w:val="Strong"/>
          <w:rFonts w:ascii="Arial" w:hAnsi="Arial" w:cs="Arial"/>
          <w:b w:val="0"/>
          <w:sz w:val="18"/>
          <w:szCs w:val="18"/>
        </w:rPr>
        <w:t>In-text: </w:t>
      </w:r>
      <w:r w:rsidRPr="001E442A">
        <w:rPr>
          <w:rStyle w:val="selectable"/>
          <w:rFonts w:ascii="Arial" w:hAnsi="Arial" w:cs="Arial"/>
          <w:sz w:val="18"/>
          <w:szCs w:val="18"/>
        </w:rPr>
        <w:t>(Dawson, 2013)</w:t>
      </w:r>
    </w:p>
    <w:p w14:paraId="792D0C0B" w14:textId="77777777" w:rsidR="0027287C" w:rsidRPr="001E442A" w:rsidRDefault="0027287C" w:rsidP="001E442A">
      <w:pPr>
        <w:pStyle w:val="NormalWeb"/>
        <w:shd w:val="clear" w:color="auto" w:fill="FFFFFF"/>
        <w:spacing w:before="0" w:beforeAutospacing="0" w:after="0" w:afterAutospacing="0"/>
        <w:ind w:hanging="120"/>
        <w:jc w:val="both"/>
        <w:rPr>
          <w:rFonts w:ascii="Arial" w:hAnsi="Arial" w:cs="Arial"/>
          <w:sz w:val="18"/>
          <w:szCs w:val="18"/>
        </w:rPr>
      </w:pPr>
      <w:proofErr w:type="gramStart"/>
      <w:r w:rsidRPr="001E442A">
        <w:rPr>
          <w:rStyle w:val="Strong"/>
          <w:rFonts w:ascii="Arial" w:hAnsi="Arial" w:cs="Arial"/>
          <w:b w:val="0"/>
          <w:sz w:val="18"/>
          <w:szCs w:val="18"/>
        </w:rPr>
        <w:t>Your</w:t>
      </w:r>
      <w:proofErr w:type="gramEnd"/>
      <w:r w:rsidRPr="001E442A">
        <w:rPr>
          <w:rStyle w:val="Strong"/>
          <w:rFonts w:ascii="Arial" w:hAnsi="Arial" w:cs="Arial"/>
          <w:b w:val="0"/>
          <w:sz w:val="18"/>
          <w:szCs w:val="18"/>
        </w:rPr>
        <w:t xml:space="preserve"> Bibliography: </w:t>
      </w:r>
      <w:r w:rsidRPr="001E442A">
        <w:rPr>
          <w:rStyle w:val="selectable"/>
          <w:rFonts w:ascii="Arial" w:hAnsi="Arial" w:cs="Arial"/>
          <w:sz w:val="18"/>
          <w:szCs w:val="18"/>
        </w:rPr>
        <w:t>Dawson, C. (2013). Finance lease or Operating lease. [Blog] </w:t>
      </w:r>
      <w:r w:rsidRPr="001E442A">
        <w:rPr>
          <w:rStyle w:val="selectable"/>
          <w:rFonts w:ascii="Arial" w:hAnsi="Arial" w:cs="Arial"/>
          <w:iCs/>
          <w:sz w:val="18"/>
          <w:szCs w:val="18"/>
        </w:rPr>
        <w:t>Finance lease or Operating lease</w:t>
      </w:r>
      <w:r w:rsidRPr="001E442A">
        <w:rPr>
          <w:rStyle w:val="selectable"/>
          <w:rFonts w:ascii="Arial" w:hAnsi="Arial" w:cs="Arial"/>
          <w:sz w:val="18"/>
          <w:szCs w:val="18"/>
        </w:rPr>
        <w:t>. Available at: https://maxxia.co.uk/blog/finance-lease-vs-operating-lease/ [Accessed 4 Dec. 2018].</w:t>
      </w:r>
    </w:p>
    <w:p w14:paraId="2BBABC57" w14:textId="77777777" w:rsidR="0027287C" w:rsidRPr="001E442A" w:rsidRDefault="0027287C" w:rsidP="001E442A">
      <w:pPr>
        <w:shd w:val="clear" w:color="auto" w:fill="FFFFFF"/>
        <w:autoSpaceDE/>
        <w:autoSpaceDN/>
        <w:adjustRightInd/>
        <w:spacing w:after="0" w:line="240" w:lineRule="auto"/>
        <w:ind w:hanging="120"/>
        <w:jc w:val="both"/>
        <w:rPr>
          <w:rFonts w:ascii="Arial" w:eastAsia="Times New Roman" w:hAnsi="Arial" w:cs="Arial"/>
          <w:sz w:val="18"/>
          <w:szCs w:val="18"/>
          <w:lang w:eastAsia="en-GB"/>
        </w:rPr>
      </w:pPr>
    </w:p>
    <w:p w14:paraId="4628D752" w14:textId="693F096E" w:rsidR="00B642E4" w:rsidRPr="001E442A" w:rsidRDefault="00B642E4" w:rsidP="001E442A">
      <w:pPr>
        <w:shd w:val="clear" w:color="auto" w:fill="FFFFFF"/>
        <w:autoSpaceDE/>
        <w:autoSpaceDN/>
        <w:adjustRightInd/>
        <w:spacing w:after="0" w:line="240" w:lineRule="auto"/>
        <w:ind w:hanging="120"/>
        <w:jc w:val="both"/>
        <w:rPr>
          <w:rFonts w:ascii="Arial" w:eastAsia="Times New Roman" w:hAnsi="Arial" w:cs="Arial"/>
          <w:sz w:val="18"/>
          <w:szCs w:val="18"/>
          <w:lang w:eastAsia="en-GB"/>
        </w:rPr>
      </w:pPr>
    </w:p>
    <w:p w14:paraId="3259B720" w14:textId="507546CD" w:rsidR="00B642E4" w:rsidRPr="001E442A" w:rsidRDefault="00B642E4" w:rsidP="001E442A">
      <w:pPr>
        <w:shd w:val="clear" w:color="auto" w:fill="FFFFFF"/>
        <w:autoSpaceDE/>
        <w:autoSpaceDN/>
        <w:adjustRightInd/>
        <w:spacing w:after="0" w:line="240" w:lineRule="auto"/>
        <w:ind w:hanging="120"/>
        <w:jc w:val="both"/>
        <w:rPr>
          <w:rFonts w:ascii="Arial" w:hAnsi="Arial" w:cs="Arial"/>
          <w:sz w:val="18"/>
          <w:szCs w:val="18"/>
          <w:shd w:val="clear" w:color="auto" w:fill="FFFFFF"/>
        </w:rPr>
      </w:pPr>
      <w:r w:rsidRPr="001E442A">
        <w:rPr>
          <w:rFonts w:ascii="Arial" w:hAnsi="Arial" w:cs="Arial"/>
          <w:sz w:val="18"/>
          <w:szCs w:val="18"/>
          <w:shd w:val="clear" w:color="auto" w:fill="FFFFFF"/>
        </w:rPr>
        <w:t>Williams, I. (2015). THE CERTAINTY OF TERM REQUIREMENT IN LEASES: NOTHING LASTS FOREVER. </w:t>
      </w:r>
      <w:r w:rsidRPr="001E442A">
        <w:rPr>
          <w:rFonts w:ascii="Arial" w:hAnsi="Arial" w:cs="Arial"/>
          <w:iCs/>
          <w:sz w:val="18"/>
          <w:szCs w:val="18"/>
          <w:bdr w:val="none" w:sz="0" w:space="0" w:color="auto" w:frame="1"/>
          <w:shd w:val="clear" w:color="auto" w:fill="FFFFFF"/>
        </w:rPr>
        <w:t>The Cambridge Law Journal,</w:t>
      </w:r>
      <w:r w:rsidRPr="001E442A">
        <w:rPr>
          <w:rFonts w:ascii="Arial" w:hAnsi="Arial" w:cs="Arial"/>
          <w:sz w:val="18"/>
          <w:szCs w:val="18"/>
          <w:shd w:val="clear" w:color="auto" w:fill="FFFFFF"/>
        </w:rPr>
        <w:t> </w:t>
      </w:r>
      <w:r w:rsidRPr="001E442A">
        <w:rPr>
          <w:rFonts w:ascii="Arial" w:hAnsi="Arial" w:cs="Arial"/>
          <w:iCs/>
          <w:sz w:val="18"/>
          <w:szCs w:val="18"/>
          <w:bdr w:val="none" w:sz="0" w:space="0" w:color="auto" w:frame="1"/>
          <w:shd w:val="clear" w:color="auto" w:fill="FFFFFF"/>
        </w:rPr>
        <w:t>74</w:t>
      </w:r>
      <w:r w:rsidRPr="001E442A">
        <w:rPr>
          <w:rFonts w:ascii="Arial" w:hAnsi="Arial" w:cs="Arial"/>
          <w:sz w:val="18"/>
          <w:szCs w:val="18"/>
          <w:shd w:val="clear" w:color="auto" w:fill="FFFFFF"/>
        </w:rPr>
        <w:t xml:space="preserve">(3), 592-609. </w:t>
      </w:r>
      <w:proofErr w:type="gramStart"/>
      <w:r w:rsidRPr="001E442A">
        <w:rPr>
          <w:rFonts w:ascii="Arial" w:hAnsi="Arial" w:cs="Arial"/>
          <w:sz w:val="18"/>
          <w:szCs w:val="18"/>
          <w:shd w:val="clear" w:color="auto" w:fill="FFFFFF"/>
        </w:rPr>
        <w:t>doi:</w:t>
      </w:r>
      <w:proofErr w:type="gramEnd"/>
      <w:r w:rsidRPr="001E442A">
        <w:rPr>
          <w:rFonts w:ascii="Arial" w:hAnsi="Arial" w:cs="Arial"/>
          <w:sz w:val="18"/>
          <w:szCs w:val="18"/>
          <w:shd w:val="clear" w:color="auto" w:fill="FFFFFF"/>
        </w:rPr>
        <w:t>10.1017/S0008197315000665</w:t>
      </w:r>
    </w:p>
    <w:p w14:paraId="59A14105" w14:textId="77777777" w:rsidR="00C54B2D" w:rsidRPr="001E442A" w:rsidRDefault="00C54B2D" w:rsidP="001E442A">
      <w:pPr>
        <w:shd w:val="clear" w:color="auto" w:fill="FFFFFF"/>
        <w:autoSpaceDE/>
        <w:autoSpaceDN/>
        <w:adjustRightInd/>
        <w:spacing w:after="0" w:line="240" w:lineRule="auto"/>
        <w:ind w:hanging="120"/>
        <w:jc w:val="both"/>
        <w:rPr>
          <w:rFonts w:ascii="Arial" w:hAnsi="Arial" w:cs="Arial"/>
          <w:sz w:val="18"/>
          <w:szCs w:val="18"/>
          <w:shd w:val="clear" w:color="auto" w:fill="FFFFFF"/>
        </w:rPr>
      </w:pPr>
    </w:p>
    <w:p w14:paraId="3DCDA2BD" w14:textId="344C9090" w:rsidR="00C54B2D" w:rsidRPr="001E442A" w:rsidRDefault="00C54B2D" w:rsidP="001E442A">
      <w:pPr>
        <w:pStyle w:val="Heading4"/>
        <w:shd w:val="clear" w:color="auto" w:fill="FFFFFF"/>
        <w:spacing w:before="0" w:line="240" w:lineRule="auto"/>
        <w:jc w:val="both"/>
        <w:rPr>
          <w:rFonts w:ascii="Arial" w:hAnsi="Arial" w:cs="Arial"/>
          <w:i w:val="0"/>
          <w:color w:val="auto"/>
          <w:sz w:val="18"/>
          <w:szCs w:val="18"/>
        </w:rPr>
      </w:pPr>
      <w:r w:rsidRPr="001E442A">
        <w:rPr>
          <w:rFonts w:ascii="Arial" w:hAnsi="Arial" w:cs="Arial"/>
          <w:bCs/>
          <w:i w:val="0"/>
          <w:color w:val="auto"/>
          <w:sz w:val="18"/>
          <w:szCs w:val="18"/>
        </w:rPr>
        <w:t xml:space="preserve">Criticism Mounts </w:t>
      </w:r>
      <w:r w:rsidR="007B6A08" w:rsidRPr="001E442A">
        <w:rPr>
          <w:rFonts w:ascii="Arial" w:hAnsi="Arial" w:cs="Arial"/>
          <w:bCs/>
          <w:i w:val="0"/>
          <w:color w:val="auto"/>
          <w:sz w:val="18"/>
          <w:szCs w:val="18"/>
        </w:rPr>
        <w:t>against</w:t>
      </w:r>
      <w:r w:rsidRPr="001E442A">
        <w:rPr>
          <w:rFonts w:ascii="Arial" w:hAnsi="Arial" w:cs="Arial"/>
          <w:bCs/>
          <w:i w:val="0"/>
          <w:color w:val="auto"/>
          <w:sz w:val="18"/>
          <w:szCs w:val="18"/>
        </w:rPr>
        <w:t xml:space="preserve"> New Accounting Rules for Leases</w:t>
      </w:r>
    </w:p>
    <w:p w14:paraId="14E8F7AB" w14:textId="77777777" w:rsidR="00C54B2D" w:rsidRPr="001E442A" w:rsidRDefault="00C54B2D" w:rsidP="001E442A">
      <w:pPr>
        <w:pStyle w:val="NormalWeb"/>
        <w:shd w:val="clear" w:color="auto" w:fill="FFFFFF"/>
        <w:spacing w:before="0" w:beforeAutospacing="0" w:after="0" w:afterAutospacing="0"/>
        <w:ind w:hanging="120"/>
        <w:jc w:val="both"/>
        <w:rPr>
          <w:rFonts w:ascii="Arial" w:hAnsi="Arial" w:cs="Arial"/>
          <w:sz w:val="18"/>
          <w:szCs w:val="18"/>
        </w:rPr>
      </w:pPr>
      <w:r w:rsidRPr="001E442A">
        <w:rPr>
          <w:rStyle w:val="Strong"/>
          <w:rFonts w:ascii="Arial" w:hAnsi="Arial" w:cs="Arial"/>
          <w:b w:val="0"/>
          <w:sz w:val="18"/>
          <w:szCs w:val="18"/>
        </w:rPr>
        <w:t>In-text: </w:t>
      </w:r>
      <w:r w:rsidRPr="001E442A">
        <w:rPr>
          <w:rStyle w:val="selectable"/>
          <w:rFonts w:ascii="Arial" w:hAnsi="Arial" w:cs="Arial"/>
          <w:sz w:val="18"/>
          <w:szCs w:val="18"/>
        </w:rPr>
        <w:t>(</w:t>
      </w:r>
      <w:proofErr w:type="spellStart"/>
      <w:r w:rsidRPr="001E442A">
        <w:rPr>
          <w:rStyle w:val="selectable"/>
          <w:rFonts w:ascii="Arial" w:hAnsi="Arial" w:cs="Arial"/>
          <w:sz w:val="18"/>
          <w:szCs w:val="18"/>
        </w:rPr>
        <w:t>Rapoport</w:t>
      </w:r>
      <w:proofErr w:type="spellEnd"/>
      <w:r w:rsidRPr="001E442A">
        <w:rPr>
          <w:rStyle w:val="selectable"/>
          <w:rFonts w:ascii="Arial" w:hAnsi="Arial" w:cs="Arial"/>
          <w:sz w:val="18"/>
          <w:szCs w:val="18"/>
        </w:rPr>
        <w:t>, 2013)</w:t>
      </w:r>
    </w:p>
    <w:p w14:paraId="487207C7" w14:textId="77777777" w:rsidR="00C54B2D" w:rsidRPr="001E442A" w:rsidRDefault="00C54B2D" w:rsidP="001E442A">
      <w:pPr>
        <w:pStyle w:val="NormalWeb"/>
        <w:shd w:val="clear" w:color="auto" w:fill="FFFFFF"/>
        <w:spacing w:before="0" w:beforeAutospacing="0" w:after="0" w:afterAutospacing="0"/>
        <w:ind w:hanging="120"/>
        <w:jc w:val="both"/>
        <w:rPr>
          <w:rFonts w:ascii="Arial" w:hAnsi="Arial" w:cs="Arial"/>
          <w:sz w:val="18"/>
          <w:szCs w:val="18"/>
        </w:rPr>
      </w:pPr>
      <w:r w:rsidRPr="001E442A">
        <w:rPr>
          <w:rStyle w:val="Strong"/>
          <w:rFonts w:ascii="Arial" w:hAnsi="Arial" w:cs="Arial"/>
          <w:b w:val="0"/>
          <w:sz w:val="18"/>
          <w:szCs w:val="18"/>
        </w:rPr>
        <w:t>Your Bibliography: </w:t>
      </w:r>
      <w:proofErr w:type="spellStart"/>
      <w:r w:rsidRPr="001E442A">
        <w:rPr>
          <w:rStyle w:val="selectable"/>
          <w:rFonts w:ascii="Arial" w:hAnsi="Arial" w:cs="Arial"/>
          <w:sz w:val="18"/>
          <w:szCs w:val="18"/>
        </w:rPr>
        <w:t>Rapoport</w:t>
      </w:r>
      <w:proofErr w:type="spellEnd"/>
      <w:r w:rsidRPr="001E442A">
        <w:rPr>
          <w:rStyle w:val="selectable"/>
          <w:rFonts w:ascii="Arial" w:hAnsi="Arial" w:cs="Arial"/>
          <w:sz w:val="18"/>
          <w:szCs w:val="18"/>
        </w:rPr>
        <w:t>, M. (2013). </w:t>
      </w:r>
      <w:r w:rsidRPr="001E442A">
        <w:rPr>
          <w:rStyle w:val="selectable"/>
          <w:rFonts w:ascii="Arial" w:hAnsi="Arial" w:cs="Arial"/>
          <w:iCs/>
          <w:sz w:val="18"/>
          <w:szCs w:val="18"/>
        </w:rPr>
        <w:t>Criticism Mounts Against New Accounting Rules for Leases</w:t>
      </w:r>
      <w:r w:rsidRPr="001E442A">
        <w:rPr>
          <w:rStyle w:val="selectable"/>
          <w:rFonts w:ascii="Arial" w:hAnsi="Arial" w:cs="Arial"/>
          <w:sz w:val="18"/>
          <w:szCs w:val="18"/>
        </w:rPr>
        <w:t>. [</w:t>
      </w:r>
      <w:proofErr w:type="gramStart"/>
      <w:r w:rsidRPr="001E442A">
        <w:rPr>
          <w:rStyle w:val="selectable"/>
          <w:rFonts w:ascii="Arial" w:hAnsi="Arial" w:cs="Arial"/>
          <w:sz w:val="18"/>
          <w:szCs w:val="18"/>
        </w:rPr>
        <w:t>online</w:t>
      </w:r>
      <w:proofErr w:type="gramEnd"/>
      <w:r w:rsidRPr="001E442A">
        <w:rPr>
          <w:rStyle w:val="selectable"/>
          <w:rFonts w:ascii="Arial" w:hAnsi="Arial" w:cs="Arial"/>
          <w:sz w:val="18"/>
          <w:szCs w:val="18"/>
        </w:rPr>
        <w:t xml:space="preserve">] </w:t>
      </w:r>
      <w:proofErr w:type="gramStart"/>
      <w:r w:rsidRPr="001E442A">
        <w:rPr>
          <w:rStyle w:val="selectable"/>
          <w:rFonts w:ascii="Arial" w:hAnsi="Arial" w:cs="Arial"/>
          <w:sz w:val="18"/>
          <w:szCs w:val="18"/>
        </w:rPr>
        <w:t>WSJ.</w:t>
      </w:r>
      <w:proofErr w:type="gramEnd"/>
      <w:r w:rsidRPr="001E442A">
        <w:rPr>
          <w:rStyle w:val="selectable"/>
          <w:rFonts w:ascii="Arial" w:hAnsi="Arial" w:cs="Arial"/>
          <w:sz w:val="18"/>
          <w:szCs w:val="18"/>
        </w:rPr>
        <w:t xml:space="preserve"> Available at: https://www.wsj.com/articles/criticism-mounts-against-new-accounting-rules-for-leases-1379966620 [Accessed 5 Dec. 2018].</w:t>
      </w:r>
    </w:p>
    <w:p w14:paraId="2DD6A358" w14:textId="77777777" w:rsidR="00C54B2D" w:rsidRPr="001E442A" w:rsidRDefault="00C54B2D" w:rsidP="001E442A">
      <w:pPr>
        <w:shd w:val="clear" w:color="auto" w:fill="FFFFFF"/>
        <w:autoSpaceDE/>
        <w:autoSpaceDN/>
        <w:adjustRightInd/>
        <w:spacing w:after="0" w:line="240" w:lineRule="auto"/>
        <w:ind w:hanging="120"/>
        <w:jc w:val="both"/>
        <w:rPr>
          <w:rFonts w:ascii="Arial" w:hAnsi="Arial" w:cs="Arial"/>
          <w:sz w:val="18"/>
          <w:szCs w:val="18"/>
          <w:shd w:val="clear" w:color="auto" w:fill="FFFFFF"/>
        </w:rPr>
      </w:pPr>
    </w:p>
    <w:p w14:paraId="446A5358" w14:textId="18872DBF" w:rsidR="005813C5" w:rsidRPr="001E442A" w:rsidRDefault="005813C5" w:rsidP="001E442A">
      <w:pPr>
        <w:pStyle w:val="NormalWeb"/>
        <w:shd w:val="clear" w:color="auto" w:fill="FFFFFF"/>
        <w:spacing w:before="0" w:beforeAutospacing="0" w:after="0" w:afterAutospacing="0"/>
        <w:jc w:val="both"/>
        <w:rPr>
          <w:rFonts w:ascii="Arial" w:hAnsi="Arial" w:cs="Arial"/>
          <w:b/>
          <w:szCs w:val="18"/>
          <w:u w:val="single"/>
        </w:rPr>
      </w:pPr>
      <w:r w:rsidRPr="001E442A">
        <w:rPr>
          <w:rFonts w:ascii="Arial" w:hAnsi="Arial" w:cs="Arial"/>
          <w:b/>
          <w:szCs w:val="18"/>
          <w:u w:val="single"/>
        </w:rPr>
        <w:t>Images</w:t>
      </w:r>
    </w:p>
    <w:p w14:paraId="7C1E7368" w14:textId="77777777" w:rsidR="001E442A" w:rsidRPr="001E442A" w:rsidRDefault="001E442A" w:rsidP="001E442A">
      <w:pPr>
        <w:pStyle w:val="NormalWeb"/>
        <w:shd w:val="clear" w:color="auto" w:fill="FFFFFF"/>
        <w:spacing w:before="0" w:beforeAutospacing="0" w:after="0" w:afterAutospacing="0"/>
        <w:jc w:val="both"/>
        <w:rPr>
          <w:rFonts w:ascii="Arial" w:hAnsi="Arial" w:cs="Arial"/>
          <w:b/>
          <w:sz w:val="18"/>
          <w:szCs w:val="18"/>
          <w:u w:val="single"/>
        </w:rPr>
      </w:pPr>
    </w:p>
    <w:p w14:paraId="01C13BB1" w14:textId="33E2A0D5" w:rsidR="003361F6" w:rsidRDefault="003B6213" w:rsidP="001E442A">
      <w:pPr>
        <w:pStyle w:val="NormalWeb"/>
        <w:shd w:val="clear" w:color="auto" w:fill="FFFFFF"/>
        <w:spacing w:before="0" w:beforeAutospacing="0" w:after="0" w:afterAutospacing="0"/>
        <w:jc w:val="both"/>
        <w:rPr>
          <w:rFonts w:ascii="Arial" w:hAnsi="Arial" w:cs="Arial"/>
          <w:sz w:val="18"/>
          <w:szCs w:val="18"/>
        </w:rPr>
      </w:pPr>
      <w:hyperlink r:id="rId22" w:history="1">
        <w:r w:rsidRPr="001E442A">
          <w:rPr>
            <w:rStyle w:val="Hyperlink"/>
            <w:rFonts w:ascii="Arial" w:hAnsi="Arial" w:cs="Arial"/>
            <w:sz w:val="18"/>
            <w:szCs w:val="18"/>
          </w:rPr>
          <w:t>https://slideplayer.com/slide/10555695/</w:t>
        </w:r>
      </w:hyperlink>
      <w:r w:rsidRPr="001E442A">
        <w:rPr>
          <w:rFonts w:ascii="Arial" w:hAnsi="Arial" w:cs="Arial"/>
          <w:sz w:val="18"/>
          <w:szCs w:val="18"/>
        </w:rPr>
        <w:t xml:space="preserve"> (Conceptual Framework </w:t>
      </w:r>
      <w:proofErr w:type="gramStart"/>
      <w:r w:rsidRPr="001E442A">
        <w:rPr>
          <w:rFonts w:ascii="Arial" w:hAnsi="Arial" w:cs="Arial"/>
          <w:sz w:val="18"/>
          <w:szCs w:val="18"/>
        </w:rPr>
        <w:t>Of</w:t>
      </w:r>
      <w:proofErr w:type="gramEnd"/>
      <w:r w:rsidRPr="001E442A">
        <w:rPr>
          <w:rFonts w:ascii="Arial" w:hAnsi="Arial" w:cs="Arial"/>
          <w:sz w:val="18"/>
          <w:szCs w:val="18"/>
        </w:rPr>
        <w:t xml:space="preserve"> Financial Reporting)</w:t>
      </w:r>
    </w:p>
    <w:p w14:paraId="3118933E" w14:textId="77777777" w:rsidR="00E766DB" w:rsidRDefault="00E766DB" w:rsidP="001E442A">
      <w:pPr>
        <w:pStyle w:val="NormalWeb"/>
        <w:shd w:val="clear" w:color="auto" w:fill="FFFFFF"/>
        <w:spacing w:before="0" w:beforeAutospacing="0" w:after="0" w:afterAutospacing="0"/>
        <w:jc w:val="both"/>
        <w:rPr>
          <w:rFonts w:ascii="Arial" w:hAnsi="Arial" w:cs="Arial"/>
          <w:sz w:val="18"/>
          <w:szCs w:val="18"/>
        </w:rPr>
      </w:pPr>
    </w:p>
    <w:p w14:paraId="16D57004" w14:textId="292A224F" w:rsidR="00E766DB" w:rsidRDefault="00E766DB" w:rsidP="001E442A">
      <w:pPr>
        <w:pStyle w:val="NormalWeb"/>
        <w:shd w:val="clear" w:color="auto" w:fill="FFFFFF"/>
        <w:spacing w:before="0" w:beforeAutospacing="0" w:after="0" w:afterAutospacing="0"/>
        <w:jc w:val="both"/>
        <w:rPr>
          <w:rFonts w:ascii="Arial" w:hAnsi="Arial" w:cs="Arial"/>
          <w:sz w:val="18"/>
          <w:szCs w:val="18"/>
        </w:rPr>
      </w:pPr>
      <w:hyperlink r:id="rId23" w:history="1">
        <w:r w:rsidRPr="00F67BDB">
          <w:rPr>
            <w:rStyle w:val="Hyperlink"/>
            <w:rFonts w:ascii="Arial" w:hAnsi="Arial" w:cs="Arial"/>
            <w:sz w:val="18"/>
            <w:szCs w:val="18"/>
          </w:rPr>
          <w:t>https://www.ifrs.org/-/media/project/leases/ifrs/published-documents/ifrs16-effects-analysis.pdf</w:t>
        </w:r>
      </w:hyperlink>
      <w:r>
        <w:rPr>
          <w:rFonts w:ascii="Arial" w:hAnsi="Arial" w:cs="Arial"/>
          <w:sz w:val="18"/>
          <w:szCs w:val="18"/>
        </w:rPr>
        <w:t xml:space="preserve"> </w:t>
      </w:r>
      <w:proofErr w:type="gramStart"/>
      <w:r>
        <w:rPr>
          <w:rFonts w:ascii="Arial" w:hAnsi="Arial" w:cs="Arial"/>
          <w:sz w:val="18"/>
          <w:szCs w:val="18"/>
        </w:rPr>
        <w:t>( IFRS</w:t>
      </w:r>
      <w:proofErr w:type="gramEnd"/>
      <w:r>
        <w:rPr>
          <w:rFonts w:ascii="Arial" w:hAnsi="Arial" w:cs="Arial"/>
          <w:sz w:val="18"/>
          <w:szCs w:val="18"/>
        </w:rPr>
        <w:t xml:space="preserve"> 16)</w:t>
      </w:r>
    </w:p>
    <w:p w14:paraId="5073024C" w14:textId="77777777" w:rsidR="00E766DB" w:rsidRDefault="00E766DB" w:rsidP="001E442A">
      <w:pPr>
        <w:pStyle w:val="NormalWeb"/>
        <w:shd w:val="clear" w:color="auto" w:fill="FFFFFF"/>
        <w:spacing w:before="0" w:beforeAutospacing="0" w:after="0" w:afterAutospacing="0"/>
        <w:jc w:val="both"/>
        <w:rPr>
          <w:rFonts w:ascii="Arial" w:hAnsi="Arial" w:cs="Arial"/>
          <w:sz w:val="18"/>
          <w:szCs w:val="18"/>
        </w:rPr>
      </w:pPr>
    </w:p>
    <w:p w14:paraId="672BF007" w14:textId="77777777" w:rsidR="00E766DB" w:rsidRPr="001E442A" w:rsidRDefault="00E766DB" w:rsidP="001E442A">
      <w:pPr>
        <w:pStyle w:val="NormalWeb"/>
        <w:shd w:val="clear" w:color="auto" w:fill="FFFFFF"/>
        <w:spacing w:before="0" w:beforeAutospacing="0" w:after="0" w:afterAutospacing="0"/>
        <w:jc w:val="both"/>
        <w:rPr>
          <w:rFonts w:ascii="Arial" w:hAnsi="Arial" w:cs="Arial"/>
          <w:sz w:val="18"/>
          <w:szCs w:val="18"/>
        </w:rPr>
      </w:pPr>
    </w:p>
    <w:p w14:paraId="79BA53A8" w14:textId="24766B21" w:rsidR="00FD6C15" w:rsidRPr="001E442A" w:rsidRDefault="00FD6C15" w:rsidP="001E442A">
      <w:pPr>
        <w:pStyle w:val="Style1"/>
        <w:spacing w:line="240" w:lineRule="auto"/>
        <w:rPr>
          <w:rFonts w:cs="Arial"/>
          <w:color w:val="222222"/>
          <w:szCs w:val="18"/>
          <w:lang w:eastAsia="en-GB"/>
        </w:rPr>
      </w:pPr>
    </w:p>
    <w:sectPr w:rsidR="00FD6C15" w:rsidRPr="001E442A" w:rsidSect="00BD2D16">
      <w:headerReference w:type="default" r:id="rId24"/>
      <w:headerReference w:type="first" r:id="rId25"/>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6254173" w14:textId="77777777" w:rsidR="00E766DB" w:rsidRDefault="00E766DB" w:rsidP="009B20F4">
      <w:pPr>
        <w:spacing w:after="0" w:line="240" w:lineRule="auto"/>
      </w:pPr>
      <w:r>
        <w:separator/>
      </w:r>
    </w:p>
  </w:endnote>
  <w:endnote w:type="continuationSeparator" w:id="0">
    <w:p w14:paraId="2221E9E8" w14:textId="77777777" w:rsidR="00E766DB" w:rsidRDefault="00E766DB"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73290000"/>
      <w:docPartObj>
        <w:docPartGallery w:val="Page Numbers (Bottom of Page)"/>
        <w:docPartUnique/>
      </w:docPartObj>
    </w:sdtPr>
    <w:sdtEndPr>
      <w:rPr>
        <w:noProof/>
      </w:rPr>
    </w:sdtEndPr>
    <w:sdtContent>
      <w:p w14:paraId="17593029" w14:textId="176346C7" w:rsidR="00E766DB" w:rsidRDefault="00E766DB">
        <w:pPr>
          <w:pStyle w:val="Footer"/>
          <w:jc w:val="center"/>
        </w:pPr>
      </w:p>
    </w:sdtContent>
  </w:sdt>
  <w:p w14:paraId="0829C6EF" w14:textId="77777777" w:rsidR="00E766DB" w:rsidRDefault="00E766D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73B3A3" w14:textId="60AE8C74" w:rsidR="00E766DB" w:rsidRDefault="00E766DB">
    <w:pPr>
      <w:pStyle w:val="Footer"/>
      <w:jc w:val="center"/>
    </w:pPr>
  </w:p>
  <w:p w14:paraId="2EB1AFE0" w14:textId="77777777" w:rsidR="00E766DB" w:rsidRDefault="00E766D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35918693"/>
      <w:docPartObj>
        <w:docPartGallery w:val="Page Numbers (Bottom of Page)"/>
        <w:docPartUnique/>
      </w:docPartObj>
    </w:sdtPr>
    <w:sdtEndPr>
      <w:rPr>
        <w:noProof/>
      </w:rPr>
    </w:sdtEndPr>
    <w:sdtContent>
      <w:p w14:paraId="0F6B7989" w14:textId="65380458" w:rsidR="00E766DB" w:rsidRDefault="00E766DB">
        <w:pPr>
          <w:pStyle w:val="Footer"/>
          <w:jc w:val="center"/>
        </w:pPr>
      </w:p>
    </w:sdtContent>
  </w:sdt>
  <w:p w14:paraId="174ECA47" w14:textId="77777777" w:rsidR="00E766DB" w:rsidRDefault="00E766DB">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3693746"/>
      <w:docPartObj>
        <w:docPartGallery w:val="Page Numbers (Bottom of Page)"/>
        <w:docPartUnique/>
      </w:docPartObj>
    </w:sdtPr>
    <w:sdtEndPr>
      <w:rPr>
        <w:noProof/>
      </w:rPr>
    </w:sdtEndPr>
    <w:sdtContent>
      <w:p w14:paraId="75A15F7F" w14:textId="4C639F22" w:rsidR="00E766DB" w:rsidRDefault="00E766DB">
        <w:pPr>
          <w:pStyle w:val="Footer"/>
          <w:jc w:val="center"/>
        </w:pPr>
        <w:r>
          <w:fldChar w:fldCharType="begin"/>
        </w:r>
        <w:r>
          <w:instrText xml:space="preserve"> PAGE   \* MERGEFORMAT </w:instrText>
        </w:r>
        <w:r>
          <w:fldChar w:fldCharType="separate"/>
        </w:r>
        <w:r w:rsidR="00422ED6">
          <w:rPr>
            <w:noProof/>
          </w:rPr>
          <w:t>5</w:t>
        </w:r>
        <w:r>
          <w:rPr>
            <w:noProof/>
          </w:rPr>
          <w:fldChar w:fldCharType="end"/>
        </w:r>
      </w:p>
    </w:sdtContent>
  </w:sdt>
  <w:p w14:paraId="4AD9795B" w14:textId="77777777" w:rsidR="00E766DB" w:rsidRDefault="00E766DB">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03977953"/>
      <w:docPartObj>
        <w:docPartGallery w:val="Page Numbers (Bottom of Page)"/>
        <w:docPartUnique/>
      </w:docPartObj>
    </w:sdtPr>
    <w:sdtEndPr>
      <w:rPr>
        <w:noProof/>
      </w:rPr>
    </w:sdtEndPr>
    <w:sdtContent>
      <w:p w14:paraId="78E92EB1" w14:textId="1AA729E1" w:rsidR="00E766DB" w:rsidRDefault="00E766DB">
        <w:pPr>
          <w:pStyle w:val="Footer"/>
          <w:jc w:val="center"/>
        </w:pPr>
        <w:r>
          <w:fldChar w:fldCharType="begin"/>
        </w:r>
        <w:r>
          <w:instrText xml:space="preserve"> PAGE   \* MERGEFORMAT </w:instrText>
        </w:r>
        <w:r>
          <w:fldChar w:fldCharType="separate"/>
        </w:r>
        <w:r w:rsidR="00422ED6">
          <w:rPr>
            <w:noProof/>
          </w:rPr>
          <w:t>2</w:t>
        </w:r>
        <w:r>
          <w:rPr>
            <w:noProof/>
          </w:rPr>
          <w:fldChar w:fldCharType="end"/>
        </w:r>
      </w:p>
    </w:sdtContent>
  </w:sdt>
  <w:p w14:paraId="24B130E4" w14:textId="77777777" w:rsidR="00E766DB" w:rsidRDefault="00E766D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CBB085E" w14:textId="77777777" w:rsidR="00E766DB" w:rsidRDefault="00E766DB" w:rsidP="009B20F4">
      <w:pPr>
        <w:spacing w:after="0" w:line="240" w:lineRule="auto"/>
      </w:pPr>
      <w:r>
        <w:separator/>
      </w:r>
    </w:p>
  </w:footnote>
  <w:footnote w:type="continuationSeparator" w:id="0">
    <w:p w14:paraId="7289B060" w14:textId="77777777" w:rsidR="00E766DB" w:rsidRDefault="00E766DB" w:rsidP="009B20F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20E313C" w14:textId="77777777" w:rsidR="00E766DB" w:rsidRDefault="00E766DB"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E766DB" w:rsidRPr="00586DC0" w:rsidRDefault="00E766DB" w:rsidP="0007275A">
    <w:pPr>
      <w:pStyle w:val="Header"/>
      <w:pBdr>
        <w:bottom w:val="single" w:sz="4" w:space="1" w:color="auto"/>
      </w:pBdr>
      <w:jc w:val="center"/>
      <w:rPr>
        <w:b/>
        <w:caps/>
        <w:szCs w:val="18"/>
      </w:rPr>
    </w:pPr>
  </w:p>
  <w:p w14:paraId="3B93F63C" w14:textId="77777777" w:rsidR="00E766DB" w:rsidRPr="0007275A" w:rsidRDefault="00E766DB" w:rsidP="0007275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174DA80" w14:textId="77777777" w:rsidR="00E766DB" w:rsidRDefault="00E766DB"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E766DB" w:rsidRPr="00586DC0" w:rsidRDefault="00E766DB" w:rsidP="0007275A">
    <w:pPr>
      <w:pStyle w:val="Header"/>
      <w:pBdr>
        <w:bottom w:val="single" w:sz="4" w:space="1" w:color="auto"/>
      </w:pBdr>
      <w:jc w:val="center"/>
      <w:rPr>
        <w:b/>
        <w:caps/>
        <w:szCs w:val="18"/>
      </w:rPr>
    </w:pPr>
  </w:p>
  <w:p w14:paraId="73B0C1B5" w14:textId="77777777" w:rsidR="00E766DB" w:rsidRPr="0007275A" w:rsidRDefault="00E766DB" w:rsidP="0007275A">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4BC620" w14:textId="77777777" w:rsidR="00E766DB" w:rsidRPr="00586DC0" w:rsidRDefault="00E766DB" w:rsidP="0007275A">
    <w:pPr>
      <w:pStyle w:val="Header"/>
      <w:pBdr>
        <w:bottom w:val="single" w:sz="4" w:space="1" w:color="auto"/>
      </w:pBdr>
      <w:jc w:val="center"/>
      <w:rPr>
        <w:b/>
        <w:caps/>
        <w:szCs w:val="18"/>
      </w:rPr>
    </w:pPr>
  </w:p>
  <w:p w14:paraId="71FC9410" w14:textId="77777777" w:rsidR="00E766DB" w:rsidRDefault="00E766DB" w:rsidP="0007275A">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B75762F" w14:textId="77777777" w:rsidR="00E766DB" w:rsidRPr="00586DC0" w:rsidRDefault="00E766DB" w:rsidP="0095431E">
    <w:pPr>
      <w:pStyle w:val="Header"/>
      <w:pBdr>
        <w:bottom w:val="single" w:sz="4" w:space="1" w:color="auto"/>
      </w:pBdr>
      <w:jc w:val="center"/>
      <w:rPr>
        <w:b/>
        <w:caps/>
        <w:szCs w:val="18"/>
      </w:rPr>
    </w:pPr>
  </w:p>
  <w:p w14:paraId="1443DECA" w14:textId="77777777" w:rsidR="00E766DB" w:rsidRPr="0007275A" w:rsidRDefault="00E766DB" w:rsidP="0007275A">
    <w:pPr>
      <w:pStyle w:val="Heade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3CFCF7F" w14:textId="77777777" w:rsidR="00E766DB" w:rsidRPr="00586DC0" w:rsidRDefault="00E766DB" w:rsidP="0007275A">
    <w:pPr>
      <w:pStyle w:val="Header"/>
      <w:pBdr>
        <w:bottom w:val="single" w:sz="4" w:space="1" w:color="auto"/>
      </w:pBdr>
      <w:jc w:val="center"/>
      <w:rPr>
        <w:b/>
        <w:caps/>
        <w:szCs w:val="18"/>
      </w:rPr>
    </w:pPr>
  </w:p>
  <w:p w14:paraId="5657DB35" w14:textId="77777777" w:rsidR="00E766DB" w:rsidRDefault="00E766DB" w:rsidP="0007275A">
    <w:pPr>
      <w:pStyle w:val="Heade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660C9C0" w14:textId="77777777" w:rsidR="00E766DB" w:rsidRDefault="00E766DB"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E766DB" w:rsidRDefault="00E766DB" w:rsidP="00C3584F">
    <w:pPr>
      <w:pStyle w:val="Header"/>
      <w:pBdr>
        <w:bottom w:val="single" w:sz="4" w:space="1" w:color="auto"/>
      </w:pBdr>
      <w:jc w:val="center"/>
      <w:rPr>
        <w:rFonts w:ascii="Verdana" w:hAnsi="Verdana"/>
        <w:b/>
        <w:caps/>
        <w:sz w:val="18"/>
        <w:szCs w:val="18"/>
      </w:rPr>
    </w:pPr>
  </w:p>
  <w:p w14:paraId="1F459FD2" w14:textId="77777777" w:rsidR="00E766DB" w:rsidRPr="0007275A" w:rsidRDefault="00E766DB" w:rsidP="0007275A">
    <w:pPr>
      <w:pStyle w:val="Header"/>
    </w:pP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F4A0BA" w14:textId="77777777" w:rsidR="00E766DB" w:rsidRDefault="00E766DB"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E766DB" w:rsidRPr="00586DC0" w:rsidRDefault="00E766DB" w:rsidP="0007275A">
    <w:pPr>
      <w:pStyle w:val="Header"/>
      <w:pBdr>
        <w:bottom w:val="single" w:sz="4" w:space="1" w:color="auto"/>
      </w:pBdr>
      <w:jc w:val="center"/>
      <w:rPr>
        <w:b/>
        <w:caps/>
        <w:szCs w:val="18"/>
      </w:rPr>
    </w:pPr>
  </w:p>
  <w:p w14:paraId="5A87713E" w14:textId="77777777" w:rsidR="00E766DB" w:rsidRDefault="00E766DB" w:rsidP="0007275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6">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1">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4">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0"/>
  </w:num>
  <w:num w:numId="2">
    <w:abstractNumId w:val="15"/>
  </w:num>
  <w:num w:numId="3">
    <w:abstractNumId w:val="5"/>
  </w:num>
  <w:num w:numId="4">
    <w:abstractNumId w:val="4"/>
  </w:num>
  <w:num w:numId="5">
    <w:abstractNumId w:val="1"/>
  </w:num>
  <w:num w:numId="6">
    <w:abstractNumId w:val="17"/>
  </w:num>
  <w:num w:numId="7">
    <w:abstractNumId w:val="22"/>
  </w:num>
  <w:num w:numId="8">
    <w:abstractNumId w:val="28"/>
  </w:num>
  <w:num w:numId="9">
    <w:abstractNumId w:val="10"/>
  </w:num>
  <w:num w:numId="10">
    <w:abstractNumId w:val="11"/>
  </w:num>
  <w:num w:numId="11">
    <w:abstractNumId w:val="7"/>
  </w:num>
  <w:num w:numId="12">
    <w:abstractNumId w:val="27"/>
  </w:num>
  <w:num w:numId="13">
    <w:abstractNumId w:val="25"/>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6"/>
  </w:num>
  <w:num w:numId="21">
    <w:abstractNumId w:val="13"/>
  </w:num>
  <w:num w:numId="22">
    <w:abstractNumId w:val="18"/>
  </w:num>
  <w:num w:numId="23">
    <w:abstractNumId w:val="21"/>
  </w:num>
  <w:num w:numId="24">
    <w:abstractNumId w:val="26"/>
  </w:num>
  <w:num w:numId="25">
    <w:abstractNumId w:val="24"/>
  </w:num>
  <w:num w:numId="26">
    <w:abstractNumId w:val="14"/>
  </w:num>
  <w:num w:numId="27">
    <w:abstractNumId w:val="23"/>
  </w:num>
  <w:num w:numId="28">
    <w:abstractNumId w:val="3"/>
  </w:num>
  <w:num w:numId="29">
    <w:abstractNumId w:val="19"/>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M7YwNzExNzUwsjSyNDNV0lEKTi0uzszPAykwrgUANzDP7ywAAAA="/>
  </w:docVars>
  <w:rsids>
    <w:rsidRoot w:val="00BB0495"/>
    <w:rsid w:val="00000E17"/>
    <w:rsid w:val="00002418"/>
    <w:rsid w:val="00002488"/>
    <w:rsid w:val="00003415"/>
    <w:rsid w:val="00004050"/>
    <w:rsid w:val="00006184"/>
    <w:rsid w:val="000063B8"/>
    <w:rsid w:val="0000640B"/>
    <w:rsid w:val="000079DD"/>
    <w:rsid w:val="00007CFB"/>
    <w:rsid w:val="000100E2"/>
    <w:rsid w:val="000105B2"/>
    <w:rsid w:val="000105B7"/>
    <w:rsid w:val="00010EB2"/>
    <w:rsid w:val="0001278C"/>
    <w:rsid w:val="000148FE"/>
    <w:rsid w:val="00015A6B"/>
    <w:rsid w:val="000177F9"/>
    <w:rsid w:val="00020BFF"/>
    <w:rsid w:val="00021717"/>
    <w:rsid w:val="00022027"/>
    <w:rsid w:val="000246C7"/>
    <w:rsid w:val="00026F66"/>
    <w:rsid w:val="00031624"/>
    <w:rsid w:val="00032CA9"/>
    <w:rsid w:val="00032DE6"/>
    <w:rsid w:val="00032EE3"/>
    <w:rsid w:val="00032FA0"/>
    <w:rsid w:val="00033DB5"/>
    <w:rsid w:val="00034902"/>
    <w:rsid w:val="000367C0"/>
    <w:rsid w:val="0003689B"/>
    <w:rsid w:val="00036F81"/>
    <w:rsid w:val="000376CD"/>
    <w:rsid w:val="00040075"/>
    <w:rsid w:val="000406D8"/>
    <w:rsid w:val="000407F6"/>
    <w:rsid w:val="00041595"/>
    <w:rsid w:val="00041A3C"/>
    <w:rsid w:val="00041A61"/>
    <w:rsid w:val="0004237C"/>
    <w:rsid w:val="00042B70"/>
    <w:rsid w:val="0004308C"/>
    <w:rsid w:val="00045610"/>
    <w:rsid w:val="00045E79"/>
    <w:rsid w:val="0004663E"/>
    <w:rsid w:val="000473F7"/>
    <w:rsid w:val="0005064F"/>
    <w:rsid w:val="0005182C"/>
    <w:rsid w:val="00053D97"/>
    <w:rsid w:val="000549E5"/>
    <w:rsid w:val="0005533D"/>
    <w:rsid w:val="000558F4"/>
    <w:rsid w:val="000573B7"/>
    <w:rsid w:val="00057FE0"/>
    <w:rsid w:val="00061633"/>
    <w:rsid w:val="00061B35"/>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230"/>
    <w:rsid w:val="00080ACD"/>
    <w:rsid w:val="00081286"/>
    <w:rsid w:val="000828C9"/>
    <w:rsid w:val="00082F76"/>
    <w:rsid w:val="000830DD"/>
    <w:rsid w:val="00083975"/>
    <w:rsid w:val="00083C36"/>
    <w:rsid w:val="00083EFF"/>
    <w:rsid w:val="0008403A"/>
    <w:rsid w:val="00084D3F"/>
    <w:rsid w:val="0008523D"/>
    <w:rsid w:val="000865CB"/>
    <w:rsid w:val="00086F4F"/>
    <w:rsid w:val="0008723D"/>
    <w:rsid w:val="00087AA1"/>
    <w:rsid w:val="00087E2E"/>
    <w:rsid w:val="00087EF2"/>
    <w:rsid w:val="00090FF1"/>
    <w:rsid w:val="0009153A"/>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EC9"/>
    <w:rsid w:val="000C0F56"/>
    <w:rsid w:val="000C1D7A"/>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155"/>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12B6"/>
    <w:rsid w:val="001015A9"/>
    <w:rsid w:val="00102005"/>
    <w:rsid w:val="001021D5"/>
    <w:rsid w:val="00102623"/>
    <w:rsid w:val="0010318C"/>
    <w:rsid w:val="001034DF"/>
    <w:rsid w:val="001037A9"/>
    <w:rsid w:val="001049EB"/>
    <w:rsid w:val="001053FD"/>
    <w:rsid w:val="00107880"/>
    <w:rsid w:val="00110177"/>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27C2"/>
    <w:rsid w:val="00124246"/>
    <w:rsid w:val="00124BC4"/>
    <w:rsid w:val="00124BE5"/>
    <w:rsid w:val="00125A7B"/>
    <w:rsid w:val="00125C1D"/>
    <w:rsid w:val="00126449"/>
    <w:rsid w:val="00126C91"/>
    <w:rsid w:val="00127C08"/>
    <w:rsid w:val="00130CDD"/>
    <w:rsid w:val="00131111"/>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0C41"/>
    <w:rsid w:val="001517FB"/>
    <w:rsid w:val="00151AB9"/>
    <w:rsid w:val="00151EA1"/>
    <w:rsid w:val="001520D1"/>
    <w:rsid w:val="001532C5"/>
    <w:rsid w:val="00154E37"/>
    <w:rsid w:val="001550B9"/>
    <w:rsid w:val="0015520C"/>
    <w:rsid w:val="00155212"/>
    <w:rsid w:val="001555BD"/>
    <w:rsid w:val="001559D4"/>
    <w:rsid w:val="00155EDB"/>
    <w:rsid w:val="00157EA3"/>
    <w:rsid w:val="001630EB"/>
    <w:rsid w:val="00163523"/>
    <w:rsid w:val="00163A99"/>
    <w:rsid w:val="00164877"/>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0303"/>
    <w:rsid w:val="00181672"/>
    <w:rsid w:val="001816DA"/>
    <w:rsid w:val="00182214"/>
    <w:rsid w:val="00182860"/>
    <w:rsid w:val="00183C6C"/>
    <w:rsid w:val="0018426C"/>
    <w:rsid w:val="00184296"/>
    <w:rsid w:val="00184855"/>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881"/>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42A"/>
    <w:rsid w:val="001E49DA"/>
    <w:rsid w:val="001E50C0"/>
    <w:rsid w:val="001E6082"/>
    <w:rsid w:val="001E67ED"/>
    <w:rsid w:val="001E762C"/>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1F7986"/>
    <w:rsid w:val="00200886"/>
    <w:rsid w:val="0020115C"/>
    <w:rsid w:val="00201420"/>
    <w:rsid w:val="002015E0"/>
    <w:rsid w:val="00203039"/>
    <w:rsid w:val="002047DB"/>
    <w:rsid w:val="00205523"/>
    <w:rsid w:val="0020658C"/>
    <w:rsid w:val="00206FF1"/>
    <w:rsid w:val="00207803"/>
    <w:rsid w:val="002103CB"/>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5BA"/>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0F7A"/>
    <w:rsid w:val="00261FBC"/>
    <w:rsid w:val="0026211E"/>
    <w:rsid w:val="0026313A"/>
    <w:rsid w:val="0026351A"/>
    <w:rsid w:val="002655F7"/>
    <w:rsid w:val="00265635"/>
    <w:rsid w:val="00265A14"/>
    <w:rsid w:val="00265BB8"/>
    <w:rsid w:val="002668B7"/>
    <w:rsid w:val="002668EF"/>
    <w:rsid w:val="00266E6C"/>
    <w:rsid w:val="00267062"/>
    <w:rsid w:val="00267A40"/>
    <w:rsid w:val="0027087B"/>
    <w:rsid w:val="00270AFA"/>
    <w:rsid w:val="00270F71"/>
    <w:rsid w:val="002711ED"/>
    <w:rsid w:val="0027131B"/>
    <w:rsid w:val="00271DC9"/>
    <w:rsid w:val="0027260C"/>
    <w:rsid w:val="00272697"/>
    <w:rsid w:val="0027287C"/>
    <w:rsid w:val="00273161"/>
    <w:rsid w:val="002732AA"/>
    <w:rsid w:val="00273A1E"/>
    <w:rsid w:val="002759EA"/>
    <w:rsid w:val="00275BED"/>
    <w:rsid w:val="00276331"/>
    <w:rsid w:val="00276DBE"/>
    <w:rsid w:val="00277A94"/>
    <w:rsid w:val="00277E0A"/>
    <w:rsid w:val="002814E2"/>
    <w:rsid w:val="002819FF"/>
    <w:rsid w:val="00282C7B"/>
    <w:rsid w:val="00283916"/>
    <w:rsid w:val="0028409E"/>
    <w:rsid w:val="00285695"/>
    <w:rsid w:val="002856EC"/>
    <w:rsid w:val="00285AB2"/>
    <w:rsid w:val="00286D4D"/>
    <w:rsid w:val="00290AA0"/>
    <w:rsid w:val="002911BE"/>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661"/>
    <w:rsid w:val="002A4ACA"/>
    <w:rsid w:val="002A4B17"/>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0681"/>
    <w:rsid w:val="002C1F9E"/>
    <w:rsid w:val="002C26B2"/>
    <w:rsid w:val="002C3816"/>
    <w:rsid w:val="002C3B51"/>
    <w:rsid w:val="002C3B8C"/>
    <w:rsid w:val="002C3F99"/>
    <w:rsid w:val="002C4D0B"/>
    <w:rsid w:val="002C515D"/>
    <w:rsid w:val="002C58B7"/>
    <w:rsid w:val="002C594F"/>
    <w:rsid w:val="002C5CB1"/>
    <w:rsid w:val="002C651F"/>
    <w:rsid w:val="002C6734"/>
    <w:rsid w:val="002C705A"/>
    <w:rsid w:val="002D16DE"/>
    <w:rsid w:val="002D1D29"/>
    <w:rsid w:val="002D1EBD"/>
    <w:rsid w:val="002D1EEE"/>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375"/>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2839"/>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61F6"/>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E60"/>
    <w:rsid w:val="00363F55"/>
    <w:rsid w:val="00365141"/>
    <w:rsid w:val="00365185"/>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427"/>
    <w:rsid w:val="0039061A"/>
    <w:rsid w:val="003914E0"/>
    <w:rsid w:val="00391580"/>
    <w:rsid w:val="00393339"/>
    <w:rsid w:val="00393435"/>
    <w:rsid w:val="00395DA9"/>
    <w:rsid w:val="00396556"/>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6E7"/>
    <w:rsid w:val="003B5CF9"/>
    <w:rsid w:val="003B5E4F"/>
    <w:rsid w:val="003B6213"/>
    <w:rsid w:val="003B642A"/>
    <w:rsid w:val="003B6735"/>
    <w:rsid w:val="003B6901"/>
    <w:rsid w:val="003B7C17"/>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6753"/>
    <w:rsid w:val="003D71E7"/>
    <w:rsid w:val="003E1403"/>
    <w:rsid w:val="003E1826"/>
    <w:rsid w:val="003E20F8"/>
    <w:rsid w:val="003E323D"/>
    <w:rsid w:val="003E397A"/>
    <w:rsid w:val="003E3C3D"/>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2FEF"/>
    <w:rsid w:val="00403445"/>
    <w:rsid w:val="00404208"/>
    <w:rsid w:val="004056FE"/>
    <w:rsid w:val="00405944"/>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2ED6"/>
    <w:rsid w:val="004234D4"/>
    <w:rsid w:val="00424221"/>
    <w:rsid w:val="00424551"/>
    <w:rsid w:val="004246BB"/>
    <w:rsid w:val="00424A67"/>
    <w:rsid w:val="0042521D"/>
    <w:rsid w:val="004258EA"/>
    <w:rsid w:val="00426183"/>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4787E"/>
    <w:rsid w:val="00450715"/>
    <w:rsid w:val="0045129D"/>
    <w:rsid w:val="0045141A"/>
    <w:rsid w:val="00452044"/>
    <w:rsid w:val="00452372"/>
    <w:rsid w:val="004530F7"/>
    <w:rsid w:val="0045350E"/>
    <w:rsid w:val="004545F6"/>
    <w:rsid w:val="00455087"/>
    <w:rsid w:val="00455245"/>
    <w:rsid w:val="00455BA8"/>
    <w:rsid w:val="00456325"/>
    <w:rsid w:val="00456329"/>
    <w:rsid w:val="00456AB8"/>
    <w:rsid w:val="004576CF"/>
    <w:rsid w:val="004602FD"/>
    <w:rsid w:val="0046049E"/>
    <w:rsid w:val="00460EB6"/>
    <w:rsid w:val="00463475"/>
    <w:rsid w:val="00464266"/>
    <w:rsid w:val="004651B9"/>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112"/>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4F4B"/>
    <w:rsid w:val="004953B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17D9"/>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2F1D"/>
    <w:rsid w:val="004D4FF1"/>
    <w:rsid w:val="004D522D"/>
    <w:rsid w:val="004D5B64"/>
    <w:rsid w:val="004D5C78"/>
    <w:rsid w:val="004D63B5"/>
    <w:rsid w:val="004D6518"/>
    <w:rsid w:val="004D6778"/>
    <w:rsid w:val="004D77F5"/>
    <w:rsid w:val="004D7C27"/>
    <w:rsid w:val="004E0842"/>
    <w:rsid w:val="004E221E"/>
    <w:rsid w:val="004E26E7"/>
    <w:rsid w:val="004E282D"/>
    <w:rsid w:val="004E2E02"/>
    <w:rsid w:val="004E3DB3"/>
    <w:rsid w:val="004E47E6"/>
    <w:rsid w:val="004E514A"/>
    <w:rsid w:val="004E5A5C"/>
    <w:rsid w:val="004E5AE5"/>
    <w:rsid w:val="004E65D4"/>
    <w:rsid w:val="004E6641"/>
    <w:rsid w:val="004E7145"/>
    <w:rsid w:val="004E7DCE"/>
    <w:rsid w:val="004E7E8F"/>
    <w:rsid w:val="004F150F"/>
    <w:rsid w:val="004F28CE"/>
    <w:rsid w:val="004F2BCB"/>
    <w:rsid w:val="004F2BEF"/>
    <w:rsid w:val="004F3330"/>
    <w:rsid w:val="004F41C4"/>
    <w:rsid w:val="004F4D05"/>
    <w:rsid w:val="004F552A"/>
    <w:rsid w:val="004F5E84"/>
    <w:rsid w:val="004F6192"/>
    <w:rsid w:val="004F78D5"/>
    <w:rsid w:val="004F7F59"/>
    <w:rsid w:val="004F7FA9"/>
    <w:rsid w:val="00501857"/>
    <w:rsid w:val="00501E37"/>
    <w:rsid w:val="005035C8"/>
    <w:rsid w:val="00503B1D"/>
    <w:rsid w:val="00503DE5"/>
    <w:rsid w:val="00504328"/>
    <w:rsid w:val="00504B7A"/>
    <w:rsid w:val="00506FEE"/>
    <w:rsid w:val="005075BF"/>
    <w:rsid w:val="00510138"/>
    <w:rsid w:val="00510399"/>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07CB"/>
    <w:rsid w:val="00561D9F"/>
    <w:rsid w:val="00562618"/>
    <w:rsid w:val="00562941"/>
    <w:rsid w:val="00562E66"/>
    <w:rsid w:val="00563B53"/>
    <w:rsid w:val="00563C40"/>
    <w:rsid w:val="00563DDF"/>
    <w:rsid w:val="005644A0"/>
    <w:rsid w:val="00564823"/>
    <w:rsid w:val="005656D7"/>
    <w:rsid w:val="005658D7"/>
    <w:rsid w:val="00565B05"/>
    <w:rsid w:val="00566A3E"/>
    <w:rsid w:val="00566D4F"/>
    <w:rsid w:val="005670ED"/>
    <w:rsid w:val="0056725E"/>
    <w:rsid w:val="005705DA"/>
    <w:rsid w:val="005712B7"/>
    <w:rsid w:val="0057133D"/>
    <w:rsid w:val="00571AD4"/>
    <w:rsid w:val="00572703"/>
    <w:rsid w:val="005730B8"/>
    <w:rsid w:val="005732A8"/>
    <w:rsid w:val="0057378E"/>
    <w:rsid w:val="00574ED6"/>
    <w:rsid w:val="00574F3B"/>
    <w:rsid w:val="00575DFC"/>
    <w:rsid w:val="00577915"/>
    <w:rsid w:val="00580471"/>
    <w:rsid w:val="00580EC4"/>
    <w:rsid w:val="00581033"/>
    <w:rsid w:val="005813C5"/>
    <w:rsid w:val="00581532"/>
    <w:rsid w:val="00581CC9"/>
    <w:rsid w:val="00581FD1"/>
    <w:rsid w:val="0058325E"/>
    <w:rsid w:val="005854F2"/>
    <w:rsid w:val="0058575B"/>
    <w:rsid w:val="00586657"/>
    <w:rsid w:val="00587361"/>
    <w:rsid w:val="0058784B"/>
    <w:rsid w:val="005907A4"/>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E2C"/>
    <w:rsid w:val="005A5FB9"/>
    <w:rsid w:val="005A69C0"/>
    <w:rsid w:val="005A748B"/>
    <w:rsid w:val="005A753C"/>
    <w:rsid w:val="005A7D89"/>
    <w:rsid w:val="005B0C3D"/>
    <w:rsid w:val="005B0E77"/>
    <w:rsid w:val="005B16DD"/>
    <w:rsid w:val="005B1DF6"/>
    <w:rsid w:val="005B2B2B"/>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7F6"/>
    <w:rsid w:val="00612F0E"/>
    <w:rsid w:val="0061327C"/>
    <w:rsid w:val="00613825"/>
    <w:rsid w:val="00614764"/>
    <w:rsid w:val="006151C8"/>
    <w:rsid w:val="00620683"/>
    <w:rsid w:val="00620A3A"/>
    <w:rsid w:val="00620FFB"/>
    <w:rsid w:val="00621257"/>
    <w:rsid w:val="00621F3F"/>
    <w:rsid w:val="0062278C"/>
    <w:rsid w:val="00622DB4"/>
    <w:rsid w:val="0062337A"/>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224"/>
    <w:rsid w:val="00665990"/>
    <w:rsid w:val="0066618C"/>
    <w:rsid w:val="00666539"/>
    <w:rsid w:val="00667540"/>
    <w:rsid w:val="00667752"/>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293A"/>
    <w:rsid w:val="006A344F"/>
    <w:rsid w:val="006A3538"/>
    <w:rsid w:val="006A4D87"/>
    <w:rsid w:val="006A4D97"/>
    <w:rsid w:val="006A53F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9F"/>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078"/>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0F4A"/>
    <w:rsid w:val="007031E4"/>
    <w:rsid w:val="007037B7"/>
    <w:rsid w:val="007038B9"/>
    <w:rsid w:val="00704FEC"/>
    <w:rsid w:val="007050F9"/>
    <w:rsid w:val="00705583"/>
    <w:rsid w:val="00705807"/>
    <w:rsid w:val="0070667E"/>
    <w:rsid w:val="00707935"/>
    <w:rsid w:val="00707C6F"/>
    <w:rsid w:val="00710819"/>
    <w:rsid w:val="0071097B"/>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3C99"/>
    <w:rsid w:val="00734C46"/>
    <w:rsid w:val="00734E36"/>
    <w:rsid w:val="007350B6"/>
    <w:rsid w:val="00736148"/>
    <w:rsid w:val="0073768B"/>
    <w:rsid w:val="007378F5"/>
    <w:rsid w:val="00737B07"/>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277"/>
    <w:rsid w:val="0075299C"/>
    <w:rsid w:val="00753807"/>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351F"/>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0C2"/>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0E17"/>
    <w:rsid w:val="007B1E06"/>
    <w:rsid w:val="007B2022"/>
    <w:rsid w:val="007B26F7"/>
    <w:rsid w:val="007B37C2"/>
    <w:rsid w:val="007B420E"/>
    <w:rsid w:val="007B5511"/>
    <w:rsid w:val="007B5633"/>
    <w:rsid w:val="007B633B"/>
    <w:rsid w:val="007B6A08"/>
    <w:rsid w:val="007B6F11"/>
    <w:rsid w:val="007C014E"/>
    <w:rsid w:val="007C06F3"/>
    <w:rsid w:val="007C1323"/>
    <w:rsid w:val="007C3209"/>
    <w:rsid w:val="007C3D64"/>
    <w:rsid w:val="007D0143"/>
    <w:rsid w:val="007D10AE"/>
    <w:rsid w:val="007D19AC"/>
    <w:rsid w:val="007D2B6E"/>
    <w:rsid w:val="007D3D8C"/>
    <w:rsid w:val="007D4BD2"/>
    <w:rsid w:val="007D4C49"/>
    <w:rsid w:val="007D4C6D"/>
    <w:rsid w:val="007D4FA9"/>
    <w:rsid w:val="007D5295"/>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287"/>
    <w:rsid w:val="008163D0"/>
    <w:rsid w:val="00816671"/>
    <w:rsid w:val="0081730C"/>
    <w:rsid w:val="00817E59"/>
    <w:rsid w:val="0082232D"/>
    <w:rsid w:val="00822405"/>
    <w:rsid w:val="00822435"/>
    <w:rsid w:val="008226A5"/>
    <w:rsid w:val="008227F7"/>
    <w:rsid w:val="00822E53"/>
    <w:rsid w:val="00823D3F"/>
    <w:rsid w:val="008252FE"/>
    <w:rsid w:val="00825DDE"/>
    <w:rsid w:val="00826EB8"/>
    <w:rsid w:val="00827963"/>
    <w:rsid w:val="00830744"/>
    <w:rsid w:val="00833682"/>
    <w:rsid w:val="0083451E"/>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BFF"/>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966"/>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D41"/>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0588"/>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320"/>
    <w:rsid w:val="009057C7"/>
    <w:rsid w:val="00905A0D"/>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E91"/>
    <w:rsid w:val="00940D44"/>
    <w:rsid w:val="00941885"/>
    <w:rsid w:val="00941DDD"/>
    <w:rsid w:val="00942D7B"/>
    <w:rsid w:val="00943193"/>
    <w:rsid w:val="00943DE9"/>
    <w:rsid w:val="00944684"/>
    <w:rsid w:val="00944EB1"/>
    <w:rsid w:val="00945018"/>
    <w:rsid w:val="009458AD"/>
    <w:rsid w:val="00945A7C"/>
    <w:rsid w:val="0094652B"/>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AF2"/>
    <w:rsid w:val="00967C8F"/>
    <w:rsid w:val="009710C8"/>
    <w:rsid w:val="00971DBC"/>
    <w:rsid w:val="0097234B"/>
    <w:rsid w:val="00972492"/>
    <w:rsid w:val="009734EA"/>
    <w:rsid w:val="009744F4"/>
    <w:rsid w:val="00975733"/>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62E7"/>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0FC4"/>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B28"/>
    <w:rsid w:val="00A20E35"/>
    <w:rsid w:val="00A21188"/>
    <w:rsid w:val="00A21374"/>
    <w:rsid w:val="00A21C31"/>
    <w:rsid w:val="00A21EA8"/>
    <w:rsid w:val="00A227C9"/>
    <w:rsid w:val="00A239E0"/>
    <w:rsid w:val="00A24554"/>
    <w:rsid w:val="00A249E3"/>
    <w:rsid w:val="00A24DC3"/>
    <w:rsid w:val="00A2596D"/>
    <w:rsid w:val="00A26333"/>
    <w:rsid w:val="00A264B5"/>
    <w:rsid w:val="00A26AE9"/>
    <w:rsid w:val="00A27517"/>
    <w:rsid w:val="00A2752C"/>
    <w:rsid w:val="00A2797E"/>
    <w:rsid w:val="00A27D2B"/>
    <w:rsid w:val="00A30161"/>
    <w:rsid w:val="00A30708"/>
    <w:rsid w:val="00A30FAE"/>
    <w:rsid w:val="00A314D9"/>
    <w:rsid w:val="00A31884"/>
    <w:rsid w:val="00A34BCB"/>
    <w:rsid w:val="00A35179"/>
    <w:rsid w:val="00A352FA"/>
    <w:rsid w:val="00A359A1"/>
    <w:rsid w:val="00A3637D"/>
    <w:rsid w:val="00A36458"/>
    <w:rsid w:val="00A36F3A"/>
    <w:rsid w:val="00A37713"/>
    <w:rsid w:val="00A40681"/>
    <w:rsid w:val="00A40A1D"/>
    <w:rsid w:val="00A41F58"/>
    <w:rsid w:val="00A42976"/>
    <w:rsid w:val="00A42A5F"/>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61C9"/>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261"/>
    <w:rsid w:val="00AB271C"/>
    <w:rsid w:val="00AB2805"/>
    <w:rsid w:val="00AB2807"/>
    <w:rsid w:val="00AB3952"/>
    <w:rsid w:val="00AB5736"/>
    <w:rsid w:val="00AB78CC"/>
    <w:rsid w:val="00AC1F80"/>
    <w:rsid w:val="00AC2015"/>
    <w:rsid w:val="00AC3E26"/>
    <w:rsid w:val="00AC412F"/>
    <w:rsid w:val="00AC478D"/>
    <w:rsid w:val="00AC4B86"/>
    <w:rsid w:val="00AC4C36"/>
    <w:rsid w:val="00AC54B5"/>
    <w:rsid w:val="00AC5920"/>
    <w:rsid w:val="00AC7290"/>
    <w:rsid w:val="00AD007C"/>
    <w:rsid w:val="00AD0BE3"/>
    <w:rsid w:val="00AD2200"/>
    <w:rsid w:val="00AD2F36"/>
    <w:rsid w:val="00AD40D5"/>
    <w:rsid w:val="00AD4873"/>
    <w:rsid w:val="00AD56CD"/>
    <w:rsid w:val="00AD5B66"/>
    <w:rsid w:val="00AD6414"/>
    <w:rsid w:val="00AD6714"/>
    <w:rsid w:val="00AD69BC"/>
    <w:rsid w:val="00AD737E"/>
    <w:rsid w:val="00AD7EB1"/>
    <w:rsid w:val="00AE0D87"/>
    <w:rsid w:val="00AE14E8"/>
    <w:rsid w:val="00AE243B"/>
    <w:rsid w:val="00AE2B9F"/>
    <w:rsid w:val="00AE32AE"/>
    <w:rsid w:val="00AE33EB"/>
    <w:rsid w:val="00AE36ED"/>
    <w:rsid w:val="00AE3F98"/>
    <w:rsid w:val="00AE4665"/>
    <w:rsid w:val="00AE476E"/>
    <w:rsid w:val="00AE48A5"/>
    <w:rsid w:val="00AE4DC6"/>
    <w:rsid w:val="00AE5361"/>
    <w:rsid w:val="00AE62FB"/>
    <w:rsid w:val="00AE7AC0"/>
    <w:rsid w:val="00AF0ACF"/>
    <w:rsid w:val="00AF0E11"/>
    <w:rsid w:val="00AF1FA0"/>
    <w:rsid w:val="00AF2165"/>
    <w:rsid w:val="00AF222F"/>
    <w:rsid w:val="00AF2B1B"/>
    <w:rsid w:val="00AF368B"/>
    <w:rsid w:val="00AF436F"/>
    <w:rsid w:val="00AF5A66"/>
    <w:rsid w:val="00AF5DC3"/>
    <w:rsid w:val="00AF666B"/>
    <w:rsid w:val="00AF768C"/>
    <w:rsid w:val="00AF794E"/>
    <w:rsid w:val="00AF7CF7"/>
    <w:rsid w:val="00B01A2D"/>
    <w:rsid w:val="00B02212"/>
    <w:rsid w:val="00B02482"/>
    <w:rsid w:val="00B02533"/>
    <w:rsid w:val="00B028C7"/>
    <w:rsid w:val="00B03142"/>
    <w:rsid w:val="00B04479"/>
    <w:rsid w:val="00B0556E"/>
    <w:rsid w:val="00B05A65"/>
    <w:rsid w:val="00B05D80"/>
    <w:rsid w:val="00B05E01"/>
    <w:rsid w:val="00B068B4"/>
    <w:rsid w:val="00B06D17"/>
    <w:rsid w:val="00B1140E"/>
    <w:rsid w:val="00B116F4"/>
    <w:rsid w:val="00B12CA7"/>
    <w:rsid w:val="00B139AD"/>
    <w:rsid w:val="00B144F8"/>
    <w:rsid w:val="00B14F85"/>
    <w:rsid w:val="00B16E29"/>
    <w:rsid w:val="00B20BEB"/>
    <w:rsid w:val="00B21072"/>
    <w:rsid w:val="00B21B64"/>
    <w:rsid w:val="00B22356"/>
    <w:rsid w:val="00B2324E"/>
    <w:rsid w:val="00B23C02"/>
    <w:rsid w:val="00B24964"/>
    <w:rsid w:val="00B2499A"/>
    <w:rsid w:val="00B25173"/>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3931"/>
    <w:rsid w:val="00B54907"/>
    <w:rsid w:val="00B54936"/>
    <w:rsid w:val="00B562D8"/>
    <w:rsid w:val="00B56590"/>
    <w:rsid w:val="00B56F34"/>
    <w:rsid w:val="00B5702F"/>
    <w:rsid w:val="00B60622"/>
    <w:rsid w:val="00B606B9"/>
    <w:rsid w:val="00B61997"/>
    <w:rsid w:val="00B63C4B"/>
    <w:rsid w:val="00B642E4"/>
    <w:rsid w:val="00B645D4"/>
    <w:rsid w:val="00B64A20"/>
    <w:rsid w:val="00B656C1"/>
    <w:rsid w:val="00B658B7"/>
    <w:rsid w:val="00B678A8"/>
    <w:rsid w:val="00B708E6"/>
    <w:rsid w:val="00B70F6B"/>
    <w:rsid w:val="00B722E2"/>
    <w:rsid w:val="00B75A91"/>
    <w:rsid w:val="00B76A7D"/>
    <w:rsid w:val="00B77015"/>
    <w:rsid w:val="00B8021C"/>
    <w:rsid w:val="00B80D27"/>
    <w:rsid w:val="00B815FE"/>
    <w:rsid w:val="00B8236B"/>
    <w:rsid w:val="00B83621"/>
    <w:rsid w:val="00B86163"/>
    <w:rsid w:val="00B86C53"/>
    <w:rsid w:val="00B87D1B"/>
    <w:rsid w:val="00B90998"/>
    <w:rsid w:val="00B90C59"/>
    <w:rsid w:val="00B91395"/>
    <w:rsid w:val="00B93851"/>
    <w:rsid w:val="00B948C2"/>
    <w:rsid w:val="00B95DDE"/>
    <w:rsid w:val="00BA12AC"/>
    <w:rsid w:val="00BA1967"/>
    <w:rsid w:val="00BA1E88"/>
    <w:rsid w:val="00BA1F00"/>
    <w:rsid w:val="00BA2A93"/>
    <w:rsid w:val="00BA2E5B"/>
    <w:rsid w:val="00BA3E21"/>
    <w:rsid w:val="00BA4947"/>
    <w:rsid w:val="00BA4AB4"/>
    <w:rsid w:val="00BA5CB6"/>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39E"/>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3BD"/>
    <w:rsid w:val="00BE3EC5"/>
    <w:rsid w:val="00BE4115"/>
    <w:rsid w:val="00BE45B9"/>
    <w:rsid w:val="00BE5DCD"/>
    <w:rsid w:val="00BE69F0"/>
    <w:rsid w:val="00BE7B72"/>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77"/>
    <w:rsid w:val="00C259B1"/>
    <w:rsid w:val="00C25DBA"/>
    <w:rsid w:val="00C26BB3"/>
    <w:rsid w:val="00C273D5"/>
    <w:rsid w:val="00C27955"/>
    <w:rsid w:val="00C27D54"/>
    <w:rsid w:val="00C30F41"/>
    <w:rsid w:val="00C32B45"/>
    <w:rsid w:val="00C32EF8"/>
    <w:rsid w:val="00C351A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B2D"/>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5296"/>
    <w:rsid w:val="00C66417"/>
    <w:rsid w:val="00C66997"/>
    <w:rsid w:val="00C67294"/>
    <w:rsid w:val="00C673CD"/>
    <w:rsid w:val="00C67E00"/>
    <w:rsid w:val="00C7025F"/>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3896"/>
    <w:rsid w:val="00C85334"/>
    <w:rsid w:val="00C85DFF"/>
    <w:rsid w:val="00C90450"/>
    <w:rsid w:val="00C9046D"/>
    <w:rsid w:val="00C90546"/>
    <w:rsid w:val="00C90A06"/>
    <w:rsid w:val="00C9354D"/>
    <w:rsid w:val="00C9364D"/>
    <w:rsid w:val="00C93D9F"/>
    <w:rsid w:val="00C94E93"/>
    <w:rsid w:val="00C95E34"/>
    <w:rsid w:val="00C95FBF"/>
    <w:rsid w:val="00C96FD9"/>
    <w:rsid w:val="00C97004"/>
    <w:rsid w:val="00C97252"/>
    <w:rsid w:val="00C9772A"/>
    <w:rsid w:val="00C978AF"/>
    <w:rsid w:val="00C978D0"/>
    <w:rsid w:val="00C97D3C"/>
    <w:rsid w:val="00C97E21"/>
    <w:rsid w:val="00CA002A"/>
    <w:rsid w:val="00CA06BD"/>
    <w:rsid w:val="00CA10EE"/>
    <w:rsid w:val="00CA2264"/>
    <w:rsid w:val="00CA267E"/>
    <w:rsid w:val="00CA26FC"/>
    <w:rsid w:val="00CA2A3A"/>
    <w:rsid w:val="00CA5907"/>
    <w:rsid w:val="00CA5A8A"/>
    <w:rsid w:val="00CA5D0D"/>
    <w:rsid w:val="00CA5E81"/>
    <w:rsid w:val="00CA62FB"/>
    <w:rsid w:val="00CA6F53"/>
    <w:rsid w:val="00CA71F5"/>
    <w:rsid w:val="00CA7801"/>
    <w:rsid w:val="00CB0603"/>
    <w:rsid w:val="00CB0704"/>
    <w:rsid w:val="00CB17CF"/>
    <w:rsid w:val="00CB19E3"/>
    <w:rsid w:val="00CB30DB"/>
    <w:rsid w:val="00CB3168"/>
    <w:rsid w:val="00CB37EF"/>
    <w:rsid w:val="00CB4EC3"/>
    <w:rsid w:val="00CB5586"/>
    <w:rsid w:val="00CB670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68D3"/>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0772"/>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070DD"/>
    <w:rsid w:val="00D10294"/>
    <w:rsid w:val="00D11DE0"/>
    <w:rsid w:val="00D11E9E"/>
    <w:rsid w:val="00D1288C"/>
    <w:rsid w:val="00D12E93"/>
    <w:rsid w:val="00D1308C"/>
    <w:rsid w:val="00D13179"/>
    <w:rsid w:val="00D135B4"/>
    <w:rsid w:val="00D1402C"/>
    <w:rsid w:val="00D1447C"/>
    <w:rsid w:val="00D14DEA"/>
    <w:rsid w:val="00D1515F"/>
    <w:rsid w:val="00D1596B"/>
    <w:rsid w:val="00D161E4"/>
    <w:rsid w:val="00D16918"/>
    <w:rsid w:val="00D16DB6"/>
    <w:rsid w:val="00D17AED"/>
    <w:rsid w:val="00D17D77"/>
    <w:rsid w:val="00D17D82"/>
    <w:rsid w:val="00D2186B"/>
    <w:rsid w:val="00D2187B"/>
    <w:rsid w:val="00D218DF"/>
    <w:rsid w:val="00D22167"/>
    <w:rsid w:val="00D22351"/>
    <w:rsid w:val="00D23991"/>
    <w:rsid w:val="00D23A48"/>
    <w:rsid w:val="00D24658"/>
    <w:rsid w:val="00D24EDD"/>
    <w:rsid w:val="00D25BB5"/>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0A06"/>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6720"/>
    <w:rsid w:val="00D8702E"/>
    <w:rsid w:val="00D87411"/>
    <w:rsid w:val="00D90026"/>
    <w:rsid w:val="00D900B6"/>
    <w:rsid w:val="00D9130C"/>
    <w:rsid w:val="00D917C2"/>
    <w:rsid w:val="00D9235C"/>
    <w:rsid w:val="00D931FA"/>
    <w:rsid w:val="00D932BE"/>
    <w:rsid w:val="00D937A5"/>
    <w:rsid w:val="00D946C4"/>
    <w:rsid w:val="00D948C6"/>
    <w:rsid w:val="00D950A1"/>
    <w:rsid w:val="00D953F7"/>
    <w:rsid w:val="00D9642A"/>
    <w:rsid w:val="00D96882"/>
    <w:rsid w:val="00D9697F"/>
    <w:rsid w:val="00D972B3"/>
    <w:rsid w:val="00D972D1"/>
    <w:rsid w:val="00D973B9"/>
    <w:rsid w:val="00D976A6"/>
    <w:rsid w:val="00D97DC6"/>
    <w:rsid w:val="00DA039C"/>
    <w:rsid w:val="00DA0761"/>
    <w:rsid w:val="00DA0A30"/>
    <w:rsid w:val="00DA3E1A"/>
    <w:rsid w:val="00DA4CDB"/>
    <w:rsid w:val="00DA6300"/>
    <w:rsid w:val="00DA644D"/>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6A3"/>
    <w:rsid w:val="00DC7B96"/>
    <w:rsid w:val="00DD0404"/>
    <w:rsid w:val="00DD04E9"/>
    <w:rsid w:val="00DD17D3"/>
    <w:rsid w:val="00DD18D8"/>
    <w:rsid w:val="00DD2216"/>
    <w:rsid w:val="00DD2727"/>
    <w:rsid w:val="00DD40E7"/>
    <w:rsid w:val="00DD4513"/>
    <w:rsid w:val="00DD45E2"/>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0D1"/>
    <w:rsid w:val="00E2442D"/>
    <w:rsid w:val="00E24BDE"/>
    <w:rsid w:val="00E24CE4"/>
    <w:rsid w:val="00E24D92"/>
    <w:rsid w:val="00E25DB2"/>
    <w:rsid w:val="00E26141"/>
    <w:rsid w:val="00E2620B"/>
    <w:rsid w:val="00E27D8A"/>
    <w:rsid w:val="00E30787"/>
    <w:rsid w:val="00E32617"/>
    <w:rsid w:val="00E32CE4"/>
    <w:rsid w:val="00E3366A"/>
    <w:rsid w:val="00E34172"/>
    <w:rsid w:val="00E341D1"/>
    <w:rsid w:val="00E3516C"/>
    <w:rsid w:val="00E371C5"/>
    <w:rsid w:val="00E37DFC"/>
    <w:rsid w:val="00E4049C"/>
    <w:rsid w:val="00E40688"/>
    <w:rsid w:val="00E40CAD"/>
    <w:rsid w:val="00E412EF"/>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1A9"/>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66DB"/>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3363"/>
    <w:rsid w:val="00E94701"/>
    <w:rsid w:val="00E949D6"/>
    <w:rsid w:val="00E955BC"/>
    <w:rsid w:val="00E96583"/>
    <w:rsid w:val="00E96786"/>
    <w:rsid w:val="00E96E39"/>
    <w:rsid w:val="00E978CC"/>
    <w:rsid w:val="00E97D49"/>
    <w:rsid w:val="00EA27FC"/>
    <w:rsid w:val="00EA2979"/>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62"/>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2622"/>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11AE"/>
    <w:rsid w:val="00F22005"/>
    <w:rsid w:val="00F228B7"/>
    <w:rsid w:val="00F22A9C"/>
    <w:rsid w:val="00F23BDE"/>
    <w:rsid w:val="00F244ED"/>
    <w:rsid w:val="00F2486E"/>
    <w:rsid w:val="00F25367"/>
    <w:rsid w:val="00F2644C"/>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3DC9"/>
    <w:rsid w:val="00F44780"/>
    <w:rsid w:val="00F44940"/>
    <w:rsid w:val="00F44CF2"/>
    <w:rsid w:val="00F44FC5"/>
    <w:rsid w:val="00F4532C"/>
    <w:rsid w:val="00F45B9D"/>
    <w:rsid w:val="00F46F6F"/>
    <w:rsid w:val="00F506D3"/>
    <w:rsid w:val="00F50925"/>
    <w:rsid w:val="00F5169C"/>
    <w:rsid w:val="00F52519"/>
    <w:rsid w:val="00F53066"/>
    <w:rsid w:val="00F53385"/>
    <w:rsid w:val="00F534E8"/>
    <w:rsid w:val="00F54182"/>
    <w:rsid w:val="00F557AD"/>
    <w:rsid w:val="00F55D4C"/>
    <w:rsid w:val="00F55FE8"/>
    <w:rsid w:val="00F5653C"/>
    <w:rsid w:val="00F603DF"/>
    <w:rsid w:val="00F613A6"/>
    <w:rsid w:val="00F61914"/>
    <w:rsid w:val="00F624DD"/>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4D2C"/>
    <w:rsid w:val="00F8555B"/>
    <w:rsid w:val="00F86018"/>
    <w:rsid w:val="00F87294"/>
    <w:rsid w:val="00F87DB0"/>
    <w:rsid w:val="00F901BB"/>
    <w:rsid w:val="00F90643"/>
    <w:rsid w:val="00F90B88"/>
    <w:rsid w:val="00F91CD8"/>
    <w:rsid w:val="00F922A9"/>
    <w:rsid w:val="00F92BAB"/>
    <w:rsid w:val="00F92CCD"/>
    <w:rsid w:val="00F93518"/>
    <w:rsid w:val="00F93544"/>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5FD0"/>
    <w:rsid w:val="00FC6775"/>
    <w:rsid w:val="00FD07CF"/>
    <w:rsid w:val="00FD0EF5"/>
    <w:rsid w:val="00FD1CF7"/>
    <w:rsid w:val="00FD3933"/>
    <w:rsid w:val="00FD3FAE"/>
    <w:rsid w:val="00FD4128"/>
    <w:rsid w:val="00FD5918"/>
    <w:rsid w:val="00FD5D6D"/>
    <w:rsid w:val="00FD5F64"/>
    <w:rsid w:val="00FD626A"/>
    <w:rsid w:val="00FD66D8"/>
    <w:rsid w:val="00FD6C15"/>
    <w:rsid w:val="00FD728A"/>
    <w:rsid w:val="00FD74CE"/>
    <w:rsid w:val="00FD7F9A"/>
    <w:rsid w:val="00FE0207"/>
    <w:rsid w:val="00FE0518"/>
    <w:rsid w:val="00FE149E"/>
    <w:rsid w:val="00FE241E"/>
    <w:rsid w:val="00FE2F69"/>
    <w:rsid w:val="00FE3082"/>
    <w:rsid w:val="00FE3542"/>
    <w:rsid w:val="00FE3AEE"/>
    <w:rsid w:val="00FE4693"/>
    <w:rsid w:val="00FE4A4A"/>
    <w:rsid w:val="00FE5632"/>
    <w:rsid w:val="00FE5AE8"/>
    <w:rsid w:val="00FE5E80"/>
    <w:rsid w:val="00FE69E3"/>
    <w:rsid w:val="00FE7428"/>
    <w:rsid w:val="00FF0763"/>
    <w:rsid w:val="00FF0913"/>
    <w:rsid w:val="00FF0B7E"/>
    <w:rsid w:val="00FF0CD7"/>
    <w:rsid w:val="00FF15EE"/>
    <w:rsid w:val="00FF1BF1"/>
    <w:rsid w:val="00FF23F3"/>
    <w:rsid w:val="00FF2435"/>
    <w:rsid w:val="00FF26EB"/>
    <w:rsid w:val="00FF2C8C"/>
    <w:rsid w:val="00FF4A01"/>
    <w:rsid w:val="00FF5C33"/>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8F1B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0"/>
    <w:lsdException w:name="head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22"/>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0"/>
    <w:lsdException w:name="head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22"/>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34924">
      <w:bodyDiv w:val="1"/>
      <w:marLeft w:val="0"/>
      <w:marRight w:val="0"/>
      <w:marTop w:val="0"/>
      <w:marBottom w:val="0"/>
      <w:divBdr>
        <w:top w:val="none" w:sz="0" w:space="0" w:color="auto"/>
        <w:left w:val="none" w:sz="0" w:space="0" w:color="auto"/>
        <w:bottom w:val="none" w:sz="0" w:space="0" w:color="auto"/>
        <w:right w:val="none" w:sz="0" w:space="0" w:color="auto"/>
      </w:divBdr>
    </w:div>
    <w:div w:id="7413906">
      <w:bodyDiv w:val="1"/>
      <w:marLeft w:val="0"/>
      <w:marRight w:val="0"/>
      <w:marTop w:val="0"/>
      <w:marBottom w:val="0"/>
      <w:divBdr>
        <w:top w:val="none" w:sz="0" w:space="0" w:color="auto"/>
        <w:left w:val="none" w:sz="0" w:space="0" w:color="auto"/>
        <w:bottom w:val="none" w:sz="0" w:space="0" w:color="auto"/>
        <w:right w:val="none" w:sz="0" w:space="0" w:color="auto"/>
      </w:divBdr>
    </w:div>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48180406">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32804390">
      <w:bodyDiv w:val="1"/>
      <w:marLeft w:val="0"/>
      <w:marRight w:val="0"/>
      <w:marTop w:val="0"/>
      <w:marBottom w:val="0"/>
      <w:divBdr>
        <w:top w:val="none" w:sz="0" w:space="0" w:color="auto"/>
        <w:left w:val="none" w:sz="0" w:space="0" w:color="auto"/>
        <w:bottom w:val="none" w:sz="0" w:space="0" w:color="auto"/>
        <w:right w:val="none" w:sz="0" w:space="0" w:color="auto"/>
      </w:divBdr>
    </w:div>
    <w:div w:id="396589712">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4221724">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90162067">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54915977">
      <w:bodyDiv w:val="1"/>
      <w:marLeft w:val="0"/>
      <w:marRight w:val="0"/>
      <w:marTop w:val="0"/>
      <w:marBottom w:val="0"/>
      <w:divBdr>
        <w:top w:val="none" w:sz="0" w:space="0" w:color="auto"/>
        <w:left w:val="none" w:sz="0" w:space="0" w:color="auto"/>
        <w:bottom w:val="none" w:sz="0" w:space="0" w:color="auto"/>
        <w:right w:val="none" w:sz="0" w:space="0" w:color="auto"/>
      </w:divBdr>
    </w:div>
    <w:div w:id="838808826">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4161016">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09523154">
      <w:bodyDiv w:val="1"/>
      <w:marLeft w:val="0"/>
      <w:marRight w:val="0"/>
      <w:marTop w:val="0"/>
      <w:marBottom w:val="0"/>
      <w:divBdr>
        <w:top w:val="none" w:sz="0" w:space="0" w:color="auto"/>
        <w:left w:val="none" w:sz="0" w:space="0" w:color="auto"/>
        <w:bottom w:val="none" w:sz="0" w:space="0" w:color="auto"/>
        <w:right w:val="none" w:sz="0" w:space="0" w:color="auto"/>
      </w:divBdr>
    </w:div>
    <w:div w:id="102806865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64373863">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383122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22548798">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05387821">
      <w:bodyDiv w:val="1"/>
      <w:marLeft w:val="0"/>
      <w:marRight w:val="0"/>
      <w:marTop w:val="0"/>
      <w:marBottom w:val="0"/>
      <w:divBdr>
        <w:top w:val="none" w:sz="0" w:space="0" w:color="auto"/>
        <w:left w:val="none" w:sz="0" w:space="0" w:color="auto"/>
        <w:bottom w:val="none" w:sz="0" w:space="0" w:color="auto"/>
        <w:right w:val="none" w:sz="0" w:space="0" w:color="auto"/>
      </w:divBdr>
    </w:div>
    <w:div w:id="1893466222">
      <w:bodyDiv w:val="1"/>
      <w:marLeft w:val="0"/>
      <w:marRight w:val="0"/>
      <w:marTop w:val="0"/>
      <w:marBottom w:val="0"/>
      <w:divBdr>
        <w:top w:val="none" w:sz="0" w:space="0" w:color="auto"/>
        <w:left w:val="none" w:sz="0" w:space="0" w:color="auto"/>
        <w:bottom w:val="none" w:sz="0" w:space="0" w:color="auto"/>
        <w:right w:val="none" w:sz="0" w:space="0" w:color="auto"/>
      </w:divBdr>
    </w:div>
    <w:div w:id="1968505803">
      <w:bodyDiv w:val="1"/>
      <w:marLeft w:val="0"/>
      <w:marRight w:val="0"/>
      <w:marTop w:val="0"/>
      <w:marBottom w:val="0"/>
      <w:divBdr>
        <w:top w:val="none" w:sz="0" w:space="0" w:color="auto"/>
        <w:left w:val="none" w:sz="0" w:space="0" w:color="auto"/>
        <w:bottom w:val="none" w:sz="0" w:space="0" w:color="auto"/>
        <w:right w:val="none" w:sz="0" w:space="0" w:color="auto"/>
      </w:divBdr>
    </w:div>
    <w:div w:id="2120641296">
      <w:bodyDiv w:val="1"/>
      <w:marLeft w:val="0"/>
      <w:marRight w:val="0"/>
      <w:marTop w:val="0"/>
      <w:marBottom w:val="0"/>
      <w:divBdr>
        <w:top w:val="none" w:sz="0" w:space="0" w:color="auto"/>
        <w:left w:val="none" w:sz="0" w:space="0" w:color="auto"/>
        <w:bottom w:val="none" w:sz="0" w:space="0" w:color="auto"/>
        <w:right w:val="none" w:sz="0" w:space="0" w:color="auto"/>
      </w:divBdr>
    </w:div>
    <w:div w:id="2135826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18" Type="http://schemas.openxmlformats.org/officeDocument/2006/relationships/image" Target="media/image2.jp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5.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footer" Target="footer5.xml"/><Relationship Id="rId25" Type="http://schemas.openxmlformats.org/officeDocument/2006/relationships/header" Target="header7.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eader" Target="header6.xml"/><Relationship Id="rId5" Type="http://schemas.openxmlformats.org/officeDocument/2006/relationships/settings" Target="settings.xml"/><Relationship Id="rId15" Type="http://schemas.openxmlformats.org/officeDocument/2006/relationships/footer" Target="footer4.xml"/><Relationship Id="rId23" Type="http://schemas.openxmlformats.org/officeDocument/2006/relationships/hyperlink" Target="https://www.ifrs.org/-/media/project/leases/ifrs/published-documents/ifrs16-effects-analysis.pdf" TargetMode="External"/><Relationship Id="rId10" Type="http://schemas.openxmlformats.org/officeDocument/2006/relationships/header" Target="header1.xml"/><Relationship Id="rId19" Type="http://schemas.openxmlformats.org/officeDocument/2006/relationships/image" Target="media/image3.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2.xml"/><Relationship Id="rId22" Type="http://schemas.openxmlformats.org/officeDocument/2006/relationships/hyperlink" Target="https://slideplayer.com/slide/1055569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2</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3</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4</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5</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6</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7</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8</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9</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10</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11</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12</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13</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14</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15</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16</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17</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18</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19</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20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21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22</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23</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24</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25</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26</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27</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28</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29</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30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31</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32</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33</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34</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35</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36</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37</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38</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39</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40</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41</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42</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43</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44</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45</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46</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47</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48</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49</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50</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51</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52</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53</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54</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55</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56</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57</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58</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59</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60</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
    <b:Tag>Del17</b:Tag>
    <b:SourceType>InternetSite</b:SourceType>
    <b:Guid>{FBAA6A38-2190-4121-B275-560A45AF889F}</b:Guid>
    <b:Author>
      <b:Author>
        <b:Corporate>Deloitte</b:Corporate>
      </b:Author>
    </b:Author>
    <b:Title>IFRS 16 - Leases: new financial reporting standard Potential implications for lenders</b:Title>
    <b:Year>2017</b:Year>
    <b:YearAccessed>2018</b:YearAccessed>
    <b:MonthAccessed>November</b:MonthAccessed>
    <b:DayAccessed>28</b:DayAccessed>
    <b:URL>https://www2.deloitte.com/uk/en/pages/audit/articles/ifrs-16-leases.html</b:URL>
    <b:RefOrder>1</b:RefOrder>
  </b:Source>
</b:Sources>
</file>

<file path=customXml/itemProps1.xml><?xml version="1.0" encoding="utf-8"?>
<ds:datastoreItem xmlns:ds="http://schemas.openxmlformats.org/officeDocument/2006/customXml" ds:itemID="{A939A2B1-E3DB-4BEA-B85D-5848817E68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2720</Words>
  <Characters>15507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Shah (1706936)</dc:creator>
  <cp:keywords/>
  <dc:description/>
  <cp:lastModifiedBy>Syed Azan Ali Shah</cp:lastModifiedBy>
  <cp:revision>2</cp:revision>
  <cp:lastPrinted>2018-12-04T13:51:00Z</cp:lastPrinted>
  <dcterms:created xsi:type="dcterms:W3CDTF">2018-12-06T01:12:00Z</dcterms:created>
  <dcterms:modified xsi:type="dcterms:W3CDTF">2018-12-06T01:12:00Z</dcterms:modified>
</cp:coreProperties>
</file>