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7385C" w14:textId="4F9198C0" w:rsidR="00D70C12" w:rsidRDefault="00353F7D" w:rsidP="00113617">
      <w:pPr>
        <w:spacing w:line="480" w:lineRule="auto"/>
        <w:jc w:val="center"/>
        <w:rPr>
          <w:u w:val="single"/>
        </w:rPr>
      </w:pPr>
      <w:r>
        <w:rPr>
          <w:u w:val="single"/>
        </w:rPr>
        <w:t>Chapter 3 Methodology</w:t>
      </w:r>
    </w:p>
    <w:p w14:paraId="1F9DDB30" w14:textId="05EE8753" w:rsidR="00353F7D" w:rsidRDefault="00353F7D" w:rsidP="00113617">
      <w:pPr>
        <w:spacing w:line="480" w:lineRule="auto"/>
        <w:jc w:val="center"/>
        <w:rPr>
          <w:u w:val="single"/>
        </w:rPr>
      </w:pPr>
    </w:p>
    <w:p w14:paraId="2ACA2830" w14:textId="1CE92941" w:rsidR="00353F7D" w:rsidRDefault="00AA43C4" w:rsidP="00113617">
      <w:pPr>
        <w:spacing w:line="480" w:lineRule="auto"/>
      </w:pPr>
      <w:r>
        <w:t xml:space="preserve">3.1 </w:t>
      </w:r>
      <w:r w:rsidR="00353F7D">
        <w:t>Introduction</w:t>
      </w:r>
    </w:p>
    <w:p w14:paraId="274CB3E5" w14:textId="4FDDC044" w:rsidR="00AA43C4" w:rsidRDefault="00DE0E58" w:rsidP="00113617">
      <w:pPr>
        <w:spacing w:line="480" w:lineRule="auto"/>
      </w:pPr>
      <w:r>
        <w:t>This chapter will identify and denote the methods to be used to gather and collect research</w:t>
      </w:r>
      <w:r w:rsidR="001C52DA">
        <w:t xml:space="preserve"> for the purposes of the dissertation</w:t>
      </w:r>
      <w:r>
        <w:t xml:space="preserve">. In ‘Research Methods: The Basics’, </w:t>
      </w:r>
      <w:proofErr w:type="spellStart"/>
      <w:r>
        <w:t>Walliman</w:t>
      </w:r>
      <w:proofErr w:type="spellEnd"/>
      <w:r>
        <w:t xml:space="preserve"> </w:t>
      </w:r>
      <w:r w:rsidR="001C52DA">
        <w:t>classified</w:t>
      </w:r>
      <w:r>
        <w:t xml:space="preserve"> research as “an activity that involves finding out, in a more or less systematic way, things you did not know</w:t>
      </w:r>
      <w:r w:rsidR="00E70F30">
        <w:t xml:space="preserve">” </w:t>
      </w:r>
      <w:r>
        <w:t>(</w:t>
      </w:r>
      <w:proofErr w:type="spellStart"/>
      <w:r w:rsidR="00AA43C4" w:rsidRPr="00AA43C4">
        <w:t>Walliman</w:t>
      </w:r>
      <w:proofErr w:type="spellEnd"/>
      <w:r>
        <w:t xml:space="preserve">, </w:t>
      </w:r>
      <w:r w:rsidR="00AA43C4" w:rsidRPr="00AA43C4">
        <w:t>2011)</w:t>
      </w:r>
      <w:r>
        <w:t>.</w:t>
      </w:r>
      <w:r w:rsidR="001C52DA">
        <w:t xml:space="preserve"> Reva Burman Brown defined methodology to be </w:t>
      </w:r>
      <w:r w:rsidR="001C52DA" w:rsidRPr="001C52DA">
        <w:t xml:space="preserve">the </w:t>
      </w:r>
      <w:r w:rsidR="001C52DA">
        <w:t>“</w:t>
      </w:r>
      <w:r w:rsidR="001C52DA" w:rsidRPr="001C52DA">
        <w:t>philosophical framework within which the research is conducted or the foundation upon which the research is based” (Brown, 2006).</w:t>
      </w:r>
      <w:r w:rsidR="00E70F30">
        <w:t xml:space="preserve"> The research will aim to provide an insight into society’s perception of modern-day policing, and how misconduct within the police as well as media coverage, impacts that perception.</w:t>
      </w:r>
    </w:p>
    <w:p w14:paraId="0925C347" w14:textId="08C134B7" w:rsidR="00E70F30" w:rsidRDefault="00E70F30" w:rsidP="00113617">
      <w:pPr>
        <w:spacing w:line="480" w:lineRule="auto"/>
      </w:pPr>
    </w:p>
    <w:p w14:paraId="7710139D" w14:textId="6D6FC16C" w:rsidR="00E70F30" w:rsidRDefault="00E70F30" w:rsidP="00113617">
      <w:pPr>
        <w:spacing w:line="480" w:lineRule="auto"/>
      </w:pPr>
      <w:r>
        <w:t>3.2 Research Strategy</w:t>
      </w:r>
    </w:p>
    <w:p w14:paraId="1BAFDECD" w14:textId="77777777" w:rsidR="009E4BCD" w:rsidRDefault="00737AD2" w:rsidP="00113617">
      <w:pPr>
        <w:spacing w:line="480" w:lineRule="auto"/>
      </w:pPr>
      <w:r>
        <w:t xml:space="preserve">Primary data can be obtained in an abundance of ways. These techniques appeal differently to the researcher depending on their research paradigms. </w:t>
      </w:r>
      <w:r w:rsidR="005F3A48">
        <w:t xml:space="preserve">Within paradigms </w:t>
      </w:r>
      <w:r w:rsidR="00E53E38">
        <w:t>are</w:t>
      </w:r>
      <w:r w:rsidR="005F3A48">
        <w:t xml:space="preserve"> ontology - your sense of self and yours and the existence of others in the universe, and epistemology – knowledge that can be known and the construction of knowledge. These theories </w:t>
      </w:r>
      <w:proofErr w:type="gramStart"/>
      <w:r w:rsidR="00E53E38">
        <w:t>include:</w:t>
      </w:r>
      <w:proofErr w:type="gramEnd"/>
      <w:r w:rsidR="005F3A48">
        <w:t xml:space="preserve"> positivism, post-positivism, interpretivism, critical theory and pragmatism. Ultimately, the researcher’s individual philosophical beliefs influence the procedure of data </w:t>
      </w:r>
      <w:r w:rsidR="00E53E38">
        <w:t xml:space="preserve">collection </w:t>
      </w:r>
      <w:r w:rsidR="00E53E38" w:rsidRPr="00E53E38">
        <w:t>(</w:t>
      </w:r>
      <w:proofErr w:type="spellStart"/>
      <w:r w:rsidR="00E53E38" w:rsidRPr="00E53E38">
        <w:t>Wisker</w:t>
      </w:r>
      <w:proofErr w:type="spellEnd"/>
      <w:r w:rsidR="00E53E38" w:rsidRPr="00E53E38">
        <w:t>, 2019)</w:t>
      </w:r>
      <w:r w:rsidR="00E53E38">
        <w:t xml:space="preserve">. </w:t>
      </w:r>
    </w:p>
    <w:p w14:paraId="3870DE4E" w14:textId="227CA6AB" w:rsidR="00E53E38" w:rsidRDefault="00E53E38" w:rsidP="00113617">
      <w:pPr>
        <w:spacing w:line="480" w:lineRule="auto"/>
      </w:pPr>
      <w:r>
        <w:t xml:space="preserve">This dissertation will gather primary data </w:t>
      </w:r>
      <w:r w:rsidR="005C1165">
        <w:t xml:space="preserve">using an online survey. Due to constraints imposed by time restrictions and through working alongside completing the project, online surveys provide a more succinct method of questioning. Online surveys tend to be quicker to produce and to distribute. </w:t>
      </w:r>
      <w:r w:rsidR="009E4BCD">
        <w:t>Additionally, t</w:t>
      </w:r>
      <w:r w:rsidR="005C1165">
        <w:t xml:space="preserve">he researcher does not require funding to facilitate sending the questionnaires out in person, nor to collect them back in. Another key benefit is the ability to place a time limit on the questionnaires to allow the analysis of data to be completed in a timely manner. </w:t>
      </w:r>
      <w:r w:rsidR="009E4BCD">
        <w:t xml:space="preserve">Furthermore, the </w:t>
      </w:r>
      <w:r w:rsidR="009E4BCD">
        <w:lastRenderedPageBreak/>
        <w:t xml:space="preserve">online survey grants access to a wider sample, although in turn this means that you cannot monitor the demographics of respondents as easily as in-person questionnaires </w:t>
      </w:r>
      <w:r w:rsidR="009E4BCD" w:rsidRPr="009E4BCD">
        <w:t>(</w:t>
      </w:r>
      <w:proofErr w:type="spellStart"/>
      <w:r w:rsidR="009E4BCD" w:rsidRPr="009E4BCD">
        <w:t>McCombes</w:t>
      </w:r>
      <w:proofErr w:type="spellEnd"/>
      <w:r w:rsidR="009E4BCD" w:rsidRPr="009E4BCD">
        <w:t>, 2022)</w:t>
      </w:r>
      <w:r w:rsidR="009E4BCD">
        <w:t xml:space="preserve">. </w:t>
      </w:r>
      <w:r w:rsidR="005C1165">
        <w:t xml:space="preserve"> </w:t>
      </w:r>
    </w:p>
    <w:p w14:paraId="2312B228" w14:textId="77777777" w:rsidR="009E4BCD" w:rsidRDefault="009E4BCD" w:rsidP="00113617">
      <w:pPr>
        <w:spacing w:line="480" w:lineRule="auto"/>
      </w:pPr>
    </w:p>
    <w:p w14:paraId="24F0A521" w14:textId="29F62E23" w:rsidR="009E4BCD" w:rsidRDefault="009E4BCD" w:rsidP="00113617">
      <w:pPr>
        <w:spacing w:line="480" w:lineRule="auto"/>
      </w:pPr>
      <w:r>
        <w:t>3.3 Data Collection</w:t>
      </w:r>
    </w:p>
    <w:p w14:paraId="4448ADBE" w14:textId="13060AC2" w:rsidR="00E70F30" w:rsidRDefault="009E4BCD" w:rsidP="00113617">
      <w:pPr>
        <w:spacing w:line="480" w:lineRule="auto"/>
      </w:pPr>
      <w:r>
        <w:t xml:space="preserve">The implementation of surveys provides the opportunity to gather </w:t>
      </w:r>
      <w:r w:rsidR="009F1D85">
        <w:t>both qualitative and quantitative</w:t>
      </w:r>
      <w:r>
        <w:t xml:space="preserve"> </w:t>
      </w:r>
      <w:r w:rsidR="009F1D85">
        <w:t xml:space="preserve">data. Qualitative data is non-numerical and is used to understand people’s beliefs, experiences, attitudes, </w:t>
      </w:r>
      <w:proofErr w:type="gramStart"/>
      <w:r w:rsidR="009F1D85">
        <w:t>behaviour</w:t>
      </w:r>
      <w:proofErr w:type="gramEnd"/>
      <w:r w:rsidR="009F1D85">
        <w:t xml:space="preserve"> and interaction </w:t>
      </w:r>
      <w:r w:rsidR="009F1D85" w:rsidRPr="009F1D85">
        <w:t>(Pathak, Kalra and Jena, 2013)</w:t>
      </w:r>
      <w:r w:rsidR="009F1D85">
        <w:t xml:space="preserve">. Quantitative research has long been the dominant of the </w:t>
      </w:r>
      <w:r w:rsidR="00F564DD">
        <w:t>two and</w:t>
      </w:r>
      <w:r w:rsidR="009F1D85">
        <w:t xml:space="preserve"> </w:t>
      </w:r>
      <w:r w:rsidR="00F564DD">
        <w:t xml:space="preserve">explores numerical patterns within a range of data </w:t>
      </w:r>
      <w:r w:rsidR="00F564DD" w:rsidRPr="00F564DD">
        <w:t>(Coghlan and Brydon-Miller, 2014)</w:t>
      </w:r>
      <w:r w:rsidR="00F564DD">
        <w:t xml:space="preserve">. To gather a primary understanding of the public perception of modern-day policing in the UK, the data mainly sought after will be quantitative. </w:t>
      </w:r>
      <w:r w:rsidR="00A308A0">
        <w:t xml:space="preserve">Deductive research will be achieved by using a top-down approach. The method starts with a theory, and then collects data to prove or disprove the objectives. Additionally, it is useful when accessing a larger sample, than for example conducting interviews </w:t>
      </w:r>
      <w:r w:rsidR="00A308A0" w:rsidRPr="00A308A0">
        <w:t>(</w:t>
      </w:r>
      <w:proofErr w:type="spellStart"/>
      <w:r w:rsidR="00A308A0" w:rsidRPr="00A308A0">
        <w:t>Soiferman</w:t>
      </w:r>
      <w:proofErr w:type="spellEnd"/>
      <w:r w:rsidR="00A308A0" w:rsidRPr="00A308A0">
        <w:t>, 2010)</w:t>
      </w:r>
      <w:r w:rsidR="00A308A0">
        <w:t xml:space="preserve">. </w:t>
      </w:r>
    </w:p>
    <w:p w14:paraId="69D765C7" w14:textId="77777777" w:rsidR="00662C28" w:rsidRDefault="00662C28" w:rsidP="00113617">
      <w:pPr>
        <w:spacing w:line="480" w:lineRule="auto"/>
      </w:pPr>
    </w:p>
    <w:p w14:paraId="571F7B92" w14:textId="40C0A9C1" w:rsidR="00662C28" w:rsidRDefault="00662C28" w:rsidP="00113617">
      <w:pPr>
        <w:spacing w:line="480" w:lineRule="auto"/>
      </w:pPr>
      <w:r>
        <w:t>3.4 Ethical practice and informed consent</w:t>
      </w:r>
    </w:p>
    <w:p w14:paraId="4D72077E" w14:textId="12350495" w:rsidR="00597DF0" w:rsidRDefault="00597DF0" w:rsidP="00113617">
      <w:pPr>
        <w:spacing w:line="480" w:lineRule="auto"/>
      </w:pPr>
      <w:r>
        <w:t>Informed consent is essential when completing primary research. Informed consent is achieved through transparency with the subjects of the research, and for the purposes of this dissertation, the subjects answering the survey. The disclaimer should be clear and precise so the subjects can easily understand it, although it should not coerce them into participating. Subjects must be allowed adequate time to consider if they wish to proceed.</w:t>
      </w:r>
      <w:r w:rsidR="003A5C26">
        <w:t xml:space="preserve"> It is crucial to recognise that informed consent is “</w:t>
      </w:r>
      <w:r w:rsidR="003A5C26" w:rsidRPr="003A5C26">
        <w:t xml:space="preserve">not merely a form that is </w:t>
      </w:r>
      <w:r w:rsidR="003A5C26" w:rsidRPr="003A5C26">
        <w:t>signed but</w:t>
      </w:r>
      <w:r w:rsidR="003A5C26" w:rsidRPr="003A5C26">
        <w:t xml:space="preserve"> is a process in which the subject has an understanding of the research and its risks, and it is tightly described in ethical codes and regulations for human subject research</w:t>
      </w:r>
      <w:r w:rsidR="003A5C26">
        <w:t xml:space="preserve">” </w:t>
      </w:r>
      <w:r w:rsidR="003A5C26" w:rsidRPr="003A5C26">
        <w:t>(Manti and Licari, 2018)</w:t>
      </w:r>
      <w:r w:rsidR="003A5C26">
        <w:t>.</w:t>
      </w:r>
    </w:p>
    <w:p w14:paraId="3A3D21D0" w14:textId="72FBDD8B" w:rsidR="00597DF0" w:rsidRDefault="00597DF0" w:rsidP="00113617">
      <w:pPr>
        <w:spacing w:line="480" w:lineRule="auto"/>
      </w:pPr>
      <w:r>
        <w:lastRenderedPageBreak/>
        <w:t>The questionnaire</w:t>
      </w:r>
      <w:r w:rsidR="003A5C26">
        <w:t xml:space="preserve"> for this dissertation</w:t>
      </w:r>
      <w:r>
        <w:t xml:space="preserve"> will feature a disclaimer confirming that no persons will be paid in relation to the research, nor will any profits be made.</w:t>
      </w:r>
      <w:r w:rsidR="003A5C26">
        <w:t xml:space="preserve"> Another key aspect is that participants </w:t>
      </w:r>
      <w:r w:rsidR="008F3A45">
        <w:t>should be aware of their</w:t>
      </w:r>
      <w:r w:rsidR="003A5C26">
        <w:t xml:space="preserve"> right to exit the research at any time, no longer being a part of the data collection. There should also be instructions on how to do this, for example clicking the exit button on an online survey. </w:t>
      </w:r>
      <w:proofErr w:type="gramStart"/>
      <w:r w:rsidR="007F3D66">
        <w:t>However</w:t>
      </w:r>
      <w:proofErr w:type="gramEnd"/>
      <w:r w:rsidR="007F3D66">
        <w:t xml:space="preserve"> the continuation of participants answering the questions and submitting the survey is proof of informed consent.</w:t>
      </w:r>
    </w:p>
    <w:p w14:paraId="6F33B7AA" w14:textId="2FBE499D" w:rsidR="008F3A45" w:rsidRDefault="008F3A45" w:rsidP="00113617">
      <w:pPr>
        <w:spacing w:line="480" w:lineRule="auto"/>
      </w:pPr>
      <w:r>
        <w:t>There are several other criteria that need to be considered to ensure ethical practice is followed throughout a research project such as this dissertation. The confidentiality and anonymity of participants needs to be protected. An anonymous online survey will enable this as it will not collect personal or identifiable data, and a large online sample will prevent the answers from being traced back to individuals.</w:t>
      </w:r>
    </w:p>
    <w:p w14:paraId="7F988CB7" w14:textId="77777777" w:rsidR="007F3D66" w:rsidRDefault="007F3D66" w:rsidP="00113617">
      <w:pPr>
        <w:spacing w:line="480" w:lineRule="auto"/>
      </w:pPr>
    </w:p>
    <w:p w14:paraId="596D2AF5" w14:textId="29314DD5" w:rsidR="007F3D66" w:rsidRDefault="007F3D66" w:rsidP="00113617">
      <w:pPr>
        <w:spacing w:line="480" w:lineRule="auto"/>
      </w:pPr>
      <w:r>
        <w:t>3.5 Pilot Study</w:t>
      </w:r>
    </w:p>
    <w:p w14:paraId="31E58C33" w14:textId="77777777" w:rsidR="00CF4117" w:rsidRDefault="007F3D66" w:rsidP="00113617">
      <w:pPr>
        <w:spacing w:line="480" w:lineRule="auto"/>
      </w:pPr>
      <w:r>
        <w:t xml:space="preserve">When creating an online survey, there are a series of unwritten principles. </w:t>
      </w:r>
      <w:proofErr w:type="gramStart"/>
      <w:r>
        <w:t>Firstly</w:t>
      </w:r>
      <w:proofErr w:type="gramEnd"/>
      <w:r>
        <w:t xml:space="preserve"> online surveys should take between 5-10 minutes to complete, as the remote setting often means people are less willing to give up more of their time. Furthermore, questions should be written in a concise manner for easy reading, with simpler questions at the start of the survey leading into more in-depth towards the </w:t>
      </w:r>
      <w:r w:rsidR="00CF4117">
        <w:t xml:space="preserve">end. </w:t>
      </w:r>
    </w:p>
    <w:p w14:paraId="63839ADA" w14:textId="23693AE9" w:rsidR="007F3D66" w:rsidRDefault="00CF4117" w:rsidP="00113617">
      <w:pPr>
        <w:spacing w:line="480" w:lineRule="auto"/>
      </w:pPr>
      <w:r>
        <w:t xml:space="preserve">Pilot studies allow researchers to pre-test a particular research instrument such as an online survey </w:t>
      </w:r>
      <w:r w:rsidRPr="00CF4117">
        <w:t>(Baker, 1994)</w:t>
      </w:r>
      <w:r>
        <w:t>. Although pilot studies cannot guarantee success in the main study, they often increase the likelihood. Pilot studies</w:t>
      </w:r>
      <w:r w:rsidR="005A2FF8">
        <w:t xml:space="preserve"> cannot highlight whether changes need to be made prior to the main study such as re-wording questions, sample size, demographic etc </w:t>
      </w:r>
      <w:r w:rsidR="005A2FF8" w:rsidRPr="005A2FF8">
        <w:t>(</w:t>
      </w:r>
      <w:proofErr w:type="spellStart"/>
      <w:r w:rsidR="005A2FF8" w:rsidRPr="005A2FF8">
        <w:t>Teijlingen</w:t>
      </w:r>
      <w:proofErr w:type="spellEnd"/>
      <w:r w:rsidR="005A2FF8" w:rsidRPr="005A2FF8">
        <w:t xml:space="preserve"> and Hundley, 2001)</w:t>
      </w:r>
      <w:r w:rsidR="005A2FF8">
        <w:t xml:space="preserve">. </w:t>
      </w:r>
    </w:p>
    <w:p w14:paraId="1705B512" w14:textId="51001E66" w:rsidR="005A2FF8" w:rsidRDefault="005A2FF8" w:rsidP="00113617">
      <w:pPr>
        <w:spacing w:line="480" w:lineRule="auto"/>
      </w:pPr>
    </w:p>
    <w:p w14:paraId="0C9B0500" w14:textId="3E28FC8D" w:rsidR="005A2FF8" w:rsidRDefault="005A2FF8" w:rsidP="00113617">
      <w:pPr>
        <w:spacing w:line="480" w:lineRule="auto"/>
      </w:pPr>
      <w:r>
        <w:lastRenderedPageBreak/>
        <w:t>3.6 Limitations and Potential Problems</w:t>
      </w:r>
    </w:p>
    <w:p w14:paraId="62BB5273" w14:textId="7B47A109" w:rsidR="005A2FF8" w:rsidRDefault="005A2FF8" w:rsidP="00113617">
      <w:pPr>
        <w:spacing w:line="480" w:lineRule="auto"/>
      </w:pPr>
      <w:r>
        <w:t xml:space="preserve">One of the most recognisable limitations with quantitative data obtained from questionnaires is that responses are largely pre-determined. To counter-act this, spaces can be included toward the end of the questionnaire for participants to provide a more in-depth opinion on certain topics. </w:t>
      </w:r>
    </w:p>
    <w:p w14:paraId="05F9DF9E" w14:textId="04E42081" w:rsidR="005A2FF8" w:rsidRDefault="005A2FF8" w:rsidP="00113617">
      <w:pPr>
        <w:spacing w:line="480" w:lineRule="auto"/>
      </w:pPr>
      <w:r>
        <w:t xml:space="preserve">Another potential problem that surfaces through the sole use of online questionnaires, is that there is far less control over the demographic of those </w:t>
      </w:r>
      <w:r w:rsidR="00113617">
        <w:t xml:space="preserve">responding and therefore whether the results will offer a representative response. </w:t>
      </w:r>
    </w:p>
    <w:p w14:paraId="3EBFB108" w14:textId="7265BF16" w:rsidR="00113617" w:rsidRDefault="00113617" w:rsidP="00113617">
      <w:pPr>
        <w:spacing w:line="480" w:lineRule="auto"/>
      </w:pPr>
      <w:r>
        <w:t xml:space="preserve">A further limitation could be access to sample size. Although social media is accessible to a massive pool of people, the survey may not be able to reach may users, especially if there is no incentive for members of the public to reply. </w:t>
      </w:r>
    </w:p>
    <w:p w14:paraId="44609D36" w14:textId="77777777" w:rsidR="00113617" w:rsidRDefault="00113617" w:rsidP="00113617">
      <w:pPr>
        <w:spacing w:line="480" w:lineRule="auto"/>
      </w:pPr>
    </w:p>
    <w:p w14:paraId="40C2DE92" w14:textId="14C55BF7" w:rsidR="00113617" w:rsidRDefault="00113617" w:rsidP="00113617">
      <w:pPr>
        <w:spacing w:line="480" w:lineRule="auto"/>
      </w:pPr>
      <w:r>
        <w:t>Word Count: 974</w:t>
      </w:r>
    </w:p>
    <w:p w14:paraId="3AF88951" w14:textId="497C01F3" w:rsidR="00662C28" w:rsidRDefault="00662C28" w:rsidP="00353F7D"/>
    <w:p w14:paraId="3320FCCF"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7D49EFFC"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4CCF611E"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4CAB5D2F"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7FBB8D10"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2C46D83C"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66EB2AD8"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77A0AAA6"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740CF21C"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394F788D" w14:textId="77777777" w:rsidR="00113617" w:rsidRDefault="00113617" w:rsidP="00113617">
      <w:pPr>
        <w:pStyle w:val="NormalWeb"/>
        <w:spacing w:before="0" w:beforeAutospacing="0" w:after="240" w:afterAutospacing="0" w:line="360" w:lineRule="auto"/>
        <w:rPr>
          <w:rFonts w:asciiTheme="minorHAnsi" w:hAnsiTheme="minorHAnsi" w:cstheme="minorHAnsi"/>
          <w:sz w:val="22"/>
          <w:szCs w:val="22"/>
        </w:rPr>
      </w:pPr>
    </w:p>
    <w:p w14:paraId="6B2CD7D9" w14:textId="2FB12119"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lastRenderedPageBreak/>
        <w:t>Reference list</w:t>
      </w:r>
    </w:p>
    <w:p w14:paraId="32617EEB"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Baker, T.L. (1994). </w:t>
      </w:r>
      <w:r w:rsidRPr="00113617">
        <w:rPr>
          <w:rFonts w:asciiTheme="minorHAnsi" w:hAnsiTheme="minorHAnsi" w:cstheme="minorHAnsi"/>
          <w:i/>
          <w:iCs/>
          <w:sz w:val="22"/>
          <w:szCs w:val="22"/>
        </w:rPr>
        <w:t>Doing Social Research.</w:t>
      </w:r>
      <w:r w:rsidRPr="00113617">
        <w:rPr>
          <w:rFonts w:asciiTheme="minorHAnsi" w:hAnsiTheme="minorHAnsi" w:cstheme="minorHAnsi"/>
          <w:sz w:val="22"/>
          <w:szCs w:val="22"/>
        </w:rPr>
        <w:t xml:space="preserve"> New </w:t>
      </w:r>
      <w:proofErr w:type="gramStart"/>
      <w:r w:rsidRPr="00113617">
        <w:rPr>
          <w:rFonts w:asciiTheme="minorHAnsi" w:hAnsiTheme="minorHAnsi" w:cstheme="minorHAnsi"/>
          <w:sz w:val="22"/>
          <w:szCs w:val="22"/>
        </w:rPr>
        <w:t>York ;</w:t>
      </w:r>
      <w:proofErr w:type="gramEnd"/>
      <w:r w:rsidRPr="00113617">
        <w:rPr>
          <w:rFonts w:asciiTheme="minorHAnsi" w:hAnsiTheme="minorHAnsi" w:cstheme="minorHAnsi"/>
          <w:sz w:val="22"/>
          <w:szCs w:val="22"/>
        </w:rPr>
        <w:t xml:space="preserve"> London: </w:t>
      </w:r>
      <w:proofErr w:type="spellStart"/>
      <w:r w:rsidRPr="00113617">
        <w:rPr>
          <w:rFonts w:asciiTheme="minorHAnsi" w:hAnsiTheme="minorHAnsi" w:cstheme="minorHAnsi"/>
          <w:sz w:val="22"/>
          <w:szCs w:val="22"/>
        </w:rPr>
        <w:t>Mcgraw-Hill</w:t>
      </w:r>
      <w:proofErr w:type="spellEnd"/>
      <w:r w:rsidRPr="00113617">
        <w:rPr>
          <w:rFonts w:asciiTheme="minorHAnsi" w:hAnsiTheme="minorHAnsi" w:cstheme="minorHAnsi"/>
          <w:sz w:val="22"/>
          <w:szCs w:val="22"/>
        </w:rPr>
        <w:t>.</w:t>
      </w:r>
    </w:p>
    <w:p w14:paraId="614EC42D"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Brown, R.B. (2006). </w:t>
      </w:r>
      <w:r w:rsidRPr="00113617">
        <w:rPr>
          <w:rFonts w:asciiTheme="minorHAnsi" w:hAnsiTheme="minorHAnsi" w:cstheme="minorHAnsi"/>
          <w:i/>
          <w:iCs/>
          <w:sz w:val="22"/>
          <w:szCs w:val="22"/>
        </w:rPr>
        <w:t xml:space="preserve">Doing Your Dissertation in Business and </w:t>
      </w:r>
      <w:proofErr w:type="gramStart"/>
      <w:r w:rsidRPr="00113617">
        <w:rPr>
          <w:rFonts w:asciiTheme="minorHAnsi" w:hAnsiTheme="minorHAnsi" w:cstheme="minorHAnsi"/>
          <w:i/>
          <w:iCs/>
          <w:sz w:val="22"/>
          <w:szCs w:val="22"/>
        </w:rPr>
        <w:t>Management :</w:t>
      </w:r>
      <w:proofErr w:type="gramEnd"/>
      <w:r w:rsidRPr="00113617">
        <w:rPr>
          <w:rFonts w:asciiTheme="minorHAnsi" w:hAnsiTheme="minorHAnsi" w:cstheme="minorHAnsi"/>
          <w:i/>
          <w:iCs/>
          <w:sz w:val="22"/>
          <w:szCs w:val="22"/>
        </w:rPr>
        <w:t xml:space="preserve"> the Reality of Researching and Writing</w:t>
      </w:r>
      <w:r w:rsidRPr="00113617">
        <w:rPr>
          <w:rFonts w:asciiTheme="minorHAnsi" w:hAnsiTheme="minorHAnsi" w:cstheme="minorHAnsi"/>
          <w:sz w:val="22"/>
          <w:szCs w:val="22"/>
        </w:rPr>
        <w:t>. London: Sage.</w:t>
      </w:r>
    </w:p>
    <w:p w14:paraId="25C8E524"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Coghlan, D. and Brydon-Miller, M. (2014). The SAGE </w:t>
      </w:r>
      <w:proofErr w:type="spellStart"/>
      <w:r w:rsidRPr="00113617">
        <w:rPr>
          <w:rFonts w:asciiTheme="minorHAnsi" w:hAnsiTheme="minorHAnsi" w:cstheme="minorHAnsi"/>
          <w:sz w:val="22"/>
          <w:szCs w:val="22"/>
        </w:rPr>
        <w:t>Encyclopedia</w:t>
      </w:r>
      <w:proofErr w:type="spellEnd"/>
      <w:r w:rsidRPr="00113617">
        <w:rPr>
          <w:rFonts w:asciiTheme="minorHAnsi" w:hAnsiTheme="minorHAnsi" w:cstheme="minorHAnsi"/>
          <w:sz w:val="22"/>
          <w:szCs w:val="22"/>
        </w:rPr>
        <w:t xml:space="preserve"> of Action Research. </w:t>
      </w:r>
      <w:r w:rsidRPr="00113617">
        <w:rPr>
          <w:rFonts w:asciiTheme="minorHAnsi" w:hAnsiTheme="minorHAnsi" w:cstheme="minorHAnsi"/>
          <w:i/>
          <w:iCs/>
          <w:sz w:val="22"/>
          <w:szCs w:val="22"/>
        </w:rPr>
        <w:t xml:space="preserve">The SAGE </w:t>
      </w:r>
      <w:proofErr w:type="spellStart"/>
      <w:r w:rsidRPr="00113617">
        <w:rPr>
          <w:rFonts w:asciiTheme="minorHAnsi" w:hAnsiTheme="minorHAnsi" w:cstheme="minorHAnsi"/>
          <w:i/>
          <w:iCs/>
          <w:sz w:val="22"/>
          <w:szCs w:val="22"/>
        </w:rPr>
        <w:t>Encyclopedia</w:t>
      </w:r>
      <w:proofErr w:type="spellEnd"/>
      <w:r w:rsidRPr="00113617">
        <w:rPr>
          <w:rFonts w:asciiTheme="minorHAnsi" w:hAnsiTheme="minorHAnsi" w:cstheme="minorHAnsi"/>
          <w:i/>
          <w:iCs/>
          <w:sz w:val="22"/>
          <w:szCs w:val="22"/>
        </w:rPr>
        <w:t xml:space="preserve"> of Action Research</w:t>
      </w:r>
      <w:r w:rsidRPr="00113617">
        <w:rPr>
          <w:rFonts w:asciiTheme="minorHAnsi" w:hAnsiTheme="minorHAnsi" w:cstheme="minorHAnsi"/>
          <w:sz w:val="22"/>
          <w:szCs w:val="22"/>
        </w:rPr>
        <w:t xml:space="preserve">, 1-2(1). </w:t>
      </w:r>
      <w:proofErr w:type="spellStart"/>
      <w:proofErr w:type="gramStart"/>
      <w:r w:rsidRPr="00113617">
        <w:rPr>
          <w:rFonts w:asciiTheme="minorHAnsi" w:hAnsiTheme="minorHAnsi" w:cstheme="minorHAnsi"/>
          <w:sz w:val="22"/>
          <w:szCs w:val="22"/>
        </w:rPr>
        <w:t>doi:https</w:t>
      </w:r>
      <w:proofErr w:type="spellEnd"/>
      <w:r w:rsidRPr="00113617">
        <w:rPr>
          <w:rFonts w:asciiTheme="minorHAnsi" w:hAnsiTheme="minorHAnsi" w:cstheme="minorHAnsi"/>
          <w:sz w:val="22"/>
          <w:szCs w:val="22"/>
        </w:rPr>
        <w:t>://doi.org/10.4135/9781446294406</w:t>
      </w:r>
      <w:proofErr w:type="gramEnd"/>
      <w:r w:rsidRPr="00113617">
        <w:rPr>
          <w:rFonts w:asciiTheme="minorHAnsi" w:hAnsiTheme="minorHAnsi" w:cstheme="minorHAnsi"/>
          <w:sz w:val="22"/>
          <w:szCs w:val="22"/>
        </w:rPr>
        <w:t>.</w:t>
      </w:r>
    </w:p>
    <w:p w14:paraId="270B540C"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Lund Research Ltd (2012). </w:t>
      </w:r>
      <w:r w:rsidRPr="00113617">
        <w:rPr>
          <w:rFonts w:asciiTheme="minorHAnsi" w:hAnsiTheme="minorHAnsi" w:cstheme="minorHAnsi"/>
          <w:i/>
          <w:iCs/>
          <w:sz w:val="22"/>
          <w:szCs w:val="22"/>
        </w:rPr>
        <w:t>Principles of Research Ethics</w:t>
      </w:r>
      <w:r w:rsidRPr="00113617">
        <w:rPr>
          <w:rFonts w:asciiTheme="minorHAnsi" w:hAnsiTheme="minorHAnsi" w:cstheme="minorHAnsi"/>
          <w:sz w:val="22"/>
          <w:szCs w:val="22"/>
        </w:rPr>
        <w:t>. [online] dissertation.laerd.com. Available at: https://dissertation.laerd.com/principles-of-research-ethics.php.</w:t>
      </w:r>
    </w:p>
    <w:p w14:paraId="78A40C26"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Manti, S. and Licari, A. (2018). How to Obtain Informed Consent for Research. </w:t>
      </w:r>
      <w:r w:rsidRPr="00113617">
        <w:rPr>
          <w:rFonts w:asciiTheme="minorHAnsi" w:hAnsiTheme="minorHAnsi" w:cstheme="minorHAnsi"/>
          <w:i/>
          <w:iCs/>
          <w:sz w:val="22"/>
          <w:szCs w:val="22"/>
        </w:rPr>
        <w:t>Breathe</w:t>
      </w:r>
      <w:r w:rsidRPr="00113617">
        <w:rPr>
          <w:rFonts w:asciiTheme="minorHAnsi" w:hAnsiTheme="minorHAnsi" w:cstheme="minorHAnsi"/>
          <w:sz w:val="22"/>
          <w:szCs w:val="22"/>
        </w:rPr>
        <w:t xml:space="preserve">, [online] 14(2), pp.145–152. </w:t>
      </w:r>
      <w:proofErr w:type="spellStart"/>
      <w:proofErr w:type="gramStart"/>
      <w:r w:rsidRPr="00113617">
        <w:rPr>
          <w:rFonts w:asciiTheme="minorHAnsi" w:hAnsiTheme="minorHAnsi" w:cstheme="minorHAnsi"/>
          <w:sz w:val="22"/>
          <w:szCs w:val="22"/>
        </w:rPr>
        <w:t>doi:https</w:t>
      </w:r>
      <w:proofErr w:type="spellEnd"/>
      <w:r w:rsidRPr="00113617">
        <w:rPr>
          <w:rFonts w:asciiTheme="minorHAnsi" w:hAnsiTheme="minorHAnsi" w:cstheme="minorHAnsi"/>
          <w:sz w:val="22"/>
          <w:szCs w:val="22"/>
        </w:rPr>
        <w:t>://doi.org/10.1183/20734735.001918</w:t>
      </w:r>
      <w:proofErr w:type="gramEnd"/>
      <w:r w:rsidRPr="00113617">
        <w:rPr>
          <w:rFonts w:asciiTheme="minorHAnsi" w:hAnsiTheme="minorHAnsi" w:cstheme="minorHAnsi"/>
          <w:sz w:val="22"/>
          <w:szCs w:val="22"/>
        </w:rPr>
        <w:t>.</w:t>
      </w:r>
    </w:p>
    <w:p w14:paraId="48730C0F"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proofErr w:type="spellStart"/>
      <w:r w:rsidRPr="00113617">
        <w:rPr>
          <w:rFonts w:asciiTheme="minorHAnsi" w:hAnsiTheme="minorHAnsi" w:cstheme="minorHAnsi"/>
          <w:sz w:val="22"/>
          <w:szCs w:val="22"/>
        </w:rPr>
        <w:t>McCombes</w:t>
      </w:r>
      <w:proofErr w:type="spellEnd"/>
      <w:r w:rsidRPr="00113617">
        <w:rPr>
          <w:rFonts w:asciiTheme="minorHAnsi" w:hAnsiTheme="minorHAnsi" w:cstheme="minorHAnsi"/>
          <w:sz w:val="22"/>
          <w:szCs w:val="22"/>
        </w:rPr>
        <w:t xml:space="preserve">, S. (2022). </w:t>
      </w:r>
      <w:r w:rsidRPr="00113617">
        <w:rPr>
          <w:rFonts w:asciiTheme="minorHAnsi" w:hAnsiTheme="minorHAnsi" w:cstheme="minorHAnsi"/>
          <w:i/>
          <w:iCs/>
          <w:sz w:val="22"/>
          <w:szCs w:val="22"/>
        </w:rPr>
        <w:t>Doing Survey Research | a Step-by-Step Guide &amp; Examples</w:t>
      </w:r>
      <w:r w:rsidRPr="00113617">
        <w:rPr>
          <w:rFonts w:asciiTheme="minorHAnsi" w:hAnsiTheme="minorHAnsi" w:cstheme="minorHAnsi"/>
          <w:sz w:val="22"/>
          <w:szCs w:val="22"/>
        </w:rPr>
        <w:t xml:space="preserve">. [online] </w:t>
      </w:r>
      <w:proofErr w:type="spellStart"/>
      <w:r w:rsidRPr="00113617">
        <w:rPr>
          <w:rFonts w:asciiTheme="minorHAnsi" w:hAnsiTheme="minorHAnsi" w:cstheme="minorHAnsi"/>
          <w:sz w:val="22"/>
          <w:szCs w:val="22"/>
        </w:rPr>
        <w:t>Scribbr</w:t>
      </w:r>
      <w:proofErr w:type="spellEnd"/>
      <w:r w:rsidRPr="00113617">
        <w:rPr>
          <w:rFonts w:asciiTheme="minorHAnsi" w:hAnsiTheme="minorHAnsi" w:cstheme="minorHAnsi"/>
          <w:sz w:val="22"/>
          <w:szCs w:val="22"/>
        </w:rPr>
        <w:t>. Available at: https://www.scribbr.co.uk/research-methods/surveys/.</w:t>
      </w:r>
    </w:p>
    <w:p w14:paraId="00A277D7"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r w:rsidRPr="00113617">
        <w:rPr>
          <w:rFonts w:asciiTheme="minorHAnsi" w:hAnsiTheme="minorHAnsi" w:cstheme="minorHAnsi"/>
          <w:sz w:val="22"/>
          <w:szCs w:val="22"/>
        </w:rPr>
        <w:t xml:space="preserve">Pathak, V., Kalra, S. and Jena, B. (2013). Qualitative Research. </w:t>
      </w:r>
      <w:r w:rsidRPr="00113617">
        <w:rPr>
          <w:rFonts w:asciiTheme="minorHAnsi" w:hAnsiTheme="minorHAnsi" w:cstheme="minorHAnsi"/>
          <w:i/>
          <w:iCs/>
          <w:sz w:val="22"/>
          <w:szCs w:val="22"/>
        </w:rPr>
        <w:t>Perspectives in Clinical Research</w:t>
      </w:r>
      <w:r w:rsidRPr="00113617">
        <w:rPr>
          <w:rFonts w:asciiTheme="minorHAnsi" w:hAnsiTheme="minorHAnsi" w:cstheme="minorHAnsi"/>
          <w:sz w:val="22"/>
          <w:szCs w:val="22"/>
        </w:rPr>
        <w:t xml:space="preserve">, [online] 4(3), p.192. </w:t>
      </w:r>
      <w:proofErr w:type="spellStart"/>
      <w:proofErr w:type="gramStart"/>
      <w:r w:rsidRPr="00113617">
        <w:rPr>
          <w:rFonts w:asciiTheme="minorHAnsi" w:hAnsiTheme="minorHAnsi" w:cstheme="minorHAnsi"/>
          <w:sz w:val="22"/>
          <w:szCs w:val="22"/>
        </w:rPr>
        <w:t>doi:https</w:t>
      </w:r>
      <w:proofErr w:type="spellEnd"/>
      <w:r w:rsidRPr="00113617">
        <w:rPr>
          <w:rFonts w:asciiTheme="minorHAnsi" w:hAnsiTheme="minorHAnsi" w:cstheme="minorHAnsi"/>
          <w:sz w:val="22"/>
          <w:szCs w:val="22"/>
        </w:rPr>
        <w:t>://doi.org/10.4103/2229-3485.115389</w:t>
      </w:r>
      <w:proofErr w:type="gramEnd"/>
      <w:r w:rsidRPr="00113617">
        <w:rPr>
          <w:rFonts w:asciiTheme="minorHAnsi" w:hAnsiTheme="minorHAnsi" w:cstheme="minorHAnsi"/>
          <w:sz w:val="22"/>
          <w:szCs w:val="22"/>
        </w:rPr>
        <w:t>.</w:t>
      </w:r>
    </w:p>
    <w:p w14:paraId="73DC2528"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proofErr w:type="spellStart"/>
      <w:r w:rsidRPr="00113617">
        <w:rPr>
          <w:rFonts w:asciiTheme="minorHAnsi" w:hAnsiTheme="minorHAnsi" w:cstheme="minorHAnsi"/>
          <w:sz w:val="22"/>
          <w:szCs w:val="22"/>
        </w:rPr>
        <w:t>Soiferman</w:t>
      </w:r>
      <w:proofErr w:type="spellEnd"/>
      <w:r w:rsidRPr="00113617">
        <w:rPr>
          <w:rFonts w:asciiTheme="minorHAnsi" w:hAnsiTheme="minorHAnsi" w:cstheme="minorHAnsi"/>
          <w:sz w:val="22"/>
          <w:szCs w:val="22"/>
        </w:rPr>
        <w:t xml:space="preserve">, K. (2010). </w:t>
      </w:r>
      <w:r w:rsidRPr="00113617">
        <w:rPr>
          <w:rFonts w:asciiTheme="minorHAnsi" w:hAnsiTheme="minorHAnsi" w:cstheme="minorHAnsi"/>
          <w:i/>
          <w:iCs/>
          <w:sz w:val="22"/>
          <w:szCs w:val="22"/>
        </w:rPr>
        <w:t>Compare and Contrast Inductive and Deductive Research Approaches</w:t>
      </w:r>
      <w:r w:rsidRPr="00113617">
        <w:rPr>
          <w:rFonts w:asciiTheme="minorHAnsi" w:hAnsiTheme="minorHAnsi" w:cstheme="minorHAnsi"/>
          <w:sz w:val="22"/>
          <w:szCs w:val="22"/>
        </w:rPr>
        <w:t>. [online] Available at: https://files.eric.ed.gov/fulltext/ED542066.pdf.</w:t>
      </w:r>
    </w:p>
    <w:p w14:paraId="5F8A5642"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proofErr w:type="spellStart"/>
      <w:r w:rsidRPr="00113617">
        <w:rPr>
          <w:rFonts w:asciiTheme="minorHAnsi" w:hAnsiTheme="minorHAnsi" w:cstheme="minorHAnsi"/>
          <w:sz w:val="22"/>
          <w:szCs w:val="22"/>
        </w:rPr>
        <w:t>Teijlingen</w:t>
      </w:r>
      <w:proofErr w:type="spellEnd"/>
      <w:r w:rsidRPr="00113617">
        <w:rPr>
          <w:rFonts w:asciiTheme="minorHAnsi" w:hAnsiTheme="minorHAnsi" w:cstheme="minorHAnsi"/>
          <w:sz w:val="22"/>
          <w:szCs w:val="22"/>
        </w:rPr>
        <w:t xml:space="preserve">, E. van and Hundley, V. (2001). </w:t>
      </w:r>
      <w:r w:rsidRPr="00113617">
        <w:rPr>
          <w:rFonts w:asciiTheme="minorHAnsi" w:hAnsiTheme="minorHAnsi" w:cstheme="minorHAnsi"/>
          <w:i/>
          <w:iCs/>
          <w:sz w:val="22"/>
          <w:szCs w:val="22"/>
        </w:rPr>
        <w:t>Social Research Update 35: the Importance of Pilot Studies</w:t>
      </w:r>
      <w:r w:rsidRPr="00113617">
        <w:rPr>
          <w:rFonts w:asciiTheme="minorHAnsi" w:hAnsiTheme="minorHAnsi" w:cstheme="minorHAnsi"/>
          <w:sz w:val="22"/>
          <w:szCs w:val="22"/>
        </w:rPr>
        <w:t>. [online] sru.soc.surrey.ac.uk. Available at: https://sru.soc.surrey.ac.uk/SRU35.html.</w:t>
      </w:r>
    </w:p>
    <w:p w14:paraId="591C088D"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proofErr w:type="spellStart"/>
      <w:r w:rsidRPr="00113617">
        <w:rPr>
          <w:rFonts w:asciiTheme="minorHAnsi" w:hAnsiTheme="minorHAnsi" w:cstheme="minorHAnsi"/>
          <w:sz w:val="22"/>
          <w:szCs w:val="22"/>
        </w:rPr>
        <w:t>Walliman</w:t>
      </w:r>
      <w:proofErr w:type="spellEnd"/>
      <w:r w:rsidRPr="00113617">
        <w:rPr>
          <w:rFonts w:asciiTheme="minorHAnsi" w:hAnsiTheme="minorHAnsi" w:cstheme="minorHAnsi"/>
          <w:sz w:val="22"/>
          <w:szCs w:val="22"/>
        </w:rPr>
        <w:t xml:space="preserve">, N. (2011). </w:t>
      </w:r>
      <w:r w:rsidRPr="00113617">
        <w:rPr>
          <w:rFonts w:asciiTheme="minorHAnsi" w:hAnsiTheme="minorHAnsi" w:cstheme="minorHAnsi"/>
          <w:i/>
          <w:iCs/>
          <w:sz w:val="22"/>
          <w:szCs w:val="22"/>
        </w:rPr>
        <w:t xml:space="preserve">Research Methods: </w:t>
      </w:r>
      <w:proofErr w:type="gramStart"/>
      <w:r w:rsidRPr="00113617">
        <w:rPr>
          <w:rFonts w:asciiTheme="minorHAnsi" w:hAnsiTheme="minorHAnsi" w:cstheme="minorHAnsi"/>
          <w:i/>
          <w:iCs/>
          <w:sz w:val="22"/>
          <w:szCs w:val="22"/>
        </w:rPr>
        <w:t>the</w:t>
      </w:r>
      <w:proofErr w:type="gramEnd"/>
      <w:r w:rsidRPr="00113617">
        <w:rPr>
          <w:rFonts w:asciiTheme="minorHAnsi" w:hAnsiTheme="minorHAnsi" w:cstheme="minorHAnsi"/>
          <w:i/>
          <w:iCs/>
          <w:sz w:val="22"/>
          <w:szCs w:val="22"/>
        </w:rPr>
        <w:t xml:space="preserve"> Basics</w:t>
      </w:r>
      <w:r w:rsidRPr="00113617">
        <w:rPr>
          <w:rFonts w:asciiTheme="minorHAnsi" w:hAnsiTheme="minorHAnsi" w:cstheme="minorHAnsi"/>
          <w:sz w:val="22"/>
          <w:szCs w:val="22"/>
        </w:rPr>
        <w:t>. 2nd ed. Abingdon, Oxon Routledge.</w:t>
      </w:r>
    </w:p>
    <w:p w14:paraId="2380FC9D" w14:textId="77777777" w:rsidR="00113617" w:rsidRPr="00113617" w:rsidRDefault="00113617" w:rsidP="00113617">
      <w:pPr>
        <w:pStyle w:val="NormalWeb"/>
        <w:spacing w:before="0" w:beforeAutospacing="0" w:after="240" w:afterAutospacing="0" w:line="360" w:lineRule="auto"/>
        <w:rPr>
          <w:rFonts w:asciiTheme="minorHAnsi" w:hAnsiTheme="minorHAnsi" w:cstheme="minorHAnsi"/>
          <w:sz w:val="22"/>
          <w:szCs w:val="22"/>
        </w:rPr>
      </w:pPr>
      <w:proofErr w:type="spellStart"/>
      <w:r w:rsidRPr="00113617">
        <w:rPr>
          <w:rFonts w:asciiTheme="minorHAnsi" w:hAnsiTheme="minorHAnsi" w:cstheme="minorHAnsi"/>
          <w:sz w:val="22"/>
          <w:szCs w:val="22"/>
        </w:rPr>
        <w:t>Wisker</w:t>
      </w:r>
      <w:proofErr w:type="spellEnd"/>
      <w:r w:rsidRPr="00113617">
        <w:rPr>
          <w:rFonts w:asciiTheme="minorHAnsi" w:hAnsiTheme="minorHAnsi" w:cstheme="minorHAnsi"/>
          <w:sz w:val="22"/>
          <w:szCs w:val="22"/>
        </w:rPr>
        <w:t xml:space="preserve">, G. (2019). </w:t>
      </w:r>
      <w:r w:rsidRPr="00113617">
        <w:rPr>
          <w:rFonts w:asciiTheme="minorHAnsi" w:hAnsiTheme="minorHAnsi" w:cstheme="minorHAnsi"/>
          <w:i/>
          <w:iCs/>
          <w:sz w:val="22"/>
          <w:szCs w:val="22"/>
        </w:rPr>
        <w:t>The Undergraduate Research Handbook</w:t>
      </w:r>
      <w:r w:rsidRPr="00113617">
        <w:rPr>
          <w:rFonts w:asciiTheme="minorHAnsi" w:hAnsiTheme="minorHAnsi" w:cstheme="minorHAnsi"/>
          <w:sz w:val="22"/>
          <w:szCs w:val="22"/>
        </w:rPr>
        <w:t>. 2nd ed. London: Red Globe Press.</w:t>
      </w:r>
    </w:p>
    <w:p w14:paraId="35639F3E" w14:textId="77777777" w:rsidR="00113617" w:rsidRPr="00353F7D" w:rsidRDefault="00113617" w:rsidP="00353F7D"/>
    <w:sectPr w:rsidR="00113617" w:rsidRPr="00353F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18D60" w14:textId="77777777" w:rsidR="001C52DA" w:rsidRDefault="001C52DA" w:rsidP="001C52DA">
      <w:pPr>
        <w:spacing w:after="0" w:line="240" w:lineRule="auto"/>
      </w:pPr>
      <w:r>
        <w:separator/>
      </w:r>
    </w:p>
  </w:endnote>
  <w:endnote w:type="continuationSeparator" w:id="0">
    <w:p w14:paraId="7D9985CA" w14:textId="77777777" w:rsidR="001C52DA" w:rsidRDefault="001C52DA" w:rsidP="001C5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64D6E" w14:textId="77777777" w:rsidR="001C52DA" w:rsidRDefault="001C52DA" w:rsidP="001C52DA">
      <w:pPr>
        <w:spacing w:after="0" w:line="240" w:lineRule="auto"/>
      </w:pPr>
      <w:r>
        <w:separator/>
      </w:r>
    </w:p>
  </w:footnote>
  <w:footnote w:type="continuationSeparator" w:id="0">
    <w:p w14:paraId="25F64D33" w14:textId="77777777" w:rsidR="001C52DA" w:rsidRDefault="001C52DA" w:rsidP="001C52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7D"/>
    <w:rsid w:val="00113617"/>
    <w:rsid w:val="001C52DA"/>
    <w:rsid w:val="00353F7D"/>
    <w:rsid w:val="003A5C26"/>
    <w:rsid w:val="003E3A13"/>
    <w:rsid w:val="00480D03"/>
    <w:rsid w:val="00597DF0"/>
    <w:rsid w:val="005A2FF8"/>
    <w:rsid w:val="005C1165"/>
    <w:rsid w:val="005C7349"/>
    <w:rsid w:val="005F3A48"/>
    <w:rsid w:val="00662C28"/>
    <w:rsid w:val="00737AD2"/>
    <w:rsid w:val="007F3D66"/>
    <w:rsid w:val="008E7531"/>
    <w:rsid w:val="008F3A45"/>
    <w:rsid w:val="009E4BCD"/>
    <w:rsid w:val="009F1D85"/>
    <w:rsid w:val="00A308A0"/>
    <w:rsid w:val="00AA43C4"/>
    <w:rsid w:val="00CF4117"/>
    <w:rsid w:val="00DE0E58"/>
    <w:rsid w:val="00E53E38"/>
    <w:rsid w:val="00E70F30"/>
    <w:rsid w:val="00F56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16D308"/>
  <w15:chartTrackingRefBased/>
  <w15:docId w15:val="{CADB6840-01C9-4F39-973F-B1CBAB3A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36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721572">
      <w:bodyDiv w:val="1"/>
      <w:marLeft w:val="0"/>
      <w:marRight w:val="0"/>
      <w:marTop w:val="0"/>
      <w:marBottom w:val="0"/>
      <w:divBdr>
        <w:top w:val="none" w:sz="0" w:space="0" w:color="auto"/>
        <w:left w:val="none" w:sz="0" w:space="0" w:color="auto"/>
        <w:bottom w:val="none" w:sz="0" w:space="0" w:color="auto"/>
        <w:right w:val="none" w:sz="0" w:space="0" w:color="auto"/>
      </w:divBdr>
    </w:div>
    <w:div w:id="1332563552">
      <w:bodyDiv w:val="1"/>
      <w:marLeft w:val="0"/>
      <w:marRight w:val="0"/>
      <w:marTop w:val="0"/>
      <w:marBottom w:val="0"/>
      <w:divBdr>
        <w:top w:val="none" w:sz="0" w:space="0" w:color="auto"/>
        <w:left w:val="none" w:sz="0" w:space="0" w:color="auto"/>
        <w:bottom w:val="none" w:sz="0" w:space="0" w:color="auto"/>
        <w:right w:val="none" w:sz="0" w:space="0" w:color="auto"/>
      </w:divBdr>
      <w:divsChild>
        <w:div w:id="1212498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5</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7</cp:revision>
  <dcterms:created xsi:type="dcterms:W3CDTF">2023-03-14T15:46:00Z</dcterms:created>
  <dcterms:modified xsi:type="dcterms:W3CDTF">2023-03-14T22:54:00Z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2023-03-14T16:21:02Z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c31d02ce-f40f-46ed-a9c9-2d72f293b569</vt:lpwstr>
  </property>
  <property fmtid="{D5CDD505-2E9C-101B-9397-08002B2CF9AE}" pid="8" name="MSIP_Label_66cf8fe5-b7b7-4df7-b38d-1c61ac2f6639_ContentBits">
    <vt:lpwstr>0</vt:lpwstr>
  </property>
</Properties>
</file>