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eg" ContentType="image/jpeg"/>
  <Default Extension="gif" ContentType="image/gif"/>
  <Override PartName="/word/settings.xml" ContentType="application/vnd.openxmlformats-officedocument.wordprocessingml.settings+xml"/>
  <Override PartName="/word/header1.xml" ContentType="application/vnd.openxmlformats-officedocument.wordprocessingml.header+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package/2006/relationships/metadata/thumbnail" Target="docProps/thumbnail.jpeg"/></Relationships>
</file>

<file path=word/document.xml><?xml version="1.0" encoding="utf-8"?>
<w:document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a14="http://schemas.microsoft.com/office/drawing/2010/main" mc:Ignorable="w14">
  <w:body>
    <w:bookmarkStart w:id="0" w:name="_GoBack" w:displacedByCustomXml="next"/>
    <w:bookmarkEnd w:id="0" w:displacedByCustomXml="next"/>
    <w:sdt>
      <w:sdtPr>
        <w:rPr>
          <w:rFonts w:ascii="Arial" w:eastAsia="等线 Light" w:cs="Arial" w:hAnsi="Arial"/>
          <w:color w:val="156082"/>
          <w:kern w:val="2"/>
          <w:sz w:val="24"/>
          <w:szCs w:val="24"/>
          <w:lang w:eastAsia="en-US"/>
        </w:rPr>
        <w:id w:val="1447829381"/>
        <w:docPartObj>
          <w:docPartGallery/>
          <w:docPartUnique/>
        </w:docPartObj>
      </w:sdtPr>
      <w:sdtContent>
        <w:p>
          <w:pPr>
            <w:pStyle w:val="31"/>
            <w:tabs>
              <w:tab w:val="center" w:pos="4513"/>
              <w:tab w:val="left" w:pos="7844"/>
            </w:tabs>
            <w:spacing w:before="1540" w:after="240" w:line="360" w:lineRule="auto"/>
            <w:jc w:val="center"/>
            <w:rPr>
              <w:rFonts w:ascii="Arial" w:cs="Arial" w:hAnsi="Arial"/>
              <w:color w:val="156082"/>
              <w:sz w:val="24"/>
              <w:szCs w:val="24"/>
            </w:rPr>
          </w:pPr>
          <w:r>
            <w:rPr>
              <w:rFonts w:ascii="Arial" w:eastAsia="等线 Light" w:cs="Arial" w:hAnsi="Arial"/>
              <w:color w:val="156082"/>
              <w:kern w:val="2"/>
              <w:sz w:val="24"/>
              <w:szCs w:val="24"/>
              <w:lang w:eastAsia="en-US"/>
            </w:rPr>
            <w:tab/>
          </w:r>
          <w:r>
            <w:rPr>
              <w:rFonts w:ascii="Arial" w:cs="Arial" w:hAnsi="Arial"/>
              <w:color w:val="156082"/>
              <w:sz w:val="24"/>
              <w:szCs w:val="24"/>
            </w:rPr>
            <w:drawing>
              <wp:inline distT="0" distB="0" distL="0" distR="0">
                <wp:extent cx="2380488" cy="1082039"/>
                <wp:effectExtent l="0" t="0" r="0" b="0"/>
                <wp:docPr id="1" name="Images 1"/>
                <wp:cNvGraphicFramePr>
                  <a:graphicFrameLocks noChangeAspect="1"/>
                </wp:cNvGraphicFramePr>
                <a:graphic>
                  <a:graphicData uri="http://schemas.openxmlformats.org/drawingml/2006/picture">
                    <pic:pic>
                      <pic:nvPicPr>
                        <pic:cNvPr id="3" name="Images 3"/>
                        <pic:cNvPicPr/>
                      </pic:nvPicPr>
                      <pic:blipFill>
                        <a:blip r:embed="rId3"/>
                        <a:stretch>
                          <a:fillRect/>
                        </a:stretch>
                      </pic:blipFill>
                      <pic:spPr>
                        <a:xfrm rot="0">
                          <a:off x="0" y="0"/>
                          <a:ext cx="2380488" cy="1082039"/>
                        </a:xfrm>
                        <a:prstGeom prst="rect"/>
                        <a:noFill/>
                        <a:ln w="12700" cmpd="sng" cap="flat">
                          <a:noFill/>
                          <a:prstDash val="solid"/>
                          <a:miter/>
                        </a:ln>
                      </pic:spPr>
                    </pic:pic>
                  </a:graphicData>
                </a:graphic>
              </wp:inline>
            </w:drawing>
          </w:r>
        </w:p>
        <w:p>
          <w:pPr>
            <w:pStyle w:val="31"/>
            <w:pBdr>
              <w:top w:val="single" w:sz="6" w:space="6" w:color="156082"/>
              <w:bottom w:val="single" w:sz="6" w:space="6" w:color="156082"/>
            </w:pBdr>
            <w:spacing w:after="240" w:line="360" w:lineRule="auto"/>
            <w:jc w:val="center"/>
            <w:rPr>
              <w:rFonts w:ascii="Arial" w:cs="Arial" w:hAnsi="Arial"/>
              <w:b/>
              <w:bCs/>
              <w:sz w:val="24"/>
              <w:szCs w:val="24"/>
            </w:rPr>
          </w:pPr>
          <w:r>
            <w:rPr>
              <w:rFonts w:ascii="Arial" w:cs="Arial" w:hAnsi="Arial"/>
              <w:b/>
              <w:bCs/>
              <w:sz w:val="24"/>
              <w:szCs w:val="24"/>
            </w:rPr>
            <w:t>Strategic Marketing Analysis of Tesco PLC:</w:t>
            <w:br/>
            <w:t>A Critical Evaluation of Segmentation, Targeting, Positioning and Marketing Mix Effectiveness</w:t>
          </w:r>
        </w:p>
        <w:p>
          <w:pPr>
            <w:pStyle w:val="31"/>
            <w:pBdr>
              <w:top w:val="single" w:sz="6" w:space="6" w:color="156082"/>
              <w:bottom w:val="single" w:sz="6" w:space="6" w:color="156082"/>
            </w:pBdr>
            <w:spacing w:after="240" w:line="360" w:lineRule="auto"/>
            <w:jc w:val="center"/>
            <w:rPr>
              <w:rFonts w:ascii="Arial" w:cs="Arial" w:hAnsi="Arial"/>
              <w:sz w:val="24"/>
              <w:szCs w:val="24"/>
            </w:rPr>
          </w:pPr>
        </w:p>
        <w:p>
          <w:pPr>
            <w:pStyle w:val="31"/>
            <w:pBdr>
              <w:top w:val="single" w:sz="6" w:space="6" w:color="156082"/>
              <w:bottom w:val="single" w:sz="6" w:space="6" w:color="156082"/>
            </w:pBdr>
            <w:spacing w:after="240" w:line="360" w:lineRule="auto"/>
            <w:jc w:val="center"/>
            <w:rPr>
              <w:rFonts w:ascii="Arial" w:cs="Arial" w:hAnsi="Arial"/>
              <w:color w:val="156082"/>
              <w:sz w:val="24"/>
              <w:szCs w:val="24"/>
            </w:rPr>
          </w:pPr>
          <w:sdt>
            <w:sdtPr>
              <w:rPr>
                <w:rFonts w:ascii="Arial" w:eastAsia="Droid Sans" w:cs="Arial" w:hAnsi="Arial"/>
                <w:color w:val="156082"/>
                <w:kern w:val="2"/>
                <w:sz w:val="24"/>
                <w:szCs w:val="24"/>
                <w:lang w:eastAsia="en-US"/>
              </w:rPr>
              <w:id w:val="394317651"/>
              <w:text/>
            </w:sdtPr>
            <w:sdtContent>
              <w:r>
                <w:rPr>
                  <w:rFonts w:ascii="Arial" w:eastAsia="Droid Sans" w:cs="Arial" w:hAnsi="Arial"/>
                  <w:color w:val="156082"/>
                  <w:kern w:val="2"/>
                  <w:sz w:val="24"/>
                  <w:szCs w:val="24"/>
                  <w:lang w:eastAsia="en-US"/>
                </w:rPr>
                <w:t>Module Title: Principles of Marketing / Module Code: LCBB5015                                                      BA (Hons) Business Management                                                                                                                  Lecturer: Ivan Rodriguez Hernandez                                                                                                     Submission Date: 29th March 2026</w:t>
              </w:r>
            </w:sdtContent>
          </w:sdt>
        </w:p>
        <w:p>
          <w:pPr>
            <w:pStyle w:val="31"/>
            <w:spacing w:before="480" w:line="360" w:lineRule="auto"/>
            <w:jc w:val="center"/>
            <w:rPr>
              <w:rFonts w:ascii="Arial" w:cs="Arial" w:hAnsi="Arial"/>
              <w:b/>
              <w:bCs/>
              <w:color w:val="E97132"/>
              <w:sz w:val="24"/>
              <w:szCs w:val="24"/>
            </w:rPr>
          </w:pPr>
          <w:r>
            <w:rPr>
              <w:rFonts w:ascii="Arial" w:cs="Arial" w:hAnsi="Arial"/>
              <w:b/>
              <w:bCs/>
              <w:color w:val="E97132"/>
              <w:sz w:val="24"/>
              <w:szCs w:val="24"/>
            </w:rPr>
            <w:t>Group leader: Ateeq Ur Rehman / STUDENT ID: 2322964</w:t>
          </w:r>
        </w:p>
        <w:p>
          <w:pPr>
            <w:pStyle w:val="31"/>
            <w:spacing w:before="480" w:line="360" w:lineRule="auto"/>
            <w:jc w:val="center"/>
            <w:rPr>
              <w:rFonts w:ascii="Arial" w:cs="Arial" w:hAnsi="Arial"/>
              <w:b/>
              <w:bCs/>
              <w:color w:val="002060"/>
              <w:sz w:val="24"/>
              <w:szCs w:val="24"/>
            </w:rPr>
          </w:pPr>
          <w:r>
            <w:rPr>
              <w:rFonts w:ascii="Arial" w:cs="Arial" w:hAnsi="Arial"/>
              <w:b/>
              <w:bCs/>
              <w:color w:val="002060"/>
              <w:sz w:val="24"/>
              <w:szCs w:val="24"/>
            </w:rPr>
            <w:t>Group members</w:t>
          </w:r>
        </w:p>
        <w:p>
          <w:pPr>
            <w:pStyle w:val="31"/>
            <w:spacing w:before="480" w:line="360" w:lineRule="auto"/>
            <w:jc w:val="center"/>
            <w:rPr>
              <w:rFonts w:ascii="Arial" w:cs="Arial" w:hAnsi="Arial"/>
              <w:b/>
              <w:bCs/>
              <w:color w:val="D86DCB"/>
              <w:sz w:val="24"/>
              <w:szCs w:val="24"/>
            </w:rPr>
          </w:pPr>
          <w:r>
            <w:rPr>
              <w:rFonts w:ascii="Arial" w:cs="Arial" w:hAnsi="Arial"/>
              <w:b/>
              <w:bCs/>
              <w:color w:val="D86DCB"/>
              <w:sz w:val="24"/>
              <w:szCs w:val="24"/>
            </w:rPr>
            <w:t>Mohammad Imran / 2313646</w:t>
          </w:r>
        </w:p>
        <w:p>
          <w:pPr>
            <w:pStyle w:val="31"/>
            <w:spacing w:before="480" w:line="360" w:lineRule="auto"/>
            <w:jc w:val="center"/>
            <w:rPr>
              <w:rFonts w:ascii="Arial" w:cs="Arial" w:hAnsi="Arial"/>
              <w:b/>
              <w:bCs/>
              <w:color w:val="D86DCB"/>
              <w:sz w:val="24"/>
              <w:szCs w:val="24"/>
            </w:rPr>
          </w:pPr>
          <w:r>
            <w:rPr>
              <w:rFonts w:ascii="Arial" w:cs="Arial" w:hAnsi="Arial"/>
              <w:b/>
              <w:bCs/>
              <w:color w:val="D86DCB"/>
              <w:sz w:val="24"/>
              <w:szCs w:val="24"/>
            </w:rPr>
            <w:t>Paulica Barbu / 2319977</w:t>
          </w:r>
        </w:p>
        <w:p>
          <w:pPr>
            <w:pStyle w:val="31"/>
            <w:spacing w:before="480" w:line="360" w:lineRule="auto"/>
            <w:jc w:val="center"/>
            <w:rPr>
              <w:rFonts w:ascii="Arial" w:cs="Arial" w:hAnsi="Arial"/>
              <w:b/>
              <w:bCs/>
              <w:color w:val="D86DCB"/>
              <w:sz w:val="24"/>
              <w:szCs w:val="24"/>
            </w:rPr>
          </w:pPr>
          <w:r>
            <w:rPr>
              <w:rFonts w:ascii="Arial" w:cs="Arial" w:hAnsi="Arial"/>
              <w:b/>
              <w:bCs/>
              <w:color w:val="D86DCB"/>
              <w:sz w:val="24"/>
              <w:szCs w:val="24"/>
            </w:rPr>
            <w:t>Sadaf Safdar / 2313180</w:t>
          </w:r>
        </w:p>
        <w:p>
          <w:pPr>
            <w:pStyle w:val="2"/>
            <w:spacing w:line="360" w:lineRule="auto"/>
            <w:jc w:val="center"/>
            <w:rPr>
              <w:rFonts w:ascii="Arial" w:cs="Arial" w:hAnsi="Arial"/>
              <w:sz w:val="24"/>
              <w:szCs w:val="24"/>
            </w:rPr>
          </w:pPr>
          <w:r>
            <w:rPr>
              <w:rFonts w:ascii="Arial" w:cs="Arial" w:hAnsi="Arial"/>
              <w:sz w:val="24"/>
              <w:szCs w:val="24"/>
            </w:rPr>
            <w:br w:type="page"/>
          </w:r>
        </w:p>
      </w:sdtContent>
    </w:sdt>
    <w:sdt>
      <w:sdtPr>
        <w:rPr>
          <w:rFonts w:ascii="Arial" w:eastAsia="Droid Sans" w:cs="Arial" w:hAnsi="Arial"/>
          <w:color w:val="auto"/>
          <w:kern w:val="2"/>
          <w:sz w:val="24"/>
          <w:szCs w:val="24"/>
          <w:lang w:eastAsia="en-US"/>
        </w:rPr>
        <w:id w:val="-1650557065"/>
        <w:docPartObj>
          <w:docPartGallery/>
          <w:docPartUnique/>
        </w:docPartObj>
      </w:sdtPr>
      <w:sdtContent>
        <w:p>
          <w:pPr>
            <w:pStyle w:val="25"/>
            <w:spacing w:line="360" w:lineRule="auto"/>
            <w:jc w:val="both"/>
            <w:rPr>
              <w:rFonts w:ascii="Arial" w:cs="Arial" w:hAnsi="Arial"/>
              <w:sz w:val="24"/>
              <w:szCs w:val="24"/>
            </w:rPr>
          </w:pPr>
          <w:r>
            <w:rPr>
              <w:rFonts w:ascii="Arial" w:cs="Arial" w:hAnsi="Arial"/>
              <w:sz w:val="24"/>
              <w:szCs w:val="24"/>
            </w:rPr>
            <w:t>Table of Contents</w:t>
          </w:r>
        </w:p>
        <w:p>
          <w:pPr>
            <w:pStyle w:val="26"/>
            <w:tabs>
              <w:tab w:val="right" w:leader="dot" w:pos="9016"/>
            </w:tabs>
            <w:spacing w:line="360" w:lineRule="auto"/>
            <w:jc w:val="both"/>
            <w:rPr>
              <w:rFonts w:ascii="Arial" w:cs="Arial" w:hAnsi="Arial"/>
            </w:rPr>
          </w:pPr>
          <w:r>
            <w:rPr>
              <w:rFonts w:ascii="Arial" w:cs="Arial" w:hAnsi="Arial"/>
            </w:rPr>
            <w:fldChar w:fldCharType="begin"/>
          </w:r>
          <w:r>
            <w:rPr>
              <w:rFonts w:ascii="Arial" w:cs="Arial" w:hAnsi="Arial"/>
            </w:rPr>
            <w:instrText xml:space="preserve"> TOC \o "1-3" \h \z \u </w:instrText>
          </w:r>
          <w:r>
            <w:rPr>
              <w:rFonts w:ascii="Arial" w:cs="Arial" w:hAnsi="Arial"/>
            </w:rPr>
            <w:fldChar w:fldCharType="separate"/>
          </w:r>
          <w:r>
            <w:fldChar w:fldCharType="begin"/>
          </w:r>
          <w:r>
            <w:instrText>Hyperlink \l "_Toc222173146"</w:instrText>
          </w:r>
          <w:r>
            <w:fldChar w:fldCharType="separate"/>
          </w:r>
          <w:r>
            <w:rPr>
              <w:rFonts w:ascii="Arial" w:eastAsia="Times New Roman" w:cs="Arial" w:hAnsi="Arial"/>
              <w:b/>
              <w:bCs/>
              <w:kern w:val="36"/>
              <w:lang w:eastAsia="en-GB"/>
            </w:rPr>
            <w:t>Introduction</w:t>
          </w:r>
          <w:r>
            <w:rPr>
              <w:rFonts w:ascii="Arial" w:cs="Arial" w:hAnsi="Arial"/>
            </w:rPr>
            <w:tab/>
          </w:r>
          <w:r>
            <w:rPr>
              <w:rFonts w:ascii="Arial" w:cs="Arial" w:hAnsi="Arial"/>
            </w:rPr>
            <w:fldChar w:fldCharType="begin"/>
          </w:r>
          <w:r>
            <w:rPr>
              <w:rFonts w:ascii="Arial" w:cs="Arial" w:hAnsi="Arial"/>
            </w:rPr>
            <w:instrText xml:space="preserve"> PAGEREF _Toc222173146 \h </w:instrText>
          </w:r>
          <w:r>
            <w:rPr>
              <w:rFonts w:ascii="Arial" w:cs="Arial" w:hAnsi="Arial"/>
            </w:rPr>
            <w:fldChar w:fldCharType="separate"/>
          </w:r>
          <w:r>
            <w:rPr>
              <w:rFonts w:ascii="Arial" w:cs="Arial" w:hAnsi="Arial"/>
            </w:rPr>
            <w:t>2</w:t>
          </w:r>
          <w:r>
            <w:rPr>
              <w:rFonts w:ascii="Arial" w:cs="Arial" w:hAnsi="Arial"/>
            </w:rPr>
            <w:fldChar w:fldCharType="end"/>
          </w:r>
          <w:r>
            <w:fldChar w:fldCharType="end"/>
          </w:r>
        </w:p>
        <w:p>
          <w:pPr>
            <w:pStyle w:val="26"/>
            <w:tabs>
              <w:tab w:val="right" w:leader="dot" w:pos="9016"/>
            </w:tabs>
            <w:spacing w:line="360" w:lineRule="auto"/>
            <w:jc w:val="both"/>
            <w:rPr>
              <w:rFonts w:ascii="Arial" w:cs="Arial" w:hAnsi="Arial"/>
            </w:rPr>
          </w:pPr>
          <w:r>
            <w:fldChar w:fldCharType="begin"/>
          </w:r>
          <w:r>
            <w:instrText>Hyperlink \l "_Toc222173147"</w:instrText>
          </w:r>
          <w:r>
            <w:fldChar w:fldCharType="separate"/>
          </w:r>
          <w:r>
            <w:rPr>
              <w:rFonts w:ascii="Arial" w:eastAsia="Times New Roman" w:cs="Arial" w:hAnsi="Arial"/>
              <w:b/>
              <w:bCs/>
              <w:kern w:val="36"/>
              <w:lang w:eastAsia="en-GB"/>
            </w:rPr>
            <w:t>Segmentation Analysis</w:t>
          </w:r>
          <w:r>
            <w:rPr>
              <w:rFonts w:ascii="Arial" w:cs="Arial" w:hAnsi="Arial"/>
            </w:rPr>
            <w:tab/>
          </w:r>
          <w:r>
            <w:rPr>
              <w:rFonts w:ascii="Arial" w:cs="Arial" w:hAnsi="Arial"/>
            </w:rPr>
            <w:fldChar w:fldCharType="begin"/>
          </w:r>
          <w:r>
            <w:rPr>
              <w:rFonts w:ascii="Arial" w:cs="Arial" w:hAnsi="Arial"/>
            </w:rPr>
            <w:instrText xml:space="preserve"> PAGEREF _Toc222173147 \h </w:instrText>
          </w:r>
          <w:r>
            <w:rPr>
              <w:rFonts w:ascii="Arial" w:cs="Arial" w:hAnsi="Arial"/>
            </w:rPr>
            <w:fldChar w:fldCharType="separate"/>
          </w:r>
          <w:r>
            <w:rPr>
              <w:rFonts w:ascii="Arial" w:cs="Arial" w:hAnsi="Arial"/>
            </w:rPr>
            <w:t>3</w:t>
          </w:r>
          <w:r>
            <w:rPr>
              <w:rFonts w:ascii="Arial" w:cs="Arial" w:hAnsi="Arial"/>
            </w:rPr>
            <w:fldChar w:fldCharType="end"/>
          </w:r>
          <w:r>
            <w:fldChar w:fldCharType="end"/>
          </w:r>
        </w:p>
        <w:p>
          <w:pPr>
            <w:pStyle w:val="26"/>
            <w:tabs>
              <w:tab w:val="right" w:leader="dot" w:pos="9016"/>
            </w:tabs>
            <w:spacing w:line="360" w:lineRule="auto"/>
            <w:jc w:val="both"/>
            <w:rPr>
              <w:rFonts w:ascii="Arial" w:cs="Arial" w:hAnsi="Arial"/>
            </w:rPr>
          </w:pPr>
          <w:r>
            <w:fldChar w:fldCharType="begin"/>
          </w:r>
          <w:r>
            <w:instrText>Hyperlink \l "_Toc222173148"</w:instrText>
          </w:r>
          <w:r>
            <w:fldChar w:fldCharType="separate"/>
          </w:r>
          <w:r>
            <w:rPr>
              <w:rFonts w:ascii="Arial" w:eastAsia="Times New Roman" w:cs="Arial" w:hAnsi="Arial"/>
              <w:b/>
              <w:bCs/>
              <w:kern w:val="0"/>
              <w:lang w:eastAsia="en-GB"/>
            </w:rPr>
            <w:t>Theoretical Framework</w:t>
          </w:r>
          <w:r>
            <w:rPr>
              <w:rFonts w:ascii="Arial" w:cs="Arial" w:hAnsi="Arial"/>
            </w:rPr>
            <w:tab/>
          </w:r>
          <w:r>
            <w:rPr>
              <w:rFonts w:ascii="Arial" w:cs="Arial" w:hAnsi="Arial"/>
            </w:rPr>
            <w:fldChar w:fldCharType="begin"/>
          </w:r>
          <w:r>
            <w:rPr>
              <w:rFonts w:ascii="Arial" w:cs="Arial" w:hAnsi="Arial"/>
            </w:rPr>
            <w:instrText xml:space="preserve"> PAGEREF _Toc222173148 \h </w:instrText>
          </w:r>
          <w:r>
            <w:rPr>
              <w:rFonts w:ascii="Arial" w:cs="Arial" w:hAnsi="Arial"/>
            </w:rPr>
            <w:fldChar w:fldCharType="separate"/>
          </w:r>
          <w:r>
            <w:rPr>
              <w:rFonts w:ascii="Arial" w:cs="Arial" w:hAnsi="Arial"/>
            </w:rPr>
            <w:t>3</w:t>
          </w:r>
          <w:r>
            <w:rPr>
              <w:rFonts w:ascii="Arial" w:cs="Arial" w:hAnsi="Arial"/>
            </w:rPr>
            <w:fldChar w:fldCharType="end"/>
          </w:r>
          <w:r>
            <w:fldChar w:fldCharType="end"/>
          </w:r>
        </w:p>
        <w:p>
          <w:pPr>
            <w:pStyle w:val="26"/>
            <w:tabs>
              <w:tab w:val="right" w:leader="dot" w:pos="9016"/>
            </w:tabs>
            <w:spacing w:line="360" w:lineRule="auto"/>
            <w:jc w:val="both"/>
            <w:rPr>
              <w:rFonts w:ascii="Arial" w:cs="Arial" w:hAnsi="Arial"/>
            </w:rPr>
          </w:pPr>
          <w:r>
            <w:fldChar w:fldCharType="begin"/>
          </w:r>
          <w:r>
            <w:instrText>Hyperlink \l "_Toc222173152"</w:instrText>
          </w:r>
          <w:r>
            <w:fldChar w:fldCharType="separate"/>
          </w:r>
          <w:r>
            <w:rPr>
              <w:rFonts w:ascii="Arial" w:eastAsia="Times New Roman" w:cs="Arial" w:hAnsi="Arial"/>
              <w:b/>
              <w:bCs/>
              <w:kern w:val="36"/>
              <w:lang w:eastAsia="en-GB"/>
            </w:rPr>
            <w:t>Targeting Analysis</w:t>
          </w:r>
          <w:r>
            <w:rPr>
              <w:rFonts w:ascii="Arial" w:cs="Arial" w:hAnsi="Arial"/>
            </w:rPr>
            <w:tab/>
          </w:r>
          <w:r>
            <w:rPr>
              <w:rFonts w:ascii="Arial" w:cs="Arial" w:hAnsi="Arial"/>
            </w:rPr>
            <w:fldChar w:fldCharType="begin"/>
          </w:r>
          <w:r>
            <w:rPr>
              <w:rFonts w:ascii="Arial" w:cs="Arial" w:hAnsi="Arial"/>
            </w:rPr>
            <w:instrText xml:space="preserve"> PAGEREF _Toc222173152 \h </w:instrText>
          </w:r>
          <w:r>
            <w:rPr>
              <w:rFonts w:ascii="Arial" w:cs="Arial" w:hAnsi="Arial"/>
            </w:rPr>
            <w:fldChar w:fldCharType="separate"/>
          </w:r>
          <w:r>
            <w:rPr>
              <w:rFonts w:ascii="Arial" w:cs="Arial" w:hAnsi="Arial"/>
            </w:rPr>
            <w:t>8</w:t>
          </w:r>
          <w:r>
            <w:rPr>
              <w:rFonts w:ascii="Arial" w:cs="Arial" w:hAnsi="Arial"/>
            </w:rPr>
            <w:fldChar w:fldCharType="end"/>
          </w:r>
          <w:r>
            <w:fldChar w:fldCharType="end"/>
          </w:r>
        </w:p>
        <w:p>
          <w:pPr>
            <w:pStyle w:val="26"/>
            <w:tabs>
              <w:tab w:val="right" w:leader="dot" w:pos="9016"/>
            </w:tabs>
            <w:spacing w:line="360" w:lineRule="auto"/>
            <w:jc w:val="both"/>
            <w:rPr>
              <w:rFonts w:ascii="Arial" w:cs="Arial" w:hAnsi="Arial"/>
            </w:rPr>
          </w:pPr>
          <w:r>
            <w:fldChar w:fldCharType="begin"/>
          </w:r>
          <w:r>
            <w:instrText>Hyperlink \l "_Toc222173153"</w:instrText>
          </w:r>
          <w:r>
            <w:fldChar w:fldCharType="separate"/>
          </w:r>
          <w:r>
            <w:rPr>
              <w:rFonts w:ascii="Arial" w:eastAsia="Times New Roman" w:cs="Arial" w:hAnsi="Arial"/>
              <w:b/>
              <w:bCs/>
              <w:kern w:val="0"/>
              <w:lang w:eastAsia="en-GB"/>
            </w:rPr>
            <w:t>Theoretical Foundations of Targeting</w:t>
          </w:r>
          <w:r>
            <w:rPr>
              <w:rFonts w:ascii="Arial" w:cs="Arial" w:hAnsi="Arial"/>
            </w:rPr>
            <w:tab/>
          </w:r>
          <w:r>
            <w:rPr>
              <w:rFonts w:ascii="Arial" w:cs="Arial" w:hAnsi="Arial"/>
            </w:rPr>
            <w:fldChar w:fldCharType="begin"/>
          </w:r>
          <w:r>
            <w:rPr>
              <w:rFonts w:ascii="Arial" w:cs="Arial" w:hAnsi="Arial"/>
            </w:rPr>
            <w:instrText xml:space="preserve"> PAGEREF _Toc222173153 \h </w:instrText>
          </w:r>
          <w:r>
            <w:rPr>
              <w:rFonts w:ascii="Arial" w:cs="Arial" w:hAnsi="Arial"/>
            </w:rPr>
            <w:fldChar w:fldCharType="separate"/>
          </w:r>
          <w:r>
            <w:rPr>
              <w:rFonts w:ascii="Arial" w:cs="Arial" w:hAnsi="Arial"/>
            </w:rPr>
            <w:t>8</w:t>
          </w:r>
          <w:r>
            <w:rPr>
              <w:rFonts w:ascii="Arial" w:cs="Arial" w:hAnsi="Arial"/>
            </w:rPr>
            <w:fldChar w:fldCharType="end"/>
          </w:r>
          <w:r>
            <w:fldChar w:fldCharType="end"/>
          </w:r>
        </w:p>
        <w:p>
          <w:pPr>
            <w:pStyle w:val="26"/>
            <w:tabs>
              <w:tab w:val="right" w:leader="dot" w:pos="9016"/>
            </w:tabs>
            <w:spacing w:line="360" w:lineRule="auto"/>
            <w:jc w:val="both"/>
            <w:rPr>
              <w:rFonts w:ascii="Arial" w:cs="Arial" w:hAnsi="Arial"/>
            </w:rPr>
          </w:pPr>
          <w:r>
            <w:fldChar w:fldCharType="begin"/>
          </w:r>
          <w:r>
            <w:instrText>Hyperlink \l "_Toc222173159"</w:instrText>
          </w:r>
          <w:r>
            <w:fldChar w:fldCharType="separate"/>
          </w:r>
          <w:r>
            <w:rPr>
              <w:rFonts w:ascii="Arial" w:eastAsia="Times New Roman" w:cs="Arial" w:hAnsi="Arial"/>
              <w:b/>
              <w:bCs/>
              <w:kern w:val="36"/>
              <w:lang w:eastAsia="en-GB"/>
            </w:rPr>
            <w:t>Positioning Analysis</w:t>
          </w:r>
          <w:r>
            <w:rPr>
              <w:rFonts w:ascii="Arial" w:cs="Arial" w:hAnsi="Arial"/>
            </w:rPr>
            <w:tab/>
          </w:r>
          <w:r>
            <w:rPr>
              <w:rFonts w:ascii="Arial" w:cs="Arial" w:hAnsi="Arial"/>
            </w:rPr>
            <w:fldChar w:fldCharType="begin"/>
          </w:r>
          <w:r>
            <w:rPr>
              <w:rFonts w:ascii="Arial" w:cs="Arial" w:hAnsi="Arial"/>
            </w:rPr>
            <w:instrText xml:space="preserve"> PAGEREF _Toc222173159 \h </w:instrText>
          </w:r>
          <w:r>
            <w:rPr>
              <w:rFonts w:ascii="Arial" w:cs="Arial" w:hAnsi="Arial"/>
            </w:rPr>
            <w:fldChar w:fldCharType="separate"/>
          </w:r>
          <w:r>
            <w:rPr>
              <w:rFonts w:ascii="Arial" w:cs="Arial" w:hAnsi="Arial"/>
            </w:rPr>
            <w:t>10</w:t>
          </w:r>
          <w:r>
            <w:rPr>
              <w:rFonts w:ascii="Arial" w:cs="Arial" w:hAnsi="Arial"/>
            </w:rPr>
            <w:fldChar w:fldCharType="end"/>
          </w:r>
          <w:r>
            <w:fldChar w:fldCharType="end"/>
          </w:r>
        </w:p>
        <w:p>
          <w:pPr>
            <w:pStyle w:val="26"/>
            <w:tabs>
              <w:tab w:val="right" w:leader="dot" w:pos="9016"/>
            </w:tabs>
            <w:spacing w:line="360" w:lineRule="auto"/>
            <w:jc w:val="both"/>
            <w:rPr>
              <w:rFonts w:ascii="Arial" w:cs="Arial" w:hAnsi="Arial"/>
            </w:rPr>
          </w:pPr>
          <w:r>
            <w:fldChar w:fldCharType="begin"/>
          </w:r>
          <w:r>
            <w:instrText>Hyperlink \l "_Toc222173160"</w:instrText>
          </w:r>
          <w:r>
            <w:fldChar w:fldCharType="separate"/>
          </w:r>
          <w:r>
            <w:rPr>
              <w:rFonts w:ascii="Arial" w:eastAsia="Times New Roman" w:cs="Arial" w:hAnsi="Arial"/>
              <w:b/>
              <w:bCs/>
              <w:kern w:val="0"/>
              <w:lang w:eastAsia="en-GB"/>
            </w:rPr>
            <w:t>Theoretical Foundations of Positioning</w:t>
          </w:r>
          <w:r>
            <w:rPr>
              <w:rFonts w:ascii="Arial" w:cs="Arial" w:hAnsi="Arial"/>
            </w:rPr>
            <w:tab/>
          </w:r>
          <w:r>
            <w:rPr>
              <w:rFonts w:ascii="Arial" w:cs="Arial" w:hAnsi="Arial"/>
            </w:rPr>
            <w:fldChar w:fldCharType="begin"/>
          </w:r>
          <w:r>
            <w:rPr>
              <w:rFonts w:ascii="Arial" w:cs="Arial" w:hAnsi="Arial"/>
            </w:rPr>
            <w:instrText xml:space="preserve"> PAGEREF _Toc222173160 \h </w:instrText>
          </w:r>
          <w:r>
            <w:rPr>
              <w:rFonts w:ascii="Arial" w:cs="Arial" w:hAnsi="Arial"/>
            </w:rPr>
            <w:fldChar w:fldCharType="separate"/>
          </w:r>
          <w:r>
            <w:rPr>
              <w:rFonts w:ascii="Arial" w:cs="Arial" w:hAnsi="Arial"/>
            </w:rPr>
            <w:t>10</w:t>
          </w:r>
          <w:r>
            <w:rPr>
              <w:rFonts w:ascii="Arial" w:cs="Arial" w:hAnsi="Arial"/>
            </w:rPr>
            <w:fldChar w:fldCharType="end"/>
          </w:r>
          <w:r>
            <w:fldChar w:fldCharType="end"/>
          </w:r>
        </w:p>
        <w:p>
          <w:pPr>
            <w:pStyle w:val="27"/>
            <w:tabs>
              <w:tab w:val="right" w:leader="dot" w:pos="9016"/>
            </w:tabs>
            <w:spacing w:line="360" w:lineRule="auto"/>
            <w:ind w:left="0"/>
            <w:jc w:val="both"/>
            <w:rPr>
              <w:rFonts w:ascii="Arial" w:cs="Arial" w:hAnsi="Arial"/>
            </w:rPr>
          </w:pPr>
          <w:r>
            <w:fldChar w:fldCharType="begin"/>
          </w:r>
          <w:r>
            <w:instrText>Hyperlink \l "_Toc222173166"</w:instrText>
          </w:r>
          <w:r>
            <w:fldChar w:fldCharType="separate"/>
          </w:r>
          <w:r>
            <w:rPr>
              <w:rFonts w:ascii="Arial" w:eastAsia="Times New Roman" w:cs="Arial" w:hAnsi="Arial"/>
              <w:b/>
              <w:bCs/>
              <w:kern w:val="0"/>
              <w:lang w:eastAsia="en-GB"/>
            </w:rPr>
            <w:t>Strategic Strengths of Tesco’s Positioning</w:t>
          </w:r>
          <w:r>
            <w:rPr>
              <w:rFonts w:ascii="Arial" w:cs="Arial" w:hAnsi="Arial"/>
            </w:rPr>
            <w:tab/>
          </w:r>
          <w:r>
            <w:rPr>
              <w:rFonts w:ascii="Arial" w:cs="Arial" w:hAnsi="Arial"/>
            </w:rPr>
            <w:fldChar w:fldCharType="begin"/>
          </w:r>
          <w:r>
            <w:rPr>
              <w:rFonts w:ascii="Arial" w:cs="Arial" w:hAnsi="Arial"/>
            </w:rPr>
            <w:instrText xml:space="preserve"> PAGEREF _Toc222173166 \h </w:instrText>
          </w:r>
          <w:r>
            <w:rPr>
              <w:rFonts w:ascii="Arial" w:cs="Arial" w:hAnsi="Arial"/>
            </w:rPr>
            <w:fldChar w:fldCharType="separate"/>
          </w:r>
          <w:r>
            <w:rPr>
              <w:rFonts w:ascii="Arial" w:cs="Arial" w:hAnsi="Arial"/>
            </w:rPr>
            <w:t>13</w:t>
          </w:r>
          <w:r>
            <w:rPr>
              <w:rFonts w:ascii="Arial" w:cs="Arial" w:hAnsi="Arial"/>
            </w:rPr>
            <w:fldChar w:fldCharType="end"/>
          </w:r>
          <w:r>
            <w:fldChar w:fldCharType="end"/>
          </w:r>
        </w:p>
        <w:p>
          <w:pPr>
            <w:pStyle w:val="26"/>
            <w:tabs>
              <w:tab w:val="right" w:leader="dot" w:pos="9016"/>
            </w:tabs>
            <w:spacing w:line="360" w:lineRule="auto"/>
            <w:jc w:val="both"/>
            <w:rPr>
              <w:rFonts w:ascii="Arial" w:cs="Arial" w:hAnsi="Arial"/>
            </w:rPr>
          </w:pPr>
          <w:r>
            <w:fldChar w:fldCharType="begin"/>
          </w:r>
          <w:r>
            <w:instrText>Hyperlink \l "_Toc222173170"</w:instrText>
          </w:r>
          <w:r>
            <w:fldChar w:fldCharType="separate"/>
          </w:r>
          <w:r>
            <w:rPr>
              <w:rFonts w:ascii="Arial" w:eastAsia="Times New Roman" w:cs="Arial" w:hAnsi="Arial"/>
              <w:b/>
              <w:bCs/>
              <w:kern w:val="36"/>
              <w:lang w:eastAsia="en-GB"/>
            </w:rPr>
            <w:t>Marketing Mix Strategies (4Ps)</w:t>
          </w:r>
          <w:r>
            <w:rPr>
              <w:rFonts w:ascii="Arial" w:cs="Arial" w:hAnsi="Arial"/>
            </w:rPr>
            <w:tab/>
          </w:r>
          <w:r>
            <w:rPr>
              <w:rFonts w:ascii="Arial" w:cs="Arial" w:hAnsi="Arial"/>
            </w:rPr>
            <w:fldChar w:fldCharType="begin"/>
          </w:r>
          <w:r>
            <w:rPr>
              <w:rFonts w:ascii="Arial" w:cs="Arial" w:hAnsi="Arial"/>
            </w:rPr>
            <w:instrText xml:space="preserve"> PAGEREF _Toc222173170 \h </w:instrText>
          </w:r>
          <w:r>
            <w:rPr>
              <w:rFonts w:ascii="Arial" w:cs="Arial" w:hAnsi="Arial"/>
            </w:rPr>
            <w:fldChar w:fldCharType="separate"/>
          </w:r>
          <w:r>
            <w:rPr>
              <w:rFonts w:ascii="Arial" w:cs="Arial" w:hAnsi="Arial"/>
            </w:rPr>
            <w:t>14</w:t>
          </w:r>
          <w:r>
            <w:rPr>
              <w:rFonts w:ascii="Arial" w:cs="Arial" w:hAnsi="Arial"/>
            </w:rPr>
            <w:fldChar w:fldCharType="end"/>
          </w:r>
          <w:r>
            <w:fldChar w:fldCharType="end"/>
          </w:r>
        </w:p>
        <w:p>
          <w:pPr>
            <w:pStyle w:val="27"/>
            <w:tabs>
              <w:tab w:val="right" w:leader="dot" w:pos="9016"/>
            </w:tabs>
            <w:spacing w:line="360" w:lineRule="auto"/>
            <w:ind w:left="0"/>
            <w:jc w:val="both"/>
            <w:rPr>
              <w:rFonts w:ascii="Arial" w:cs="Arial" w:hAnsi="Arial"/>
            </w:rPr>
          </w:pPr>
          <w:r>
            <w:fldChar w:fldCharType="begin"/>
          </w:r>
          <w:r>
            <w:instrText>Hyperlink \l "_Toc222173175"</w:instrText>
          </w:r>
          <w:r>
            <w:fldChar w:fldCharType="separate"/>
          </w:r>
          <w:r>
            <w:rPr>
              <w:rFonts w:ascii="Arial" w:eastAsia="Times New Roman" w:cs="Arial" w:hAnsi="Arial"/>
              <w:b/>
              <w:bCs/>
              <w:kern w:val="0"/>
              <w:lang w:eastAsia="en-GB"/>
            </w:rPr>
            <w:t>Integration of STP and Marketing Mix</w:t>
          </w:r>
          <w:r>
            <w:rPr>
              <w:rFonts w:ascii="Arial" w:cs="Arial" w:hAnsi="Arial"/>
            </w:rPr>
            <w:tab/>
          </w:r>
          <w:r>
            <w:rPr>
              <w:rFonts w:ascii="Arial" w:cs="Arial" w:hAnsi="Arial"/>
            </w:rPr>
            <w:fldChar w:fldCharType="begin"/>
          </w:r>
          <w:r>
            <w:rPr>
              <w:rFonts w:ascii="Arial" w:cs="Arial" w:hAnsi="Arial"/>
            </w:rPr>
            <w:instrText xml:space="preserve"> PAGEREF _Toc222173175 \h </w:instrText>
          </w:r>
          <w:r>
            <w:rPr>
              <w:rFonts w:ascii="Arial" w:cs="Arial" w:hAnsi="Arial"/>
            </w:rPr>
            <w:fldChar w:fldCharType="separate"/>
          </w:r>
          <w:r>
            <w:rPr>
              <w:rFonts w:ascii="Arial" w:cs="Arial" w:hAnsi="Arial"/>
            </w:rPr>
            <w:t>18</w:t>
          </w:r>
          <w:r>
            <w:rPr>
              <w:rFonts w:ascii="Arial" w:cs="Arial" w:hAnsi="Arial"/>
            </w:rPr>
            <w:fldChar w:fldCharType="end"/>
          </w:r>
          <w:r>
            <w:fldChar w:fldCharType="end"/>
          </w:r>
        </w:p>
        <w:p>
          <w:pPr>
            <w:pStyle w:val="26"/>
            <w:tabs>
              <w:tab w:val="right" w:leader="dot" w:pos="9016"/>
            </w:tabs>
            <w:spacing w:line="360" w:lineRule="auto"/>
            <w:jc w:val="both"/>
            <w:rPr>
              <w:rStyle w:val="24"/>
              <w:rFonts w:ascii="Arial" w:cs="Arial" w:hAnsi="Arial"/>
            </w:rPr>
          </w:pPr>
          <w:r>
            <w:fldChar w:fldCharType="begin"/>
          </w:r>
          <w:r>
            <w:instrText>Hyperlink \l "_Toc222173176"</w:instrText>
          </w:r>
          <w:r>
            <w:fldChar w:fldCharType="separate"/>
          </w:r>
          <w:r>
            <w:rPr>
              <w:rFonts w:ascii="Arial" w:eastAsia="Times New Roman" w:cs="Arial" w:hAnsi="Arial"/>
              <w:b/>
              <w:bCs/>
              <w:kern w:val="36"/>
              <w:lang w:eastAsia="en-GB"/>
            </w:rPr>
            <w:t>Conclusion and Strategic Recommendations</w:t>
          </w:r>
          <w:r>
            <w:rPr>
              <w:rFonts w:ascii="Arial" w:cs="Arial" w:hAnsi="Arial"/>
            </w:rPr>
            <w:tab/>
          </w:r>
          <w:r>
            <w:rPr>
              <w:rFonts w:ascii="Arial" w:cs="Arial" w:hAnsi="Arial"/>
            </w:rPr>
            <w:fldChar w:fldCharType="begin"/>
          </w:r>
          <w:r>
            <w:rPr>
              <w:rFonts w:ascii="Arial" w:cs="Arial" w:hAnsi="Arial"/>
            </w:rPr>
            <w:instrText xml:space="preserve"> PAGEREF _Toc222173176 \h </w:instrText>
          </w:r>
          <w:r>
            <w:rPr>
              <w:rFonts w:ascii="Arial" w:cs="Arial" w:hAnsi="Arial"/>
            </w:rPr>
            <w:fldChar w:fldCharType="separate"/>
          </w:r>
          <w:r>
            <w:rPr>
              <w:rFonts w:ascii="Arial" w:cs="Arial" w:hAnsi="Arial"/>
            </w:rPr>
            <w:t>18</w:t>
          </w:r>
          <w:r>
            <w:rPr>
              <w:rFonts w:ascii="Arial" w:cs="Arial" w:hAnsi="Arial"/>
            </w:rPr>
            <w:fldChar w:fldCharType="end"/>
          </w:r>
          <w:r>
            <w:fldChar w:fldCharType="end"/>
          </w:r>
        </w:p>
        <w:p>
          <w:pPr>
            <w:spacing w:line="360" w:lineRule="auto"/>
            <w:jc w:val="both"/>
            <w:rPr>
              <w:rFonts w:ascii="Arial" w:cs="Arial" w:hAnsi="Arial"/>
            </w:rPr>
          </w:pPr>
          <w:r>
            <w:rPr>
              <w:rFonts w:ascii="Arial" w:cs="Arial" w:hAnsi="Arial"/>
            </w:rPr>
            <w:t>References………………………………………………………………………………….20</w:t>
          </w:r>
        </w:p>
        <w:p>
          <w:pPr>
            <w:pStyle w:val="26"/>
            <w:tabs>
              <w:tab w:val="right" w:leader="dot" w:pos="9016"/>
            </w:tabs>
            <w:spacing w:line="360" w:lineRule="auto"/>
            <w:jc w:val="both"/>
            <w:rPr>
              <w:rFonts w:ascii="Arial" w:cs="Arial" w:hAnsi="Arial"/>
            </w:rPr>
          </w:pPr>
          <w:r>
            <w:fldChar w:fldCharType="begin"/>
          </w:r>
          <w:r>
            <w:instrText>Hyperlink \l "_Toc222173177"</w:instrText>
          </w:r>
          <w:r>
            <w:fldChar w:fldCharType="separate"/>
          </w:r>
          <w:r>
            <w:rPr>
              <w:rFonts w:ascii="Arial" w:eastAsia="Times New Roman" w:cs="Arial" w:hAnsi="Arial"/>
              <w:b/>
              <w:bCs/>
              <w:kern w:val="36"/>
              <w:lang w:eastAsia="en-GB"/>
            </w:rPr>
            <w:t>Appendix A</w:t>
          </w:r>
          <w:r>
            <w:rPr>
              <w:rFonts w:ascii="Arial" w:cs="Arial" w:hAnsi="Arial"/>
            </w:rPr>
            <w:tab/>
          </w:r>
          <w:r>
            <w:rPr>
              <w:rFonts w:ascii="Arial" w:cs="Arial" w:hAnsi="Arial"/>
            </w:rPr>
            <w:fldChar w:fldCharType="begin"/>
          </w:r>
          <w:r>
            <w:rPr>
              <w:rFonts w:ascii="Arial" w:cs="Arial" w:hAnsi="Arial"/>
            </w:rPr>
            <w:instrText xml:space="preserve"> PAGEREF _Toc222173177 \h </w:instrText>
          </w:r>
          <w:r>
            <w:rPr>
              <w:rFonts w:ascii="Arial" w:cs="Arial" w:hAnsi="Arial"/>
            </w:rPr>
            <w:fldChar w:fldCharType="separate"/>
          </w:r>
          <w:r>
            <w:rPr>
              <w:rFonts w:ascii="Arial" w:cs="Arial" w:hAnsi="Arial"/>
            </w:rPr>
            <w:t>22</w:t>
          </w:r>
          <w:r>
            <w:rPr>
              <w:rFonts w:ascii="Arial" w:cs="Arial" w:hAnsi="Arial"/>
            </w:rPr>
            <w:fldChar w:fldCharType="end"/>
          </w:r>
          <w:r>
            <w:fldChar w:fldCharType="end"/>
          </w:r>
        </w:p>
        <w:p>
          <w:pPr>
            <w:pStyle w:val="27"/>
            <w:tabs>
              <w:tab w:val="right" w:leader="dot" w:pos="9016"/>
            </w:tabs>
            <w:spacing w:line="360" w:lineRule="auto"/>
            <w:ind w:left="0"/>
            <w:jc w:val="both"/>
            <w:rPr>
              <w:rFonts w:ascii="Arial" w:cs="Arial" w:hAnsi="Arial"/>
            </w:rPr>
          </w:pPr>
          <w:r>
            <w:fldChar w:fldCharType="begin"/>
          </w:r>
          <w:r>
            <w:instrText>Hyperlink \l "_Toc222173178"</w:instrText>
          </w:r>
          <w:r>
            <w:fldChar w:fldCharType="separate"/>
          </w:r>
          <w:r>
            <w:rPr>
              <w:rFonts w:ascii="Arial" w:eastAsia="Times New Roman" w:cs="Arial" w:hAnsi="Arial"/>
              <w:b/>
              <w:bCs/>
              <w:kern w:val="0"/>
              <w:lang w:eastAsia="en-GB"/>
            </w:rPr>
            <w:t>Strategic Alignment of STP and Marketing Mix</w:t>
          </w:r>
          <w:r>
            <w:rPr>
              <w:rFonts w:ascii="Arial" w:cs="Arial" w:hAnsi="Arial"/>
            </w:rPr>
            <w:tab/>
          </w:r>
          <w:r>
            <w:rPr>
              <w:rFonts w:ascii="Arial" w:cs="Arial" w:hAnsi="Arial"/>
            </w:rPr>
            <w:fldChar w:fldCharType="begin"/>
          </w:r>
          <w:r>
            <w:rPr>
              <w:rFonts w:ascii="Arial" w:cs="Arial" w:hAnsi="Arial"/>
            </w:rPr>
            <w:instrText xml:space="preserve"> PAGEREF _Toc222173178 \h </w:instrText>
          </w:r>
          <w:r>
            <w:rPr>
              <w:rFonts w:ascii="Arial" w:cs="Arial" w:hAnsi="Arial"/>
            </w:rPr>
            <w:fldChar w:fldCharType="separate"/>
          </w:r>
          <w:r>
            <w:rPr>
              <w:rFonts w:ascii="Arial" w:cs="Arial" w:hAnsi="Arial"/>
            </w:rPr>
            <w:t>22</w:t>
          </w:r>
          <w:r>
            <w:rPr>
              <w:rFonts w:ascii="Arial" w:cs="Arial" w:hAnsi="Arial"/>
            </w:rPr>
            <w:fldChar w:fldCharType="end"/>
          </w:r>
          <w:r>
            <w:fldChar w:fldCharType="end"/>
          </w:r>
        </w:p>
        <w:p>
          <w:pPr>
            <w:spacing w:line="360" w:lineRule="auto"/>
            <w:jc w:val="both"/>
            <w:rPr>
              <w:rFonts w:ascii="Arial" w:cs="Arial" w:hAnsi="Arial"/>
            </w:rPr>
          </w:pPr>
          <w:r>
            <w:rPr>
              <w:rFonts w:ascii="Arial" w:cs="Arial" w:hAnsi="Arial"/>
              <w:b/>
              <w:bCs/>
            </w:rPr>
            <w:fldChar w:fldCharType="end"/>
          </w:r>
        </w:p>
      </w:sdtContent>
    </w:sdt>
    <w:p>
      <w:pPr>
        <w:spacing w:line="360" w:lineRule="auto"/>
        <w:ind w:firstLine="720"/>
        <w:jc w:val="both"/>
        <w:rPr>
          <w:rFonts w:ascii="Arial" w:cs="Arial" w:hAnsi="Arial"/>
          <w:b/>
          <w:bCs/>
        </w:rPr>
      </w:pPr>
    </w:p>
    <w:p>
      <w:pPr>
        <w:spacing w:line="360" w:lineRule="auto"/>
        <w:ind w:firstLine="720"/>
        <w:jc w:val="both"/>
        <w:rPr>
          <w:rFonts w:ascii="Arial" w:cs="Arial" w:hAnsi="Arial"/>
          <w:b/>
          <w:bCs/>
        </w:rPr>
      </w:pPr>
    </w:p>
    <w:p>
      <w:pPr>
        <w:spacing w:line="360" w:lineRule="auto"/>
        <w:ind w:firstLine="720"/>
        <w:jc w:val="both"/>
        <w:rPr>
          <w:rFonts w:ascii="Arial" w:cs="Arial" w:hAnsi="Arial"/>
          <w:b/>
          <w:bCs/>
        </w:rPr>
      </w:pPr>
    </w:p>
    <w:p>
      <w:pPr>
        <w:spacing w:line="360" w:lineRule="auto"/>
        <w:jc w:val="both"/>
        <w:rPr>
          <w:rFonts w:ascii="Arial" w:cs="Arial" w:hAnsi="Arial"/>
          <w:b/>
          <w:bCs/>
        </w:rPr>
      </w:pPr>
    </w:p>
    <w:p>
      <w:pPr>
        <w:spacing w:line="360" w:lineRule="auto"/>
        <w:jc w:val="both"/>
        <w:rPr>
          <w:rFonts w:ascii="Arial" w:cs="Arial" w:hAnsi="Arial"/>
          <w:b/>
          <w:bCs/>
        </w:rPr>
      </w:pPr>
    </w:p>
    <w:p>
      <w:pPr>
        <w:spacing w:line="360" w:lineRule="auto"/>
        <w:ind w:firstLine="720"/>
        <w:jc w:val="both"/>
        <w:rPr>
          <w:rFonts w:ascii="Arial" w:cs="Arial" w:hAnsi="Arial"/>
          <w:b/>
          <w:bCs/>
        </w:rPr>
      </w:pPr>
    </w:p>
    <w:p>
      <w:pPr>
        <w:spacing w:line="360" w:lineRule="auto"/>
        <w:ind w:firstLine="720"/>
        <w:jc w:val="both"/>
        <w:rPr>
          <w:rFonts w:ascii="Arial" w:cs="Arial" w:hAnsi="Arial"/>
          <w:b/>
          <w:bCs/>
        </w:rPr>
      </w:pPr>
    </w:p>
    <w:p>
      <w:pPr>
        <w:spacing w:line="360" w:lineRule="auto"/>
        <w:ind w:firstLine="720"/>
        <w:jc w:val="both"/>
        <w:rPr>
          <w:rFonts w:ascii="Arial" w:cs="Arial" w:hAnsi="Arial"/>
          <w:b/>
          <w:bCs/>
        </w:rPr>
      </w:pPr>
    </w:p>
    <w:p>
      <w:pPr>
        <w:spacing w:line="360" w:lineRule="auto"/>
        <w:ind w:firstLine="720"/>
        <w:jc w:val="both"/>
        <w:rPr>
          <w:rFonts w:ascii="Arial" w:cs="Arial" w:hAnsi="Arial"/>
          <w:b/>
          <w:bCs/>
        </w:rPr>
      </w:pPr>
    </w:p>
    <w:p>
      <w:pPr>
        <w:spacing w:line="360" w:lineRule="auto"/>
        <w:jc w:val="both"/>
        <w:rPr>
          <w:rFonts w:ascii="Arial" w:cs="Arial" w:hAnsi="Arial"/>
          <w:b/>
          <w:bCs/>
        </w:rPr>
      </w:pPr>
    </w:p>
    <w:p>
      <w:pPr>
        <w:spacing w:line="240" w:lineRule="auto"/>
        <w:jc w:val="both"/>
        <w:rPr>
          <w:rFonts w:ascii="Arial" w:eastAsia="Times New Roman" w:cs="Arial" w:hAnsi="Arial"/>
          <w:b/>
          <w:bCs/>
          <w:kern w:val="36"/>
          <w:lang w:eastAsia="en-GB"/>
        </w:rPr>
      </w:pPr>
      <w:r>
        <w:rPr>
          <w:rFonts w:ascii="Arial" w:eastAsia="Times New Roman" w:cs="Arial" w:hAnsi="Arial"/>
          <w:b/>
          <w:bCs/>
          <w:kern w:val="36"/>
          <w:lang w:eastAsia="en-GB"/>
        </w:rPr>
        <w:t>Introduction</w:t>
      </w:r>
    </w:p>
    <w:p>
      <w:pPr>
        <w:spacing w:line="240" w:lineRule="auto"/>
        <w:jc w:val="both"/>
        <w:rPr>
          <w:rFonts w:ascii="Arial" w:eastAsia="Times New Roman" w:cs="Arial" w:hAnsi="Arial"/>
          <w:kern w:val="36"/>
          <w:lang w:eastAsia="en-GB"/>
        </w:rPr>
      </w:pPr>
      <w:r>
        <w:rPr>
          <w:rFonts w:ascii="Arial" w:eastAsia="Times New Roman" w:cs="Arial" w:hAnsi="Arial"/>
          <w:kern w:val="36"/>
          <w:lang w:eastAsia="en-GB"/>
        </w:rPr>
        <w:t>Tesco PLC is the largest grocery retailer in the United Kingdom, operating in the highly competitive food and general merchandise retail sector. Established in 1919, Tesco has evolved from a market stall into a dominant multichannel retailer serving millions of customers weekly through hypermarkets, superstores, convenience outlets, and digital platforms (Tesco PLC, 2024). The UK grocery market is characterised by intense price competition, increasing private-label penetration, rising supply chain and labour costs, and expanding discount competitors such as Aldi UK and Lidl (Mintel, 2024; Euromonitor, 2024).</w:t>
      </w:r>
    </w:p>
    <w:p>
      <w:pPr>
        <w:spacing w:line="240" w:lineRule="auto"/>
        <w:jc w:val="both"/>
        <w:rPr>
          <w:rFonts w:ascii="Arial" w:eastAsia="Times New Roman" w:cs="Arial" w:hAnsi="Arial"/>
          <w:kern w:val="36"/>
          <w:lang w:eastAsia="en-GB"/>
        </w:rPr>
      </w:pPr>
      <w:r>
        <w:rPr>
          <w:rFonts w:ascii="Arial" w:eastAsia="Times New Roman" w:cs="Arial" w:hAnsi="Arial"/>
          <w:kern w:val="36"/>
          <w:lang w:eastAsia="en-GB"/>
        </w:rPr>
        <w:t>Tesco maintains market leadership through economies of scale, supply chain optimisation, and data-driven customer insights generated via its Clubcard loyalty programme (Johnson, Scholes and Whittington, 2020). These advantages support cost efficiency and personalised marketing initiatives. However, market saturation and margin pressure have intensified rivalry, making sustained competitive advantage more challenging. Porter (1985) argues firms must adopt a clear strategic position—cost leadership or differentiation—to avoid being “stuck in the middle.” Tesco’s broad market coverage and tiered product architecture suggest a hybrid strategy that requires careful management to avoid brand dilution or inconsistency.</w:t>
      </w:r>
    </w:p>
    <w:p>
      <w:pPr>
        <w:spacing w:line="240" w:lineRule="auto"/>
        <w:jc w:val="both"/>
        <w:rPr>
          <w:rFonts w:ascii="Arial" w:eastAsia="Times New Roman" w:cs="Arial" w:hAnsi="Arial"/>
          <w:kern w:val="36"/>
          <w:lang w:eastAsia="en-GB"/>
        </w:rPr>
      </w:pPr>
      <w:r>
        <w:rPr>
          <w:rFonts w:ascii="Arial" w:cs="Arial" w:hAnsi="Arial"/>
        </w:rPr>
        <w:drawing>
          <wp:anchor distT="0" distB="0" distL="114300" distR="114300" simplePos="0" relativeHeight="26" behindDoc="1" locked="0" layoutInCell="1" hidden="0" allowOverlap="1">
            <wp:simplePos x="0" y="0"/>
            <wp:positionH relativeFrom="column">
              <wp:posOffset>472440</wp:posOffset>
            </wp:positionH>
            <wp:positionV relativeFrom="paragraph">
              <wp:posOffset>737870</wp:posOffset>
            </wp:positionV>
            <wp:extent cx="4770119" cy="3086100"/>
            <wp:effectExtent l="0" t="0" r="0" b="0"/>
            <wp:wrapTopAndBottom/>
            <wp:docPr id="4" name="Images 4" descr="A diagram of a business strategy  Description automatically generated with medium confidence"/>
            <wp:cNvGraphicFramePr>
              <a:graphicFrameLocks noChangeAspect="1"/>
            </wp:cNvGraphicFramePr>
            <a:graphic>
              <a:graphicData uri="http://schemas.openxmlformats.org/drawingml/2006/picture">
                <pic:pic>
                  <pic:nvPicPr>
                    <pic:cNvPr id="6" name="Images 6"/>
                    <pic:cNvPicPr/>
                  </pic:nvPicPr>
                  <pic:blipFill>
                    <a:blip r:embed="rId4"/>
                    <a:stretch>
                      <a:fillRect/>
                    </a:stretch>
                  </pic:blipFill>
                  <pic:spPr>
                    <a:xfrm rot="0">
                      <a:off x="0" y="0"/>
                      <a:ext cx="4770119" cy="3086100"/>
                    </a:xfrm>
                    <a:prstGeom prst="rect"/>
                    <a:noFill/>
                    <a:ln w="12700" cmpd="sng" cap="flat">
                      <a:noFill/>
                      <a:prstDash val="solid"/>
                      <a:miter/>
                    </a:ln>
                  </pic:spPr>
                </pic:pic>
              </a:graphicData>
            </a:graphic>
          </wp:anchor>
        </w:drawing>
      </w:r>
      <w:r>
        <w:rPr>
          <w:rFonts w:ascii="Arial" w:eastAsia="Times New Roman" w:cs="Arial" w:hAnsi="Arial"/>
          <w:kern w:val="36"/>
          <w:lang w:eastAsia="en-GB"/>
        </w:rPr>
        <w:t>Within this context, segmentation, targeting and positioning (STP) strategies are central to Tesco’s long-term competitiveness.</w:t>
      </w:r>
    </w:p>
    <w:p>
      <w:pPr>
        <w:spacing w:before="100" w:beforeAutospacing="1" w:after="100" w:afterAutospacing="1" w:line="240" w:lineRule="auto"/>
        <w:jc w:val="both"/>
        <w:rPr>
          <w:rFonts w:ascii="Arial" w:cs="Arial" w:hAnsi="Arial"/>
        </w:rPr>
      </w:pPr>
    </w:p>
    <w:p>
      <w:pPr>
        <w:spacing w:before="100" w:beforeAutospacing="1" w:after="100" w:afterAutospacing="1" w:line="240" w:lineRule="auto"/>
        <w:jc w:val="both"/>
        <w:rPr>
          <w:rFonts w:ascii="Arial" w:cs="Arial" w:hAnsi="Arial"/>
        </w:rPr>
      </w:pPr>
      <w:r>
        <w:rPr>
          <w:rFonts w:ascii="Arial" w:cs="Arial" w:hAnsi="Arial"/>
          <w:b/>
          <w:bCs/>
        </w:rPr>
        <w:t>Figure 1: Segmentation, Targeting and Positioning (STP) Framework</w:t>
      </w:r>
      <w:r>
        <w:rPr>
          <w:rFonts w:ascii="Arial" w:cs="Arial" w:hAnsi="Arial"/>
        </w:rPr>
        <w:br/>
      </w:r>
      <w:r>
        <w:rPr>
          <w:rFonts w:ascii="Arial" w:cs="Arial" w:hAnsi="Arial"/>
          <w:b/>
          <w:bCs/>
        </w:rPr>
        <w:t>Source:</w:t>
      </w:r>
      <w:r>
        <w:rPr>
          <w:rFonts w:ascii="Arial" w:cs="Arial" w:hAnsi="Arial"/>
        </w:rPr>
        <w:t xml:space="preserve"> Adapted from Kotler and Keller (2016)</w:t>
      </w:r>
    </w:p>
    <w:p>
      <w:pPr>
        <w:spacing w:before="100" w:beforeAutospacing="1" w:after="100" w:afterAutospacing="1" w:line="240" w:lineRule="auto"/>
        <w:jc w:val="both"/>
        <w:outlineLvl w:val="0"/>
        <w:rPr>
          <w:rFonts w:ascii="Arial" w:cs="Arial" w:hAnsi="Arial"/>
        </w:rPr>
      </w:pPr>
      <w:bookmarkStart w:id="1" w:name="_Toc222173147"/>
      <w:r>
        <w:rPr>
          <w:rFonts w:ascii="Arial" w:cs="Arial" w:hAnsi="Arial"/>
          <w:b/>
          <w:bCs/>
        </w:rPr>
        <w:t>As illustrated in Figure 1</w:t>
      </w:r>
      <w:r>
        <w:rPr>
          <w:rFonts w:ascii="Arial" w:cs="Arial" w:hAnsi="Arial"/>
        </w:rPr>
        <w:t>, the STP framework represents the strategic process through which organisations identify market segments, select target customers, and develop a distinctive market position. Effective segmentation identifies consumer groups with distinct needs, while targeting and positioning enable efficient resource allocation and customer value creation (Dibb and Simkin, 2018; Kotler and Keller, 2016). Aligning STP decisions with the marketing mix (4Ps) is also essential for strategic coherence and performance sustainability.</w:t>
      </w:r>
    </w:p>
    <w:p>
      <w:pPr>
        <w:spacing w:before="100" w:beforeAutospacing="1" w:after="100" w:afterAutospacing="1" w:line="240" w:lineRule="auto"/>
        <w:jc w:val="both"/>
        <w:outlineLvl w:val="0"/>
        <w:rPr>
          <w:rFonts w:ascii="Arial" w:cs="Arial" w:hAnsi="Arial"/>
        </w:rPr>
      </w:pPr>
      <w:r>
        <w:rPr>
          <w:rFonts w:ascii="Arial" w:cs="Arial" w:hAnsi="Arial"/>
        </w:rPr>
        <w:t>This report critically evaluates Tesco’s current STP strategies and marketing mix decisions. The analysis applies key academic frameworks, including Dibb and Simkin’s (2018) segmentation theory, Kotler and Keller’s (2016) STP model, Porter’s (1985) competitive strategy framework, and Keller and Swaminathan’s (2020) brand equity model, to assess the effectiveness and long-term sustainability of Tesco’s marketing strategy within the UK retail environment.</w:t>
      </w:r>
    </w:p>
    <w:p>
      <w:pPr>
        <w:spacing w:before="100" w:beforeAutospacing="1" w:after="100" w:afterAutospacing="1" w:line="240" w:lineRule="auto"/>
        <w:jc w:val="both"/>
        <w:outlineLvl w:val="0"/>
        <w:rPr>
          <w:rFonts w:ascii="Arial" w:cs="Arial" w:hAnsi="Arial"/>
          <w:b/>
          <w:bCs/>
        </w:rPr>
      </w:pPr>
      <w:r>
        <w:rPr>
          <w:rFonts w:ascii="Arial" w:cs="Arial" w:hAnsi="Arial"/>
          <w:b/>
          <w:bCs/>
        </w:rPr>
        <w:t>Segmentation Analysis</w:t>
      </w:r>
    </w:p>
    <w:p>
      <w:pPr>
        <w:spacing w:before="100" w:beforeAutospacing="1" w:after="100" w:afterAutospacing="1" w:line="240" w:lineRule="auto"/>
        <w:jc w:val="both"/>
        <w:outlineLvl w:val="0"/>
        <w:rPr>
          <w:rFonts w:ascii="Arial" w:cs="Arial" w:hAnsi="Arial"/>
          <w:b/>
          <w:bCs/>
        </w:rPr>
      </w:pPr>
      <w:r>
        <w:rPr>
          <w:rFonts w:ascii="Arial" w:cs="Arial" w:hAnsi="Arial"/>
          <w:b/>
          <w:bCs/>
        </w:rPr>
        <w:t>Theoretical Framework</w:t>
      </w:r>
    </w:p>
    <w:p>
      <w:pPr>
        <w:spacing w:before="100" w:beforeAutospacing="1" w:after="100" w:afterAutospacing="1" w:line="240" w:lineRule="auto"/>
        <w:jc w:val="both"/>
        <w:outlineLvl w:val="0"/>
        <w:rPr>
          <w:rFonts w:ascii="Arial" w:cs="Arial" w:hAnsi="Arial"/>
        </w:rPr>
      </w:pPr>
      <w:r>
        <w:rPr>
          <w:rFonts w:ascii="Arial" w:cs="Arial" w:hAnsi="Arial"/>
        </w:rPr>
        <w:t xml:space="preserve">Market segmentation involves dividing a heterogeneous market into distinct groups based on shared characteristics, needs, or behaviours to enhance marketing effectiveness (Dibb and Simkin, 2018). Effective segmentation must satisfy key criteria, including measurability, accessibility, substantiality, differentiability, and actionability (Kotler and Armstrong, 2020). </w:t>
      </w:r>
    </w:p>
    <w:p>
      <w:pPr>
        <w:spacing w:before="100" w:beforeAutospacing="1" w:after="100" w:afterAutospacing="1" w:line="240" w:lineRule="auto"/>
        <w:jc w:val="both"/>
        <w:outlineLvl w:val="0"/>
        <w:rPr>
          <w:rFonts w:ascii="Arial" w:cs="Arial" w:hAnsi="Arial"/>
        </w:rPr>
      </w:pPr>
      <w:r>
        <w:rPr>
          <w:rFonts w:ascii="Arial" w:cs="Arial" w:hAnsi="Arial"/>
        </w:rPr>
        <w:drawing>
          <wp:inline distT="0" distB="0" distL="0" distR="0">
            <wp:extent cx="5731510" cy="3819525"/>
            <wp:effectExtent l="0" t="0" r="0" b="0"/>
            <wp:docPr id="7" name="Images 7" descr="The five common types of market segmentation include demographic, psychographic, behavioral, geographic, and firmographic segmentation."/>
            <wp:cNvGraphicFramePr>
              <a:graphicFrameLocks noChangeAspect="1"/>
            </wp:cNvGraphicFramePr>
            <a:graphic>
              <a:graphicData uri="http://schemas.openxmlformats.org/drawingml/2006/picture">
                <pic:pic>
                  <pic:nvPicPr>
                    <pic:cNvPr id="9" name="Images 9"/>
                    <pic:cNvPicPr/>
                  </pic:nvPicPr>
                  <pic:blipFill>
                    <a:blip r:embed="rId5"/>
                    <a:stretch>
                      <a:fillRect/>
                    </a:stretch>
                  </pic:blipFill>
                  <pic:spPr>
                    <a:xfrm rot="0">
                      <a:off x="0" y="0"/>
                      <a:ext cx="5731510" cy="3819525"/>
                    </a:xfrm>
                    <a:prstGeom prst="rect"/>
                    <a:noFill/>
                    <a:ln w="12700" cmpd="sng" cap="flat">
                      <a:noFill/>
                      <a:prstDash val="solid"/>
                      <a:round/>
                    </a:ln>
                  </pic:spPr>
                </pic:pic>
              </a:graphicData>
            </a:graphic>
          </wp:inline>
        </w:drawing>
      </w:r>
    </w:p>
    <w:p>
      <w:pPr>
        <w:spacing w:before="100" w:beforeAutospacing="1" w:after="100" w:afterAutospacing="1" w:line="240" w:lineRule="auto"/>
        <w:jc w:val="both"/>
        <w:outlineLvl w:val="0"/>
        <w:rPr>
          <w:rFonts w:ascii="Arial" w:cs="Arial" w:hAnsi="Arial"/>
        </w:rPr>
      </w:pPr>
    </w:p>
    <w:p>
      <w:pPr>
        <w:spacing w:before="100" w:beforeAutospacing="1" w:after="100" w:afterAutospacing="1" w:line="240" w:lineRule="auto"/>
        <w:outlineLvl w:val="0"/>
        <w:rPr>
          <w:rFonts w:ascii="Arial" w:cs="Arial" w:hAnsi="Arial"/>
        </w:rPr>
      </w:pPr>
      <w:r>
        <w:rPr>
          <w:rFonts w:ascii="Arial" w:cs="Arial" w:hAnsi="Arial"/>
          <w:b/>
          <w:bCs/>
        </w:rPr>
        <w:t>Figure 2: Bases of Market Segmentation</w:t>
      </w:r>
      <w:r>
        <w:rPr>
          <w:rFonts w:ascii="Arial" w:cs="Arial" w:hAnsi="Arial"/>
        </w:rPr>
        <w:br/>
      </w:r>
      <w:r>
        <w:rPr>
          <w:rFonts w:ascii="Arial" w:cs="Arial" w:hAnsi="Arial"/>
          <w:b/>
          <w:bCs/>
        </w:rPr>
        <w:t>Source:</w:t>
      </w:r>
      <w:r>
        <w:rPr>
          <w:rFonts w:ascii="Arial" w:cs="Arial" w:hAnsi="Arial"/>
        </w:rPr>
        <w:t xml:space="preserve"> Adapted from Kotler and Armstrong (2020)</w:t>
      </w:r>
    </w:p>
    <w:p>
      <w:pPr>
        <w:spacing w:before="100" w:beforeAutospacing="1" w:after="100" w:afterAutospacing="1" w:line="240" w:lineRule="auto"/>
        <w:jc w:val="both"/>
        <w:outlineLvl w:val="0"/>
        <w:rPr>
          <w:rFonts w:ascii="Arial" w:cs="Arial" w:hAnsi="Arial"/>
        </w:rPr>
      </w:pPr>
      <w:r>
        <w:rPr>
          <w:rFonts w:ascii="Arial" w:cs="Arial" w:hAnsi="Arial"/>
        </w:rPr>
        <w:t xml:space="preserve">As illustrated in </w:t>
      </w:r>
      <w:r>
        <w:rPr>
          <w:rFonts w:ascii="Arial" w:cs="Arial" w:hAnsi="Arial"/>
          <w:b/>
          <w:bCs/>
        </w:rPr>
        <w:t>Figure 2</w:t>
      </w:r>
      <w:r>
        <w:rPr>
          <w:rFonts w:ascii="Arial" w:cs="Arial" w:hAnsi="Arial"/>
        </w:rPr>
        <w:t>, segmentation typically incorporates demographic, geographic, psychographic, and behavioural variables.</w:t>
      </w:r>
    </w:p>
    <w:p>
      <w:pPr>
        <w:spacing w:before="100" w:beforeAutospacing="1" w:after="100" w:afterAutospacing="1" w:line="240" w:lineRule="auto"/>
        <w:jc w:val="both"/>
        <w:outlineLvl w:val="0"/>
        <w:rPr>
          <w:rFonts w:ascii="Arial" w:cs="Arial" w:hAnsi="Arial"/>
        </w:rPr>
      </w:pPr>
      <w:r>
        <w:rPr>
          <w:rFonts w:ascii="Arial" w:cs="Arial" w:hAnsi="Arial"/>
        </w:rPr>
        <w:t xml:space="preserve">In highly competitive markets such as UK grocery retailing, segmentation is a strategic necessity rather than a purely tactical exercise (Hooley, Piercy and Nicoulaud, 2020). Tesco adopts a </w:t>
      </w:r>
      <w:r>
        <w:rPr>
          <w:rFonts w:ascii="Arial" w:cs="Arial" w:hAnsi="Arial"/>
          <w:b/>
          <w:bCs/>
        </w:rPr>
        <w:t>multi-dimensional segmentation strategy</w:t>
      </w:r>
      <w:r>
        <w:rPr>
          <w:rFonts w:ascii="Arial" w:cs="Arial" w:hAnsi="Arial"/>
        </w:rPr>
        <w:t>, enabled by data analytics to achieve granular customer profiling (Chaffey and Ellis-Chadwick, 2019). However, while this enhances market coverage, it also introduces strategic complexity and risks weakening brand coherence.</w:t>
      </w:r>
    </w:p>
    <w:p>
      <w:pPr>
        <w:spacing w:before="100" w:beforeAutospacing="1" w:after="100" w:afterAutospacing="1" w:line="240" w:lineRule="auto"/>
        <w:jc w:val="both"/>
        <w:outlineLvl w:val="0"/>
        <w:rPr>
          <w:rFonts w:ascii="Arial" w:cs="Arial" w:hAnsi="Arial"/>
          <w:b/>
          <w:bCs/>
        </w:rPr>
      </w:pPr>
      <w:r>
        <w:rPr>
          <w:rFonts w:ascii="Arial" w:cs="Arial" w:hAnsi="Arial"/>
          <w:b/>
          <w:bCs/>
        </w:rPr>
        <w:t>Demographic Segmentation</w:t>
      </w:r>
    </w:p>
    <w:p>
      <w:pPr>
        <w:spacing w:before="100" w:beforeAutospacing="1" w:after="100" w:afterAutospacing="1" w:line="240" w:lineRule="auto"/>
        <w:jc w:val="both"/>
        <w:outlineLvl w:val="0"/>
        <w:rPr>
          <w:rFonts w:ascii="Arial" w:cs="Arial" w:hAnsi="Arial"/>
        </w:rPr>
      </w:pPr>
      <w:r>
        <w:rPr>
          <w:rFonts w:ascii="Arial" w:cs="Arial" w:hAnsi="Arial"/>
        </w:rPr>
        <w:t>Demographic segmentation classifies consumers based on income, age, and household characteristics (Lamb, Hair and McDaniel, 2020). In grocery retailing, income is particularly significant due to price sensitivity.</w:t>
      </w:r>
    </w:p>
    <w:p>
      <w:pPr>
        <w:spacing w:before="100" w:beforeAutospacing="1" w:after="100" w:afterAutospacing="1" w:line="240" w:lineRule="auto"/>
        <w:jc w:val="both"/>
        <w:outlineLvl w:val="0"/>
        <w:rPr>
          <w:rFonts w:ascii="Arial" w:cs="Arial" w:hAnsi="Arial"/>
        </w:rPr>
      </w:pPr>
      <w:r>
        <w:rPr>
          <w:rFonts w:ascii="Arial" w:cs="Arial" w:hAnsi="Arial"/>
        </w:rPr>
        <w:t>Tesco implements demographic segmentation through a clearly structured private-label hierarchy, comprising its Value, Core, and Finest ranges, each targeting distinct income groups. This enables the company to serve both price-sensitive consumers and premium-oriented shoppers simultaneously.</w:t>
      </w:r>
    </w:p>
    <w:p>
      <w:pPr>
        <w:spacing w:before="100" w:beforeAutospacing="1" w:after="100" w:afterAutospacing="1" w:line="240" w:lineRule="auto"/>
        <w:jc w:val="both"/>
        <w:outlineLvl w:val="0"/>
        <w:rPr>
          <w:rFonts w:ascii="Arial" w:cs="Arial" w:hAnsi="Arial"/>
        </w:rPr>
      </w:pPr>
      <w:r>
        <w:rPr>
          <w:rFonts w:ascii="Arial" w:cs="Arial" w:hAnsi="Arial"/>
        </w:rPr>
        <w:t>Strategically, this approach demonstrates Tesco’s use of differentiated market coverage to maximise reach while maintaining competitive advantage within a saturated retail environment (Wilson and Gilligan, 2019). However, a key limitation is the potential dilution of brand identity, as operating across both low-cost and premium segments may weaken the perceived exclusivity of higher-end products (Keller and Swaminathan, 2020).</w:t>
      </w:r>
    </w:p>
    <w:p>
      <w:pPr>
        <w:spacing w:before="100" w:beforeAutospacing="1" w:after="100" w:afterAutospacing="1" w:line="240" w:lineRule="auto"/>
        <w:jc w:val="both"/>
        <w:outlineLvl w:val="0"/>
        <w:rPr>
          <w:rFonts w:ascii="Arial" w:cs="Arial" w:hAnsi="Arial"/>
        </w:rPr>
      </w:pPr>
      <w:r>
        <w:rPr>
          <w:rFonts w:ascii="Arial" w:cs="Arial" w:hAnsi="Arial"/>
        </w:rPr>
        <w:t>This reflects a broader strategic challenge identified by Porter (1985), where combining cost leadership and differentiation can create positioning ambiguity if not carefully managed.</w:t>
      </w:r>
    </w:p>
    <w:p>
      <w:pPr>
        <w:spacing w:before="100" w:beforeAutospacing="1" w:after="100" w:afterAutospacing="1" w:line="240" w:lineRule="auto"/>
        <w:jc w:val="both"/>
        <w:outlineLvl w:val="0"/>
        <w:rPr>
          <w:rFonts w:ascii="Arial" w:cs="Arial" w:hAnsi="Arial"/>
          <w:b/>
          <w:bCs/>
        </w:rPr>
      </w:pPr>
      <w:r>
        <w:rPr>
          <w:rFonts w:ascii="Arial" w:cs="Arial" w:hAnsi="Arial"/>
          <w:b/>
          <w:bCs/>
        </w:rPr>
        <w:t>Geographic Segmentation</w:t>
      </w:r>
    </w:p>
    <w:p>
      <w:pPr>
        <w:spacing w:before="100" w:beforeAutospacing="1" w:after="100" w:afterAutospacing="1" w:line="240" w:lineRule="auto"/>
        <w:jc w:val="both"/>
        <w:outlineLvl w:val="0"/>
        <w:rPr>
          <w:rFonts w:ascii="Arial" w:cs="Arial" w:hAnsi="Arial"/>
        </w:rPr>
      </w:pPr>
      <w:r>
        <w:rPr>
          <w:rFonts w:ascii="Arial" w:cs="Arial" w:hAnsi="Arial"/>
        </w:rPr>
        <w:t xml:space="preserve">Geographic segmentation divides markets based on location and population density (Blythe and Martin, 2019). Tesco adopts a </w:t>
      </w:r>
      <w:r>
        <w:rPr>
          <w:rFonts w:ascii="Arial" w:cs="Arial" w:hAnsi="Arial"/>
          <w:b/>
          <w:bCs/>
        </w:rPr>
        <w:t>format-based strategy</w:t>
      </w:r>
      <w:r>
        <w:rPr>
          <w:rFonts w:ascii="Arial" w:cs="Arial" w:hAnsi="Arial"/>
        </w:rPr>
        <w:t xml:space="preserve">, as illustrated in </w:t>
      </w:r>
      <w:r>
        <w:rPr>
          <w:rFonts w:ascii="Arial" w:cs="Arial" w:hAnsi="Arial"/>
          <w:b/>
          <w:bCs/>
        </w:rPr>
        <w:t>Figure 3</w:t>
      </w:r>
      <w:r>
        <w:rPr>
          <w:rFonts w:ascii="Arial" w:cs="Arial" w:hAnsi="Arial"/>
        </w:rPr>
        <w:t>:</w:t>
      </w:r>
      <w:r>
        <w:rPr>
          <w:rFonts w:ascii="Arial" w:eastAsia="Times New Roman" w:cs="Arial" w:hAnsi="Arial"/>
          <w:kern w:val="0"/>
          <w:lang w:eastAsia="en-GB"/>
        </w:rPr>
        <w:t xml:space="preserve"> </w:t>
      </w:r>
    </w:p>
    <w:p>
      <w:pPr>
        <w:spacing w:before="100" w:beforeAutospacing="1" w:after="100" w:afterAutospacing="1" w:line="240" w:lineRule="auto"/>
        <w:jc w:val="both"/>
        <w:outlineLvl w:val="0"/>
        <w:rPr>
          <w:rFonts w:ascii="Arial" w:cs="Arial" w:hAnsi="Arial"/>
        </w:rPr>
      </w:pPr>
      <w:r>
        <w:rPr>
          <w:rFonts w:ascii="Arial" w:eastAsia="Times New Roman" w:cs="Arial" w:hAnsi="Arial"/>
          <w:kern w:val="0"/>
          <w:lang w:eastAsia="en-GB"/>
        </w:rPr>
        <w:drawing>
          <wp:inline distT="0" distB="0" distL="0" distR="0">
            <wp:extent cx="4701540" cy="2836545"/>
            <wp:effectExtent l="0" t="0" r="0" b="0"/>
            <wp:docPr id="10" name="Images 10" descr="to want an aisle layout of my local supermarket? | Mumsnet"/>
            <wp:cNvGraphicFramePr>
              <a:graphicFrameLocks noChangeAspect="1"/>
            </wp:cNvGraphicFramePr>
            <a:graphic>
              <a:graphicData uri="http://schemas.openxmlformats.org/drawingml/2006/picture">
                <pic:pic>
                  <pic:nvPicPr>
                    <pic:cNvPr id="12" name="Images 12"/>
                    <pic:cNvPicPr/>
                  </pic:nvPicPr>
                  <pic:blipFill>
                    <a:blip r:embed="rId6"/>
                    <a:stretch>
                      <a:fillRect/>
                    </a:stretch>
                  </pic:blipFill>
                  <pic:spPr>
                    <a:xfrm rot="0">
                      <a:off x="0" y="0"/>
                      <a:ext cx="4701540" cy="2836545"/>
                    </a:xfrm>
                    <a:prstGeom prst="rect"/>
                    <a:noFill/>
                    <a:ln w="12700" cmpd="sng" cap="flat">
                      <a:noFill/>
                      <a:prstDash val="solid"/>
                      <a:round/>
                    </a:ln>
                  </pic:spPr>
                </pic:pic>
              </a:graphicData>
            </a:graphic>
          </wp:inline>
        </w:drawing>
      </w:r>
    </w:p>
    <w:p>
      <w:pPr>
        <w:spacing w:before="100" w:beforeAutospacing="1" w:after="100" w:afterAutospacing="1" w:line="240" w:lineRule="auto"/>
        <w:jc w:val="both"/>
        <w:outlineLvl w:val="0"/>
        <w:rPr>
          <w:rFonts w:ascii="Arial" w:cs="Arial" w:hAnsi="Arial"/>
        </w:rPr>
      </w:pPr>
      <w:r>
        <w:rPr>
          <w:rFonts w:ascii="Arial" w:cs="Arial" w:hAnsi="Arial"/>
          <w:b/>
          <w:bCs/>
        </w:rPr>
        <w:t>Figure 3: Tesco Store Format Strategy (Extra, Superstore, Express, Online)</w:t>
      </w:r>
      <w:r>
        <w:rPr>
          <w:rFonts w:ascii="Arial" w:cs="Arial" w:hAnsi="Arial"/>
        </w:rPr>
        <w:br/>
      </w:r>
      <w:r>
        <w:rPr>
          <w:rFonts w:ascii="Arial" w:cs="Arial" w:hAnsi="Arial"/>
          <w:b/>
          <w:bCs/>
        </w:rPr>
        <w:t>Source:</w:t>
      </w:r>
      <w:r>
        <w:rPr>
          <w:rFonts w:ascii="Arial" w:cs="Arial" w:hAnsi="Arial"/>
        </w:rPr>
        <w:t xml:space="preserve"> Adapted from Tesco PLC (2024) and publicly available store format documentation</w:t>
      </w:r>
    </w:p>
    <w:p>
      <w:pPr>
        <w:spacing w:before="100" w:beforeAutospacing="1" w:after="100" w:afterAutospacing="1" w:line="240" w:lineRule="auto"/>
        <w:jc w:val="both"/>
        <w:outlineLvl w:val="0"/>
        <w:rPr>
          <w:rFonts w:ascii="Arial" w:cs="Arial" w:hAnsi="Arial"/>
        </w:rPr>
      </w:pPr>
    </w:p>
    <w:p>
      <w:pPr>
        <w:numPr>
          <w:ilvl w:val="0"/>
          <w:numId w:val="1"/>
        </w:numPr>
        <w:spacing w:before="100" w:beforeAutospacing="1" w:after="100" w:afterAutospacing="1" w:line="240" w:lineRule="auto"/>
        <w:jc w:val="both"/>
        <w:outlineLvl w:val="0"/>
        <w:rPr>
          <w:rFonts w:ascii="Arial" w:cs="Arial" w:hAnsi="Arial"/>
        </w:rPr>
      </w:pPr>
      <w:r>
        <w:rPr>
          <w:rFonts w:ascii="Arial" w:cs="Arial" w:hAnsi="Arial"/>
        </w:rPr>
        <w:t>Tesco Extra (suburban hypermarkets)</w:t>
      </w:r>
    </w:p>
    <w:p>
      <w:pPr>
        <w:numPr>
          <w:ilvl w:val="0"/>
          <w:numId w:val="1"/>
        </w:numPr>
        <w:spacing w:before="100" w:beforeAutospacing="1" w:after="100" w:afterAutospacing="1" w:line="240" w:lineRule="auto"/>
        <w:jc w:val="both"/>
        <w:outlineLvl w:val="0"/>
        <w:rPr>
          <w:rFonts w:ascii="Arial" w:cs="Arial" w:hAnsi="Arial"/>
        </w:rPr>
      </w:pPr>
      <w:r>
        <w:rPr>
          <w:rFonts w:ascii="Arial" w:cs="Arial" w:hAnsi="Arial"/>
        </w:rPr>
        <w:t>Superstores (weekly shopping)</w:t>
      </w:r>
    </w:p>
    <w:p>
      <w:pPr>
        <w:numPr>
          <w:ilvl w:val="0"/>
          <w:numId w:val="1"/>
        </w:numPr>
        <w:spacing w:before="100" w:beforeAutospacing="1" w:after="100" w:afterAutospacing="1" w:line="240" w:lineRule="auto"/>
        <w:jc w:val="both"/>
        <w:outlineLvl w:val="0"/>
        <w:rPr>
          <w:rFonts w:ascii="Arial" w:cs="Arial" w:hAnsi="Arial"/>
        </w:rPr>
      </w:pPr>
      <w:r>
        <w:rPr>
          <w:rFonts w:ascii="Arial" w:cs="Arial" w:hAnsi="Arial"/>
        </w:rPr>
        <w:t>Tesco Express (urban convenience)</w:t>
      </w:r>
    </w:p>
    <w:p>
      <w:pPr>
        <w:numPr>
          <w:ilvl w:val="0"/>
          <w:numId w:val="1"/>
        </w:numPr>
        <w:spacing w:before="100" w:beforeAutospacing="1" w:after="100" w:afterAutospacing="1" w:line="240" w:lineRule="auto"/>
        <w:jc w:val="both"/>
        <w:outlineLvl w:val="0"/>
        <w:rPr>
          <w:rFonts w:ascii="Arial" w:cs="Arial" w:hAnsi="Arial"/>
        </w:rPr>
      </w:pPr>
      <w:r>
        <w:rPr>
          <w:rFonts w:ascii="Arial" w:cs="Arial" w:hAnsi="Arial"/>
        </w:rPr>
        <w:t>Online platforms (national accessibility)</w:t>
      </w:r>
    </w:p>
    <w:p>
      <w:pPr>
        <w:spacing w:before="100" w:beforeAutospacing="1" w:after="100" w:afterAutospacing="1" w:line="240" w:lineRule="auto"/>
        <w:jc w:val="both"/>
        <w:outlineLvl w:val="0"/>
        <w:rPr>
          <w:rFonts w:ascii="Arial" w:cs="Arial" w:hAnsi="Arial"/>
        </w:rPr>
      </w:pPr>
      <w:r>
        <w:rPr>
          <w:rFonts w:ascii="Arial" w:cs="Arial" w:hAnsi="Arial"/>
        </w:rPr>
        <w:t>This reflects an intensive distribution strategy aimed at maximising accessibility (Kent, 2022). Omnichannel integration further enhances convenience (Chaffey and Ellis-Chadwick, 2019).</w:t>
      </w:r>
    </w:p>
    <w:p>
      <w:pPr>
        <w:spacing w:before="100" w:beforeAutospacing="1" w:after="100" w:afterAutospacing="1" w:line="240" w:lineRule="auto"/>
        <w:jc w:val="both"/>
        <w:outlineLvl w:val="0"/>
        <w:rPr>
          <w:rFonts w:ascii="Arial" w:cs="Arial" w:hAnsi="Arial"/>
        </w:rPr>
      </w:pPr>
      <w:r>
        <w:rPr>
          <w:rFonts w:ascii="Arial" w:cs="Arial" w:hAnsi="Arial"/>
        </w:rPr>
        <w:t>However, geographic diversification increases operational complexity. As large-format stores experience declining footfall and online fulfilment costs rise (Euromonitor, 2024), Tesco faces structural cost pressures. Therefore, while geographic segmentation strengthens reach, it requires continuous optimisation to sustain profitability.</w:t>
      </w:r>
    </w:p>
    <w:p>
      <w:pPr>
        <w:spacing w:before="100" w:beforeAutospacing="1" w:after="100" w:afterAutospacing="1" w:line="240" w:lineRule="auto"/>
        <w:jc w:val="both"/>
        <w:outlineLvl w:val="0"/>
        <w:rPr>
          <w:rFonts w:ascii="Arial" w:cs="Arial" w:hAnsi="Arial"/>
          <w:b/>
          <w:bCs/>
        </w:rPr>
      </w:pPr>
      <w:r>
        <w:rPr>
          <w:rFonts w:ascii="Arial" w:cs="Arial" w:hAnsi="Arial"/>
          <w:b/>
          <w:bCs/>
        </w:rPr>
        <w:t>Psychographic Segmentation</w:t>
      </w:r>
    </w:p>
    <w:p>
      <w:pPr>
        <w:spacing w:before="100" w:beforeAutospacing="1" w:after="100" w:afterAutospacing="1" w:line="240" w:lineRule="auto"/>
        <w:jc w:val="both"/>
        <w:outlineLvl w:val="0"/>
        <w:rPr>
          <w:rFonts w:ascii="Arial" w:cs="Arial" w:hAnsi="Arial"/>
        </w:rPr>
      </w:pPr>
      <w:r>
        <w:rPr>
          <w:rFonts w:ascii="Arial" w:cs="Arial" w:hAnsi="Arial"/>
        </w:rPr>
        <w:t>Psychographic segmentation focuses on consumer lifestyles, values, and attitudes (Solomon et al., 2017). Tesco targets key psychographic groups, including health-conscious consumers, sustainability-oriented shoppers, and time-constrained professionals.</w:t>
      </w:r>
    </w:p>
    <w:p>
      <w:pPr>
        <w:spacing w:before="100" w:beforeAutospacing="1" w:after="100" w:afterAutospacing="1" w:line="240" w:lineRule="auto"/>
        <w:jc w:val="both"/>
        <w:outlineLvl w:val="0"/>
        <w:rPr>
          <w:rFonts w:ascii="Arial" w:cs="Arial" w:hAnsi="Arial"/>
        </w:rPr>
      </w:pPr>
      <w:r>
        <w:rPr>
          <w:rFonts w:ascii="Arial" w:cs="Arial" w:hAnsi="Arial"/>
        </w:rPr>
        <w:t>This aligns with the growing importance of values-driven consumption (Kotler, 2017). Tesco’s sustainability initiatives and convenience offerings reflect responsiveness to these trends.</w:t>
      </w:r>
    </w:p>
    <w:p>
      <w:pPr>
        <w:spacing w:line="240" w:lineRule="auto"/>
        <w:jc w:val="both"/>
        <w:outlineLvl w:val="0"/>
        <w:rPr>
          <w:rFonts w:ascii="Arial" w:cs="Arial" w:hAnsi="Arial"/>
        </w:rPr>
      </w:pPr>
      <w:r>
        <w:rPr>
          <w:rFonts w:ascii="Arial" w:cs="Arial" w:hAnsi="Arial"/>
        </w:rPr>
        <w:t>However, psychographic segmentation is difficult to measure and may not always translate into purchasing behaviour (Hague, 2019). During economic uncertainty, price sensitivity often overrides ethical preferences. This creates tension between Tesco’s sustainability positioning and its value-based strategy, limiting its effectiveness as a primary segmentation tool.</w:t>
      </w:r>
    </w:p>
    <w:p>
      <w:pPr>
        <w:spacing w:line="240" w:lineRule="auto"/>
        <w:jc w:val="both"/>
        <w:outlineLvl w:val="0"/>
        <w:rPr>
          <w:rFonts w:ascii="Arial" w:cs="Arial" w:hAnsi="Arial"/>
        </w:rPr>
      </w:pPr>
      <w:r>
        <w:rPr>
          <w:rFonts w:ascii="Times New Roman" w:eastAsia="Times New Roman" w:cs="Times New Roman" w:hAnsi="Times New Roman"/>
          <w:kern w:val="0"/>
          <w:lang w:eastAsia="en-GB"/>
        </w:rPr>
        <w:t xml:space="preserve"> </w:t>
      </w:r>
      <w:r>
        <w:rPr>
          <w:rFonts w:ascii="Arial" w:cs="Arial" w:hAnsi="Arial"/>
        </w:rPr>
        <w:t>For instance, Tesco’s initiatives to reduce plastic packaging and achieve net-zero emissions reflect increasing consumer demand for sustainable practices. However, during periods of economic pressure, such ethical considerations may be secondary to price, limiting their influence on actual purchasing behaviour.</w:t>
      </w:r>
    </w:p>
    <w:p>
      <w:pPr>
        <w:spacing w:before="100" w:beforeAutospacing="1" w:after="100" w:afterAutospacing="1" w:line="240" w:lineRule="auto"/>
        <w:jc w:val="both"/>
        <w:outlineLvl w:val="0"/>
        <w:rPr>
          <w:rFonts w:ascii="Arial" w:cs="Arial" w:hAnsi="Arial"/>
          <w:b/>
          <w:bCs/>
        </w:rPr>
      </w:pPr>
      <w:r>
        <w:rPr>
          <w:rFonts w:ascii="Arial" w:cs="Arial" w:hAnsi="Arial"/>
          <w:b/>
          <w:bCs/>
        </w:rPr>
        <w:t>Behavioural Segmentation</w:t>
      </w:r>
    </w:p>
    <w:p>
      <w:pPr>
        <w:spacing w:before="100" w:beforeAutospacing="1" w:after="100" w:afterAutospacing="1" w:line="240" w:lineRule="auto"/>
        <w:jc w:val="both"/>
        <w:outlineLvl w:val="0"/>
        <w:rPr>
          <w:rFonts w:ascii="Arial" w:cs="Arial" w:hAnsi="Arial"/>
        </w:rPr>
      </w:pPr>
      <w:r>
        <w:rPr>
          <w:rFonts w:ascii="Arial" w:cs="Arial" w:hAnsi="Arial"/>
        </w:rPr>
        <w:t xml:space="preserve">Behavioural segmentation focuses on consumer actions such as loyalty, usage rate, and purchase patterns (Schiffman and Wisenblit, 2019). Tesco’s strongest capability lies in its </w:t>
      </w:r>
      <w:r>
        <w:rPr>
          <w:rFonts w:ascii="Arial" w:cs="Arial" w:hAnsi="Arial"/>
          <w:b/>
          <w:bCs/>
        </w:rPr>
        <w:t>data-driven behavioural segmentation</w:t>
      </w:r>
      <w:r>
        <w:rPr>
          <w:rFonts w:ascii="Arial" w:cs="Arial" w:hAnsi="Arial"/>
        </w:rPr>
        <w:t>, enabled by the Clubcard programme.</w:t>
      </w:r>
      <w:r>
        <w:rPr>
          <w:rFonts w:ascii="Arial" w:eastAsia="Times New Roman" w:cs="Arial" w:hAnsi="Arial"/>
          <w:kern w:val="0"/>
          <w:lang w:eastAsia="en-GB"/>
        </w:rPr>
        <w:t xml:space="preserve"> </w:t>
      </w:r>
      <w:r>
        <w:rPr>
          <w:rFonts w:ascii="Arial" w:eastAsia="Times New Roman" w:cs="Arial" w:hAnsi="Arial"/>
          <w:kern w:val="0"/>
          <w:lang w:eastAsia="en-GB"/>
        </w:rPr>
        <w:drawing>
          <wp:inline distT="0" distB="0" distL="0" distR="0">
            <wp:extent cx="5731510" cy="3561080"/>
            <wp:effectExtent l="0" t="0" r="0" b="0"/>
            <wp:docPr id="13" name="Images 13" descr="What is a loyalty program and how does it work? (Examples &amp; Data) |  Hightouch"/>
            <wp:cNvGraphicFramePr>
              <a:graphicFrameLocks noChangeAspect="1"/>
            </wp:cNvGraphicFramePr>
            <a:graphic>
              <a:graphicData uri="http://schemas.openxmlformats.org/drawingml/2006/picture">
                <pic:pic>
                  <pic:nvPicPr>
                    <pic:cNvPr id="15" name="Images 15"/>
                    <pic:cNvPicPr/>
                  </pic:nvPicPr>
                  <pic:blipFill>
                    <a:blip r:embed="rId7"/>
                    <a:stretch>
                      <a:fillRect/>
                    </a:stretch>
                  </pic:blipFill>
                  <pic:spPr>
                    <a:xfrm rot="0">
                      <a:off x="0" y="0"/>
                      <a:ext cx="5731510" cy="3561080"/>
                    </a:xfrm>
                    <a:prstGeom prst="rect"/>
                    <a:noFill/>
                    <a:ln w="12700" cmpd="sng" cap="flat">
                      <a:noFill/>
                      <a:prstDash val="solid"/>
                      <a:round/>
                    </a:ln>
                  </pic:spPr>
                </pic:pic>
              </a:graphicData>
            </a:graphic>
          </wp:inline>
        </w:drawing>
      </w:r>
      <w:r>
        <w:rPr>
          <w:rFonts w:ascii="Arial" w:eastAsia="Times New Roman" w:cs="Arial" w:hAnsi="Arial"/>
          <w:kern w:val="0"/>
          <w:lang w:eastAsia="en-GB"/>
        </w:rPr>
        <w:drawing>
          <wp:inline distT="0" distB="0" distL="0" distR="0">
            <wp:extent cx="5731510" cy="3542665"/>
            <wp:effectExtent l="0" t="0" r="0" b="0"/>
            <wp:docPr id="16" name="Images 16" descr="Loyalty Data Model"/>
            <wp:cNvGraphicFramePr>
              <a:graphicFrameLocks noChangeAspect="1"/>
            </wp:cNvGraphicFramePr>
            <a:graphic>
              <a:graphicData uri="http://schemas.openxmlformats.org/drawingml/2006/picture">
                <pic:pic>
                  <pic:nvPicPr>
                    <pic:cNvPr id="18" name="Images 18"/>
                    <pic:cNvPicPr/>
                  </pic:nvPicPr>
                  <pic:blipFill>
                    <a:blip r:embed="rId8"/>
                    <a:stretch>
                      <a:fillRect/>
                    </a:stretch>
                  </pic:blipFill>
                  <pic:spPr>
                    <a:xfrm rot="0">
                      <a:off x="0" y="0"/>
                      <a:ext cx="5731510" cy="3542665"/>
                    </a:xfrm>
                    <a:prstGeom prst="rect"/>
                    <a:noFill/>
                    <a:ln w="12700" cmpd="sng" cap="flat">
                      <a:noFill/>
                      <a:prstDash val="solid"/>
                      <a:round/>
                    </a:ln>
                  </pic:spPr>
                </pic:pic>
              </a:graphicData>
            </a:graphic>
          </wp:inline>
        </w:drawing>
      </w:r>
    </w:p>
    <w:p>
      <w:pPr>
        <w:spacing w:before="100" w:beforeAutospacing="1" w:after="100" w:afterAutospacing="1" w:line="240" w:lineRule="auto"/>
        <w:jc w:val="both"/>
        <w:outlineLvl w:val="0"/>
        <w:rPr>
          <w:rFonts w:ascii="Arial" w:cs="Arial" w:hAnsi="Arial"/>
        </w:rPr>
      </w:pPr>
      <w:r>
        <w:rPr>
          <w:rFonts w:ascii="Arial" w:cs="Arial" w:hAnsi="Arial"/>
          <w:b/>
          <w:bCs/>
        </w:rPr>
        <w:t>Figure 4: Tesco Clubcard Data and Personalisation Process</w:t>
      </w:r>
      <w:r>
        <w:rPr>
          <w:rFonts w:ascii="Arial" w:cs="Arial" w:hAnsi="Arial"/>
        </w:rPr>
        <w:br/>
      </w:r>
      <w:r>
        <w:rPr>
          <w:rFonts w:ascii="Arial" w:cs="Arial" w:hAnsi="Arial"/>
          <w:b/>
          <w:bCs/>
        </w:rPr>
        <w:t>Source:</w:t>
      </w:r>
      <w:r>
        <w:rPr>
          <w:rFonts w:ascii="Arial" w:cs="Arial" w:hAnsi="Arial"/>
        </w:rPr>
        <w:t xml:space="preserve"> Adapted from Zhang (2019) and Tesco PLC (2024)</w:t>
      </w:r>
    </w:p>
    <w:p>
      <w:pPr>
        <w:spacing w:before="100" w:beforeAutospacing="1" w:after="100" w:afterAutospacing="1" w:line="240" w:lineRule="auto"/>
        <w:jc w:val="both"/>
        <w:outlineLvl w:val="0"/>
        <w:rPr>
          <w:rFonts w:ascii="Arial" w:cs="Arial" w:hAnsi="Arial"/>
        </w:rPr>
      </w:pPr>
      <w:r>
        <w:rPr>
          <w:rFonts w:ascii="Arial" w:cs="Arial" w:hAnsi="Arial"/>
        </w:rPr>
        <w:t xml:space="preserve">As shown in </w:t>
      </w:r>
      <w:r>
        <w:rPr>
          <w:rFonts w:ascii="Arial" w:cs="Arial" w:hAnsi="Arial"/>
          <w:b/>
          <w:bCs/>
        </w:rPr>
        <w:t>Figure 4</w:t>
      </w:r>
      <w:r>
        <w:rPr>
          <w:rFonts w:ascii="Arial" w:cs="Arial" w:hAnsi="Arial"/>
        </w:rPr>
        <w:t>, Clubcard data supports personalised promotions and predictive analytics, enhancing customer retention (Zhang, 2019). This aligns with relationship marketing theory, which emphasises long-term customer value (Christopher, Payne and Ballantyne, 2016).</w:t>
      </w:r>
    </w:p>
    <w:p>
      <w:pPr>
        <w:spacing w:before="100" w:beforeAutospacing="1" w:after="100" w:afterAutospacing="1" w:line="240" w:lineRule="auto"/>
        <w:jc w:val="both"/>
        <w:outlineLvl w:val="0"/>
        <w:rPr>
          <w:rFonts w:ascii="Arial" w:cs="Arial" w:hAnsi="Arial"/>
        </w:rPr>
      </w:pPr>
      <w:r>
        <w:rPr>
          <w:rFonts w:ascii="Arial" w:cs="Arial" w:hAnsi="Arial"/>
        </w:rPr>
        <w:t>Customer Lifetime Value (CLV) can be calculated as:</w:t>
      </w:r>
    </w:p>
    <w:p>
      <w:pPr>
        <w:spacing w:before="100" w:beforeAutospacing="1" w:after="100" w:afterAutospacing="1" w:line="240" w:lineRule="auto"/>
        <w:jc w:val="both"/>
        <w:outlineLvl w:val="0"/>
        <w:rPr>
          <w:rFonts w:ascii="Arial" w:cs="Arial" w:hAnsi="Arial"/>
        </w:rPr>
      </w:pPr>
      <w:r>
        <w:rPr>
          <w:rFonts w:ascii="Arial" w:cs="Arial" w:hAnsi="Arial"/>
          <w:b/>
          <w:bCs/>
        </w:rPr>
        <w:t>CLV = Average Purchase Value × Purchase Frequency × Customer Lifespan</w:t>
      </w:r>
      <w:r>
        <w:rPr>
          <w:rFonts w:ascii="Arial" w:cs="Arial" w:hAnsi="Arial"/>
        </w:rPr>
        <w:br/>
      </w:r>
      <w:r>
        <w:rPr>
          <w:rFonts w:ascii="Arial" w:cs="Arial" w:hAnsi="Arial"/>
          <w:i/>
          <w:iCs/>
        </w:rPr>
        <w:t>(Zhang, 2019)</w:t>
      </w:r>
    </w:p>
    <w:p>
      <w:pPr>
        <w:spacing w:before="100" w:beforeAutospacing="1" w:after="100" w:afterAutospacing="1" w:line="240" w:lineRule="auto"/>
        <w:jc w:val="both"/>
        <w:outlineLvl w:val="0"/>
        <w:rPr>
          <w:rFonts w:ascii="Arial" w:cs="Arial" w:hAnsi="Arial"/>
        </w:rPr>
      </w:pPr>
      <w:r>
        <w:rPr>
          <w:rFonts w:ascii="Arial" w:cs="Arial" w:hAnsi="Arial"/>
        </w:rPr>
        <w:t>While behavioural segmentation enhances precision, reliance on price-based incentives may create transactional rather than emotional loyalty (Doyle, 2012). Nevertheless, Tesco’s data-driven approach provides a significant competitive advantage through micro-targeting.</w:t>
      </w:r>
    </w:p>
    <w:p>
      <w:pPr>
        <w:spacing w:before="100" w:beforeAutospacing="1" w:after="100" w:afterAutospacing="1" w:line="240" w:lineRule="auto"/>
        <w:jc w:val="both"/>
        <w:outlineLvl w:val="0"/>
        <w:rPr>
          <w:rFonts w:ascii="Arial" w:cs="Arial" w:hAnsi="Arial"/>
          <w:b/>
          <w:bCs/>
        </w:rPr>
      </w:pPr>
      <w:r>
        <w:rPr>
          <w:rFonts w:ascii="Arial" w:cs="Arial" w:hAnsi="Arial"/>
          <w:b/>
          <w:bCs/>
        </w:rPr>
        <w:t>Overall Segmentation Evaluation</w:t>
      </w:r>
    </w:p>
    <w:p>
      <w:pPr>
        <w:spacing w:before="100" w:beforeAutospacing="1" w:after="100" w:afterAutospacing="1" w:line="240" w:lineRule="auto"/>
        <w:jc w:val="both"/>
        <w:outlineLvl w:val="0"/>
        <w:rPr>
          <w:rFonts w:ascii="Arial" w:cs="Arial" w:hAnsi="Arial"/>
        </w:rPr>
      </w:pPr>
      <w:r>
        <w:rPr>
          <w:rFonts w:ascii="Arial" w:cs="Arial" w:hAnsi="Arial"/>
        </w:rPr>
        <w:t>Tesco demonstrates advanced segmentation capability through its integrated use of demographic, geographic, psychographic, and behavioural variables. Figures 2–4 collectively illustrate how segmentation supports both broad market coverage and targeted engagement.</w:t>
      </w:r>
    </w:p>
    <w:p>
      <w:pPr>
        <w:spacing w:before="100" w:beforeAutospacing="1" w:after="100" w:afterAutospacing="1" w:line="240" w:lineRule="auto"/>
        <w:jc w:val="both"/>
        <w:outlineLvl w:val="0"/>
        <w:rPr>
          <w:rFonts w:ascii="Arial" w:cs="Arial" w:hAnsi="Arial"/>
        </w:rPr>
      </w:pPr>
      <w:r>
        <w:rPr>
          <w:rFonts w:ascii="Arial" w:cs="Arial" w:hAnsi="Arial"/>
        </w:rPr>
        <w:t>However, this breadth introduces strategic complexity and potential brand dilution. The key challenge lies in maintaining a coherent brand identity while serving diverse segments. Long-term success will depend on Tesco’s ability to balance segmentation depth with strategic clarity, ensuring that expanded reach does not undermine positioning consistency.</w:t>
      </w:r>
    </w:p>
    <w:p>
      <w:pPr>
        <w:pStyle w:val="1"/>
        <w:spacing w:line="240" w:lineRule="auto"/>
        <w:jc w:val="both"/>
        <w:rPr>
          <w:rFonts w:ascii="Arial" w:eastAsia="Times New Roman" w:cs="Arial" w:hAnsi="Arial"/>
          <w:b/>
          <w:bCs/>
          <w:color w:val="auto"/>
          <w:kern w:val="36"/>
          <w:sz w:val="24"/>
          <w:szCs w:val="24"/>
          <w:lang w:eastAsia="en-GB"/>
        </w:rPr>
      </w:pPr>
      <w:bookmarkStart w:id="2" w:name="_Toc222173152"/>
      <w:bookmarkEnd w:id="1"/>
      <w:r>
        <w:rPr>
          <w:rFonts w:ascii="Arial" w:eastAsia="Times New Roman" w:cs="Arial" w:hAnsi="Arial"/>
          <w:b/>
          <w:bCs/>
          <w:color w:val="auto"/>
          <w:kern w:val="36"/>
          <w:sz w:val="24"/>
          <w:szCs w:val="24"/>
          <w:lang w:eastAsia="en-GB"/>
        </w:rPr>
        <w:t>Targeting Analysis</w:t>
      </w:r>
      <w:bookmarkEnd w:id="2"/>
    </w:p>
    <w:p>
      <w:pPr>
        <w:pStyle w:val="1"/>
        <w:spacing w:line="240" w:lineRule="auto"/>
        <w:jc w:val="both"/>
        <w:rPr>
          <w:rFonts w:ascii="Arial" w:eastAsia="Times New Roman" w:cs="Arial" w:hAnsi="Arial"/>
          <w:b/>
          <w:bCs/>
          <w:color w:val="auto"/>
          <w:kern w:val="36"/>
          <w:sz w:val="24"/>
          <w:szCs w:val="24"/>
          <w:lang w:eastAsia="en-GB"/>
        </w:rPr>
      </w:pPr>
      <w:bookmarkStart w:id="3" w:name="_Toc222173153"/>
      <w:r>
        <w:rPr>
          <w:rFonts w:ascii="Arial" w:eastAsia="Times New Roman" w:cs="Arial" w:hAnsi="Arial"/>
          <w:b/>
          <w:bCs/>
          <w:color w:val="auto"/>
          <w:kern w:val="0"/>
          <w:sz w:val="24"/>
          <w:szCs w:val="24"/>
          <w:lang w:eastAsia="en-GB"/>
        </w:rPr>
        <w:t>Theoretical Foundations of Targeting</w:t>
      </w:r>
      <w:bookmarkEnd w:id="3"/>
    </w:p>
    <w:p>
      <w:pPr>
        <w:spacing w:before="100" w:beforeAutospacing="1" w:after="100" w:afterAutospacing="1" w:line="240" w:lineRule="auto"/>
        <w:jc w:val="both"/>
        <w:rPr>
          <w:rFonts w:ascii="Arial" w:eastAsia="Times New Roman" w:cs="Arial" w:hAnsi="Arial"/>
          <w:kern w:val="0"/>
          <w:lang w:eastAsia="en-GB"/>
        </w:rPr>
      </w:pPr>
      <w:r>
        <w:rPr>
          <w:rFonts w:ascii="Arial" w:eastAsia="Times New Roman" w:cs="Arial" w:hAnsi="Arial"/>
          <w:kern w:val="0"/>
          <w:lang w:eastAsia="en-GB"/>
        </w:rPr>
        <w:t>Targeting involves evaluating identified segments and selecting those that offer the greatest strategic value to the organisation (Kotler and Keller, 2016). Segment attractiveness is typically assessed according to size, growth potential, competitive intensity, accessibility, and alignment with organisational capabilities (Hooley, Piercy and Nicoulaud, 2020). Effective targeting ensures that segmentation translates into actionable strategic focus rather than excessive market dispersion.</w:t>
      </w:r>
    </w:p>
    <w:p>
      <w:pPr>
        <w:spacing w:before="100" w:beforeAutospacing="1" w:after="100" w:afterAutospacing="1" w:line="240" w:lineRule="auto"/>
        <w:jc w:val="both"/>
        <w:rPr>
          <w:rFonts w:ascii="Arial" w:eastAsia="Times New Roman" w:cs="Arial" w:hAnsi="Arial"/>
          <w:kern w:val="0"/>
          <w:lang w:eastAsia="en-GB"/>
        </w:rPr>
      </w:pPr>
      <w:r>
        <w:rPr>
          <w:rFonts w:ascii="Arial" w:eastAsia="Times New Roman" w:cs="Arial" w:hAnsi="Arial"/>
          <w:kern w:val="0"/>
          <w:lang w:eastAsia="en-GB"/>
        </w:rPr>
        <w:t xml:space="preserve">Kotler and Armstrong (2020) identify four primary targeting strategies: undifferentiated, differentiated, concentrated, and micromarketing. Tesco adopts a </w:t>
      </w:r>
      <w:r>
        <w:rPr>
          <w:rFonts w:ascii="Arial" w:eastAsia="Times New Roman" w:cs="Arial" w:hAnsi="Arial"/>
          <w:b/>
          <w:bCs/>
          <w:kern w:val="0"/>
          <w:lang w:eastAsia="en-GB"/>
        </w:rPr>
        <w:t>differentiated targeting strategy</w:t>
      </w:r>
      <w:r>
        <w:rPr>
          <w:rFonts w:ascii="Arial" w:eastAsia="Times New Roman" w:cs="Arial" w:hAnsi="Arial"/>
          <w:kern w:val="0"/>
          <w:lang w:eastAsia="en-GB"/>
        </w:rPr>
        <w:t>, serving multiple segments simultaneously through varied product tiers, store formats, and pricing structures.</w:t>
      </w:r>
    </w:p>
    <w:p>
      <w:pPr>
        <w:spacing w:after="0" w:line="240" w:lineRule="auto"/>
        <w:jc w:val="both"/>
        <w:rPr>
          <w:rFonts w:ascii="Arial" w:eastAsia="Times New Roman" w:cs="Arial" w:hAnsi="Arial"/>
          <w:kern w:val="0"/>
          <w:lang w:eastAsia="en-GB"/>
        </w:rPr>
      </w:pPr>
      <w:r>
        <w:rPr>
          <w:rFonts w:ascii="Arial" w:eastAsia="Times New Roman" w:cs="Arial" w:hAnsi="Arial"/>
          <w:b/>
          <w:bCs/>
          <w:kern w:val="0"/>
          <w:lang w:eastAsia="en-GB"/>
        </w:rPr>
        <w:t>Tesco’s Target Market Portfolio</w:t>
      </w:r>
    </w:p>
    <w:p>
      <w:pPr>
        <w:spacing w:before="100" w:beforeAutospacing="1" w:after="100" w:afterAutospacing="1" w:line="240" w:lineRule="auto"/>
        <w:jc w:val="both"/>
        <w:rPr>
          <w:rFonts w:ascii="Arial" w:eastAsia="Times New Roman" w:cs="Arial" w:hAnsi="Arial"/>
          <w:kern w:val="0"/>
          <w:lang w:eastAsia="en-GB"/>
        </w:rPr>
      </w:pPr>
      <w:r>
        <w:rPr>
          <w:rFonts w:ascii="Arial" w:eastAsia="Times New Roman" w:cs="Arial" w:hAnsi="Arial"/>
          <w:kern w:val="0"/>
          <w:lang w:eastAsia="en-GB"/>
        </w:rPr>
        <w:t>Tesco strategically targets several key consumer groups:</w:t>
      </w:r>
    </w:p>
    <w:p>
      <w:pPr>
        <w:spacing w:before="100" w:beforeAutospacing="1" w:after="100" w:afterAutospacing="1" w:line="240" w:lineRule="auto"/>
        <w:jc w:val="both"/>
        <w:rPr>
          <w:rFonts w:ascii="Arial" w:eastAsia="Times New Roman" w:cs="Arial" w:hAnsi="Arial"/>
          <w:kern w:val="0"/>
          <w:lang w:eastAsia="en-GB"/>
        </w:rPr>
      </w:pPr>
      <w:r>
        <w:rPr>
          <w:rFonts w:ascii="Arial" w:eastAsia="Times New Roman" w:cs="Arial" w:hAnsi="Arial"/>
          <w:b/>
          <w:bCs/>
          <w:kern w:val="0"/>
          <w:lang w:eastAsia="en-GB"/>
        </w:rPr>
        <w:t>Price-sensitive households</w:t>
      </w:r>
      <w:r>
        <w:rPr>
          <w:rFonts w:ascii="Arial" w:eastAsia="Times New Roman" w:cs="Arial" w:hAnsi="Arial"/>
          <w:kern w:val="0"/>
          <w:lang w:eastAsia="en-GB"/>
        </w:rPr>
        <w:t xml:space="preserve"> – competing directly with discount retailers.</w:t>
      </w:r>
    </w:p>
    <w:p>
      <w:pPr>
        <w:spacing w:before="100" w:beforeAutospacing="1" w:after="100" w:afterAutospacing="1" w:line="240" w:lineRule="auto"/>
        <w:jc w:val="both"/>
        <w:rPr>
          <w:rFonts w:ascii="Arial" w:eastAsia="Times New Roman" w:cs="Arial" w:hAnsi="Arial"/>
          <w:kern w:val="0"/>
          <w:lang w:eastAsia="en-GB"/>
        </w:rPr>
      </w:pPr>
      <w:r>
        <w:rPr>
          <w:rFonts w:ascii="Arial" w:eastAsia="Times New Roman" w:cs="Arial" w:hAnsi="Arial"/>
          <w:b/>
          <w:bCs/>
          <w:kern w:val="0"/>
          <w:lang w:eastAsia="en-GB"/>
        </w:rPr>
        <w:t>Mainstream middle-income families</w:t>
      </w:r>
      <w:r>
        <w:rPr>
          <w:rFonts w:ascii="Arial" w:eastAsia="Times New Roman" w:cs="Arial" w:hAnsi="Arial"/>
          <w:kern w:val="0"/>
          <w:lang w:eastAsia="en-GB"/>
        </w:rPr>
        <w:t xml:space="preserve"> – core volume drivers</w:t>
      </w:r>
    </w:p>
    <w:p>
      <w:pPr>
        <w:spacing w:before="100" w:beforeAutospacing="1" w:after="100" w:afterAutospacing="1" w:line="240" w:lineRule="auto"/>
        <w:jc w:val="both"/>
        <w:rPr>
          <w:rFonts w:ascii="Arial" w:eastAsia="Times New Roman" w:cs="Arial" w:hAnsi="Arial"/>
          <w:kern w:val="0"/>
          <w:lang w:eastAsia="en-GB"/>
        </w:rPr>
      </w:pPr>
      <w:r>
        <w:rPr>
          <w:rFonts w:ascii="Arial" w:eastAsia="Times New Roman" w:cs="Arial" w:hAnsi="Arial"/>
          <w:b/>
          <w:bCs/>
          <w:kern w:val="0"/>
          <w:lang w:eastAsia="en-GB"/>
        </w:rPr>
        <w:t>Premium quality-seeking consumers</w:t>
      </w:r>
      <w:r>
        <w:rPr>
          <w:rFonts w:ascii="Arial" w:eastAsia="Times New Roman" w:cs="Arial" w:hAnsi="Arial"/>
          <w:kern w:val="0"/>
          <w:lang w:eastAsia="en-GB"/>
        </w:rPr>
        <w:t xml:space="preserve"> – targeted via Tesco Finest</w:t>
      </w:r>
    </w:p>
    <w:p>
      <w:pPr>
        <w:spacing w:before="100" w:beforeAutospacing="1" w:after="100" w:afterAutospacing="1" w:line="240" w:lineRule="auto"/>
        <w:jc w:val="both"/>
        <w:rPr>
          <w:rFonts w:ascii="Arial" w:eastAsia="Times New Roman" w:cs="Arial" w:hAnsi="Arial"/>
          <w:kern w:val="0"/>
          <w:lang w:eastAsia="en-GB"/>
        </w:rPr>
      </w:pPr>
      <w:r>
        <w:rPr>
          <w:rFonts w:ascii="Arial" w:eastAsia="Times New Roman" w:cs="Arial" w:hAnsi="Arial"/>
          <w:b/>
          <w:bCs/>
          <w:kern w:val="0"/>
          <w:lang w:eastAsia="en-GB"/>
        </w:rPr>
        <w:t>Urban convenience shoppers</w:t>
      </w:r>
      <w:r>
        <w:rPr>
          <w:rFonts w:ascii="Arial" w:eastAsia="Times New Roman" w:cs="Arial" w:hAnsi="Arial"/>
          <w:kern w:val="0"/>
          <w:lang w:eastAsia="en-GB"/>
        </w:rPr>
        <w:t xml:space="preserve"> – served through Tesco Express</w:t>
      </w:r>
    </w:p>
    <w:p>
      <w:pPr>
        <w:numPr>
          <w:ilvl w:val="0"/>
          <w:numId w:val="2"/>
        </w:numPr>
        <w:spacing w:before="100" w:beforeAutospacing="1" w:after="100" w:afterAutospacing="1" w:line="240" w:lineRule="auto"/>
        <w:jc w:val="both"/>
        <w:rPr>
          <w:rFonts w:ascii="Arial" w:eastAsia="Times New Roman" w:cs="Arial" w:hAnsi="Arial"/>
          <w:kern w:val="0"/>
          <w:lang w:eastAsia="en-GB"/>
        </w:rPr>
      </w:pPr>
      <w:r>
        <w:rPr>
          <w:rFonts w:ascii="Arial" w:eastAsia="Times New Roman" w:cs="Arial" w:hAnsi="Arial"/>
          <w:b/>
          <w:bCs/>
          <w:kern w:val="0"/>
          <w:lang w:eastAsia="en-GB"/>
        </w:rPr>
        <w:t>Digitally engaged consumers</w:t>
      </w:r>
      <w:r>
        <w:rPr>
          <w:rFonts w:ascii="Arial" w:eastAsia="Times New Roman" w:cs="Arial" w:hAnsi="Arial"/>
          <w:kern w:val="0"/>
          <w:lang w:eastAsia="en-GB"/>
        </w:rPr>
        <w:t xml:space="preserve"> – targeted via Clubcard and online platforms.</w:t>
      </w:r>
    </w:p>
    <w:p>
      <w:pPr>
        <w:spacing w:before="100" w:beforeAutospacing="1" w:after="100" w:afterAutospacing="1" w:line="240" w:lineRule="auto"/>
        <w:jc w:val="both"/>
        <w:rPr>
          <w:rFonts w:ascii="Arial" w:eastAsia="Times New Roman" w:cs="Arial" w:hAnsi="Arial"/>
          <w:kern w:val="0"/>
          <w:lang w:eastAsia="en-GB"/>
        </w:rPr>
      </w:pPr>
      <w:r>
        <w:rPr>
          <w:rFonts w:ascii="Arial" w:eastAsia="Times New Roman" w:cs="Arial" w:hAnsi="Arial"/>
          <w:kern w:val="0"/>
          <w:lang w:eastAsia="en-GB"/>
        </w:rPr>
        <w:t>This broad targeting approach reflects Tesco’s ambition to maximise market coverage and sustain market leadership (Statista, 2024). By serving multiple segments, Tesco reduces dependency on any single demographic group, thereby enhancing resilience during economic fluctuations.</w:t>
      </w:r>
    </w:p>
    <w:p>
      <w:pPr>
        <w:spacing w:after="0" w:line="240" w:lineRule="auto"/>
        <w:jc w:val="both"/>
        <w:rPr>
          <w:rFonts w:ascii="Arial" w:eastAsia="Times New Roman" w:cs="Arial" w:hAnsi="Arial"/>
          <w:kern w:val="0"/>
          <w:lang w:eastAsia="en-GB"/>
        </w:rPr>
      </w:pPr>
      <w:r>
        <w:rPr>
          <w:rFonts w:ascii="Arial" w:eastAsia="Times New Roman" w:cs="Arial" w:hAnsi="Arial"/>
          <w:b/>
          <w:bCs/>
          <w:kern w:val="0"/>
          <w:lang w:eastAsia="en-GB"/>
        </w:rPr>
        <w:t>Evaluation of Segment Attractiveness</w:t>
      </w:r>
    </w:p>
    <w:p>
      <w:pPr>
        <w:spacing w:before="100" w:beforeAutospacing="1" w:after="100" w:afterAutospacing="1" w:line="240" w:lineRule="auto"/>
        <w:jc w:val="both"/>
        <w:outlineLvl w:val="2"/>
        <w:rPr>
          <w:rFonts w:ascii="Arial" w:eastAsia="Times New Roman" w:cs="Arial" w:hAnsi="Arial"/>
          <w:b/>
          <w:bCs/>
          <w:kern w:val="0"/>
          <w:lang w:eastAsia="en-GB"/>
        </w:rPr>
      </w:pPr>
      <w:bookmarkStart w:id="4" w:name="_Toc222173154"/>
      <w:r>
        <w:rPr>
          <w:rFonts w:ascii="Arial" w:eastAsia="Times New Roman" w:cs="Arial" w:hAnsi="Arial"/>
          <w:b/>
          <w:bCs/>
          <w:kern w:val="0"/>
          <w:lang w:eastAsia="en-GB"/>
        </w:rPr>
        <w:t>Price-Sensitive Segment</w:t>
      </w:r>
      <w:bookmarkEnd w:id="4"/>
    </w:p>
    <w:p>
      <w:pPr>
        <w:spacing w:before="100" w:beforeAutospacing="1" w:after="100" w:afterAutospacing="1" w:line="240" w:lineRule="auto"/>
        <w:jc w:val="both"/>
        <w:rPr>
          <w:rFonts w:ascii="Arial" w:eastAsia="Times New Roman" w:cs="Arial" w:hAnsi="Arial"/>
          <w:kern w:val="0"/>
          <w:lang w:eastAsia="en-GB"/>
        </w:rPr>
      </w:pPr>
      <w:r>
        <w:rPr>
          <w:rFonts w:ascii="Arial" w:eastAsia="Times New Roman" w:cs="Arial" w:hAnsi="Arial"/>
          <w:kern w:val="0"/>
          <w:lang w:eastAsia="en-GB"/>
        </w:rPr>
        <w:t>This segment has grown significantly during cost-of-living pressures (Mintel, 2024). It is large and price elastic, making it attractive in terms of volume. However, it is highly competitive, with strong rivalry from discount retailers. Profit margins are typically lower, requiring operational efficiency to remain viable (Grant, 2022).</w:t>
      </w:r>
    </w:p>
    <w:p>
      <w:pPr>
        <w:spacing w:before="100" w:beforeAutospacing="1" w:after="100" w:afterAutospacing="1" w:line="240" w:lineRule="auto"/>
        <w:jc w:val="both"/>
        <w:outlineLvl w:val="2"/>
        <w:rPr>
          <w:rFonts w:ascii="Arial" w:eastAsia="Times New Roman" w:cs="Arial" w:hAnsi="Arial"/>
          <w:b/>
          <w:bCs/>
          <w:kern w:val="0"/>
          <w:lang w:eastAsia="en-GB"/>
        </w:rPr>
      </w:pPr>
      <w:bookmarkStart w:id="5" w:name="_Toc222173155"/>
      <w:r>
        <w:rPr>
          <w:rFonts w:ascii="Arial" w:eastAsia="Times New Roman" w:cs="Arial" w:hAnsi="Arial"/>
          <w:b/>
          <w:bCs/>
          <w:kern w:val="0"/>
          <w:lang w:eastAsia="en-GB"/>
        </w:rPr>
        <w:t>Mainstream Middle-Income Segment</w:t>
      </w:r>
      <w:bookmarkEnd w:id="5"/>
    </w:p>
    <w:p>
      <w:pPr>
        <w:spacing w:before="100" w:beforeAutospacing="1" w:after="100" w:afterAutospacing="1" w:line="240" w:lineRule="auto"/>
        <w:jc w:val="both"/>
        <w:rPr>
          <w:rFonts w:ascii="Arial" w:eastAsia="Times New Roman" w:cs="Arial" w:hAnsi="Arial"/>
          <w:kern w:val="0"/>
          <w:lang w:eastAsia="en-GB"/>
        </w:rPr>
      </w:pPr>
      <w:r>
        <w:rPr>
          <w:rFonts w:ascii="Arial" w:eastAsia="Times New Roman" w:cs="Arial" w:hAnsi="Arial"/>
          <w:kern w:val="0"/>
          <w:lang w:eastAsia="en-GB"/>
        </w:rPr>
        <w:t>This segment represents Tesco’s traditional core market. It offers stable demand and moderate profitability. Tesco’s scale advantages and broad product range create competitive barriers for smaller retailers (Johnson, Scholes, and Whittington, 2020).</w:t>
      </w:r>
    </w:p>
    <w:p>
      <w:pPr>
        <w:spacing w:before="100" w:beforeAutospacing="1" w:after="100" w:afterAutospacing="1" w:line="240" w:lineRule="auto"/>
        <w:jc w:val="both"/>
        <w:outlineLvl w:val="2"/>
        <w:rPr>
          <w:rFonts w:ascii="Arial" w:eastAsia="Times New Roman" w:cs="Arial" w:hAnsi="Arial"/>
          <w:b/>
          <w:bCs/>
          <w:kern w:val="0"/>
          <w:lang w:eastAsia="en-GB"/>
        </w:rPr>
      </w:pPr>
      <w:bookmarkStart w:id="6" w:name="_Toc222173156"/>
      <w:r>
        <w:rPr>
          <w:rFonts w:ascii="Arial" w:eastAsia="Times New Roman" w:cs="Arial" w:hAnsi="Arial"/>
          <w:b/>
          <w:bCs/>
          <w:kern w:val="0"/>
          <w:lang w:eastAsia="en-GB"/>
        </w:rPr>
        <w:t>Premium Segment</w:t>
      </w:r>
      <w:bookmarkEnd w:id="6"/>
    </w:p>
    <w:p>
      <w:pPr>
        <w:spacing w:before="100" w:beforeAutospacing="1" w:after="100" w:afterAutospacing="1" w:line="240" w:lineRule="auto"/>
        <w:jc w:val="both"/>
        <w:rPr>
          <w:rFonts w:ascii="Arial" w:eastAsia="Times New Roman" w:cs="Arial" w:hAnsi="Arial"/>
          <w:kern w:val="0"/>
          <w:lang w:eastAsia="en-GB"/>
        </w:rPr>
      </w:pPr>
      <w:r>
        <w:rPr>
          <w:rFonts w:ascii="Arial" w:eastAsia="Times New Roman" w:cs="Arial" w:hAnsi="Arial"/>
          <w:kern w:val="0"/>
          <w:lang w:eastAsia="en-GB"/>
        </w:rPr>
        <w:t>The premium segment offers higher margins but is more limited in size. It is also more vulnerable to economic downturns, as consumers may trade down during financial uncertainty (Euromonitor, 2024). Competing retailers such as Marks&amp;Spencer maintain stronger premium brand associations.</w:t>
      </w:r>
    </w:p>
    <w:p>
      <w:pPr>
        <w:spacing w:after="0" w:line="240" w:lineRule="auto"/>
        <w:jc w:val="both"/>
        <w:rPr>
          <w:rFonts w:ascii="Arial" w:eastAsia="Times New Roman" w:cs="Arial" w:hAnsi="Arial"/>
          <w:kern w:val="0"/>
          <w:lang w:eastAsia="en-GB"/>
        </w:rPr>
      </w:pPr>
      <w:r>
        <w:rPr>
          <w:rFonts w:ascii="Arial" w:eastAsia="Times New Roman" w:cs="Arial" w:hAnsi="Arial"/>
          <w:b/>
          <w:bCs/>
          <w:kern w:val="0"/>
          <w:lang w:eastAsia="en-GB"/>
        </w:rPr>
        <w:t>Strategic Tension: Hybrid Positioning</w:t>
      </w:r>
    </w:p>
    <w:p>
      <w:pPr>
        <w:spacing w:before="100" w:beforeAutospacing="1" w:after="100" w:afterAutospacing="1" w:line="240" w:lineRule="auto"/>
        <w:jc w:val="both"/>
        <w:rPr>
          <w:rFonts w:ascii="Arial" w:eastAsia="Times New Roman" w:cs="Arial" w:hAnsi="Arial"/>
          <w:kern w:val="0"/>
          <w:lang w:eastAsia="en-GB"/>
        </w:rPr>
      </w:pPr>
      <w:r>
        <w:rPr>
          <w:rFonts w:ascii="Arial" w:eastAsia="Times New Roman" w:cs="Arial" w:hAnsi="Arial"/>
          <w:kern w:val="0"/>
          <w:lang w:eastAsia="en-GB"/>
        </w:rPr>
        <w:t>Porter (1985) argues that firms must avoid being “stuck in the middle” between cost leadership and differentiation. Tesco’s targeting strategy appears hybrid: it seeks to compete on price while also offering premium differentiation.</w:t>
      </w:r>
    </w:p>
    <w:p>
      <w:pPr>
        <w:spacing w:before="100" w:beforeAutospacing="1" w:after="100" w:afterAutospacing="1" w:line="240" w:lineRule="auto"/>
        <w:jc w:val="both"/>
        <w:rPr>
          <w:rFonts w:ascii="Arial" w:eastAsia="Times New Roman" w:cs="Arial" w:hAnsi="Arial"/>
          <w:kern w:val="0"/>
          <w:lang w:eastAsia="en-GB"/>
        </w:rPr>
      </w:pPr>
      <w:r>
        <w:rPr>
          <w:rFonts w:ascii="Arial" w:eastAsia="Times New Roman" w:cs="Arial" w:hAnsi="Arial"/>
          <w:kern w:val="0"/>
          <w:lang w:eastAsia="en-GB"/>
        </w:rPr>
        <w:t>However, contemporary strategy literature suggests hybrid strategies can succeed if supported by operational excellence and data-driven segmentation (Grant, 2022). Tesco leverages supply chain efficiencies and analytics capabilities to sustain competitive pricing while maintaining differentiated product tiers.</w:t>
      </w:r>
    </w:p>
    <w:p>
      <w:pPr>
        <w:spacing w:before="100" w:beforeAutospacing="1" w:after="100" w:afterAutospacing="1" w:line="240" w:lineRule="auto"/>
        <w:jc w:val="both"/>
        <w:rPr>
          <w:rFonts w:ascii="Arial" w:eastAsia="Times New Roman" w:cs="Arial" w:hAnsi="Arial"/>
          <w:kern w:val="0"/>
          <w:lang w:eastAsia="en-GB"/>
        </w:rPr>
      </w:pPr>
      <w:r>
        <w:rPr>
          <w:rFonts w:ascii="Arial" w:eastAsia="Times New Roman" w:cs="Arial" w:hAnsi="Arial"/>
          <w:kern w:val="0"/>
          <w:lang w:eastAsia="en-GB"/>
        </w:rPr>
        <w:t>Nevertheless, strategic complexity increases managerial risk. Serving multiple segments requires precise brand communication to prevent confusion or erosion of positioning clarity (Keller and Swaminathan, 2020).</w:t>
      </w:r>
    </w:p>
    <w:p>
      <w:pPr>
        <w:spacing w:before="100" w:beforeAutospacing="1" w:after="100" w:afterAutospacing="1" w:line="240" w:lineRule="auto"/>
        <w:jc w:val="both"/>
        <w:outlineLvl w:val="1"/>
        <w:rPr>
          <w:rFonts w:ascii="Arial" w:eastAsia="Times New Roman" w:cs="Arial" w:hAnsi="Arial"/>
          <w:b/>
          <w:bCs/>
          <w:kern w:val="0"/>
          <w:lang w:eastAsia="en-GB"/>
        </w:rPr>
      </w:pPr>
      <w:bookmarkStart w:id="7" w:name="_Toc222173157"/>
      <w:r>
        <w:rPr>
          <w:rFonts w:ascii="Arial" w:eastAsia="Times New Roman" w:cs="Arial" w:hAnsi="Arial"/>
          <w:b/>
          <w:bCs/>
          <w:kern w:val="0"/>
          <w:lang w:eastAsia="en-GB"/>
        </w:rPr>
        <w:t>Data-Driven Micro-Targeting</w:t>
      </w:r>
      <w:bookmarkEnd w:id="7"/>
    </w:p>
    <w:p>
      <w:pPr>
        <w:spacing w:before="100" w:beforeAutospacing="1" w:after="100" w:afterAutospacing="1" w:line="240" w:lineRule="auto"/>
        <w:jc w:val="both"/>
        <w:rPr>
          <w:rFonts w:ascii="Arial" w:eastAsia="Times New Roman" w:cs="Arial" w:hAnsi="Arial"/>
          <w:kern w:val="0"/>
          <w:lang w:eastAsia="en-GB"/>
        </w:rPr>
      </w:pPr>
      <w:r>
        <w:rPr>
          <w:rFonts w:ascii="Arial" w:eastAsia="Times New Roman" w:cs="Arial" w:hAnsi="Arial"/>
          <w:kern w:val="0"/>
          <w:lang w:eastAsia="en-GB"/>
        </w:rPr>
        <w:t>A distinctive feature of Tesco’s targeting approach is its reliance on behavioural analytics. The Clubcard programme enables personalised pricing and promotion based on purchase history (Zhang, 2019). This reflects a shift from broad segmentation toward micro-targeting.</w:t>
      </w:r>
    </w:p>
    <w:p>
      <w:pPr>
        <w:spacing w:before="100" w:beforeAutospacing="1" w:after="100" w:afterAutospacing="1" w:line="240" w:lineRule="auto"/>
        <w:jc w:val="both"/>
        <w:rPr>
          <w:rFonts w:ascii="Arial" w:eastAsia="Times New Roman" w:cs="Arial" w:hAnsi="Arial"/>
          <w:kern w:val="0"/>
          <w:lang w:eastAsia="en-GB"/>
        </w:rPr>
      </w:pPr>
      <w:r>
        <w:rPr>
          <w:rFonts w:ascii="Arial" w:eastAsia="Times New Roman" w:cs="Arial" w:hAnsi="Arial"/>
          <w:kern w:val="0"/>
          <w:lang w:eastAsia="en-GB"/>
        </w:rPr>
        <w:t>Chaffey and Ellis-Chadwick (2019) highlight those digital analytics enhances targeting precision, improving marketing ROI. Tesco’s ability to tailor promotions increases customer retention and lifetime value.</w:t>
      </w:r>
    </w:p>
    <w:p>
      <w:pPr>
        <w:spacing w:line="240" w:lineRule="auto"/>
        <w:jc w:val="both"/>
        <w:rPr>
          <w:rFonts w:ascii="Arial" w:eastAsia="Times New Roman" w:cs="Arial" w:hAnsi="Arial"/>
          <w:kern w:val="0"/>
          <w:lang w:eastAsia="en-GB"/>
        </w:rPr>
      </w:pPr>
      <w:r>
        <w:rPr>
          <w:rFonts w:ascii="Arial" w:eastAsia="Times New Roman" w:cs="Arial" w:hAnsi="Arial"/>
          <w:kern w:val="0"/>
          <w:lang w:eastAsia="en-GB"/>
        </w:rPr>
        <w:t>However, Doyle (2012) cautions that excessive price-based incentives may erode perceived value. Additionally, heavy reliance on data-driven targeting raises data privacy considerations and requires sustained technological investment.</w:t>
      </w:r>
    </w:p>
    <w:p>
      <w:pPr>
        <w:spacing w:line="240" w:lineRule="auto"/>
        <w:jc w:val="both"/>
        <w:rPr>
          <w:rFonts w:ascii="Arial" w:eastAsia="Times New Roman" w:cs="Arial" w:hAnsi="Arial"/>
          <w:kern w:val="0"/>
          <w:lang w:eastAsia="en-GB"/>
        </w:rPr>
      </w:pPr>
      <w:r>
        <w:t xml:space="preserve"> </w:t>
      </w:r>
      <w:r>
        <w:rPr>
          <w:rFonts w:ascii="Arial" w:eastAsia="Times New Roman" w:cs="Arial" w:hAnsi="Arial"/>
          <w:kern w:val="0"/>
          <w:lang w:eastAsia="en-GB"/>
        </w:rPr>
        <w:t>For example, Tesco’s Clubcard pricing strategy offers exclusive discounts to loyalty card holders, encouraging repeat purchases while enabling highly personalised marketing. However, this approach may also create a perceived “two-tier pricing system,” where non-members face higher prices, potentially undermining customer trust and brand fairness</w:t>
      </w:r>
    </w:p>
    <w:p>
      <w:pPr>
        <w:spacing w:line="240" w:lineRule="auto"/>
        <w:jc w:val="both"/>
        <w:rPr>
          <w:rFonts w:ascii="Arial" w:cs="Arial" w:hAnsi="Arial"/>
        </w:rPr>
      </w:pPr>
      <w:r>
        <w:rPr>
          <w:rFonts w:ascii="Arial" w:cs="Arial" w:hAnsi="Arial"/>
        </w:rPr>
        <w:t>While Tesco’s differentiated targeting strategy enables broad market coverage, it also increases operational and brand management complexity. The coexistence of value-led targeting and premium differentiation requires clear perceptual boundaries to prevent consumer confusion. An alternative strategic approach could involve greater concentration on mid-market dominance while allowing premium sub-brands to develop more independently, thereby strengthening brand clarity. However, such concentration would reduce diversification benefits and increase vulnerability to price competition. Therefore, Tesco’s current hybrid targeting strategy represents a calculated trade-off between clarity and coverage.</w:t>
      </w:r>
    </w:p>
    <w:p>
      <w:pPr>
        <w:spacing w:before="100" w:beforeAutospacing="1" w:after="100" w:afterAutospacing="1" w:line="240" w:lineRule="auto"/>
        <w:jc w:val="both"/>
        <w:rPr>
          <w:rFonts w:ascii="Arial" w:eastAsia="Times New Roman" w:cs="Arial" w:hAnsi="Arial"/>
          <w:kern w:val="0"/>
          <w:lang w:eastAsia="en-GB"/>
        </w:rPr>
      </w:pPr>
    </w:p>
    <w:p>
      <w:pPr>
        <w:spacing w:before="100" w:beforeAutospacing="1" w:after="100" w:afterAutospacing="1" w:line="240" w:lineRule="auto"/>
        <w:jc w:val="both"/>
        <w:outlineLvl w:val="1"/>
        <w:rPr>
          <w:rFonts w:ascii="Arial" w:eastAsia="Times New Roman" w:cs="Arial" w:hAnsi="Arial"/>
          <w:b/>
          <w:bCs/>
          <w:kern w:val="0"/>
          <w:lang w:eastAsia="en-GB"/>
        </w:rPr>
      </w:pPr>
      <w:bookmarkStart w:id="8" w:name="_Toc222173158"/>
      <w:r>
        <w:rPr>
          <w:rFonts w:ascii="Arial" w:eastAsia="Times New Roman" w:cs="Arial" w:hAnsi="Arial"/>
          <w:b/>
          <w:bCs/>
          <w:kern w:val="0"/>
          <w:lang w:eastAsia="en-GB"/>
        </w:rPr>
        <w:t>Overall Targeting Effectiveness</w:t>
      </w:r>
      <w:bookmarkEnd w:id="8"/>
    </w:p>
    <w:p>
      <w:pPr>
        <w:spacing w:before="100" w:beforeAutospacing="1" w:after="100" w:afterAutospacing="1" w:line="240" w:lineRule="auto"/>
        <w:rPr>
          <w:rFonts w:ascii="Arial" w:eastAsia="Times New Roman" w:cs="Arial" w:hAnsi="Arial"/>
          <w:kern w:val="0"/>
          <w:lang w:eastAsia="en-GB"/>
        </w:rPr>
      </w:pPr>
      <w:r>
        <w:rPr>
          <w:rFonts w:ascii="Arial" w:eastAsia="Times New Roman" w:cs="Arial" w:hAnsi="Arial"/>
          <w:kern w:val="0"/>
          <w:lang w:eastAsia="en-GB"/>
        </w:rPr>
        <w:t>Tesco’s targeting strategy demonstrates several strengths:</w:t>
      </w:r>
    </w:p>
    <w:p>
      <w:pPr>
        <w:spacing w:before="100" w:beforeAutospacing="1" w:after="100" w:afterAutospacing="1" w:line="240" w:lineRule="auto"/>
        <w:rPr>
          <w:rFonts w:ascii="Arial" w:eastAsia="Times New Roman" w:cs="Arial" w:hAnsi="Arial"/>
          <w:kern w:val="0"/>
          <w:lang w:eastAsia="en-GB"/>
        </w:rPr>
      </w:pPr>
      <w:r>
        <w:rPr>
          <w:rFonts w:ascii="Arial" w:eastAsia="Times New Roman" w:cs="Arial" w:hAnsi="Arial"/>
          <w:kern w:val="0"/>
          <w:lang w:eastAsia="en-GB"/>
        </w:rPr>
        <w:t>Broad market penetration</w:t>
      </w:r>
    </w:p>
    <w:p>
      <w:pPr>
        <w:spacing w:before="100" w:beforeAutospacing="1" w:after="100" w:afterAutospacing="1" w:line="240" w:lineRule="auto"/>
        <w:rPr>
          <w:rFonts w:ascii="Arial" w:eastAsia="Times New Roman" w:cs="Arial" w:hAnsi="Arial"/>
          <w:kern w:val="0"/>
          <w:lang w:eastAsia="en-GB"/>
        </w:rPr>
      </w:pPr>
      <w:r>
        <w:rPr>
          <w:rFonts w:ascii="Arial" w:eastAsia="Times New Roman" w:cs="Arial" w:hAnsi="Arial"/>
          <w:kern w:val="0"/>
          <w:lang w:eastAsia="en-GB"/>
        </w:rPr>
        <w:t>Risk diversification.</w:t>
      </w:r>
    </w:p>
    <w:p>
      <w:pPr>
        <w:spacing w:before="100" w:beforeAutospacing="1" w:after="100" w:afterAutospacing="1" w:line="240" w:lineRule="auto"/>
        <w:rPr>
          <w:rFonts w:ascii="Arial" w:eastAsia="Times New Roman" w:cs="Arial" w:hAnsi="Arial"/>
          <w:kern w:val="0"/>
          <w:lang w:eastAsia="en-GB"/>
        </w:rPr>
      </w:pPr>
      <w:r>
        <w:rPr>
          <w:rFonts w:ascii="Arial" w:eastAsia="Times New Roman" w:cs="Arial" w:hAnsi="Arial"/>
          <w:kern w:val="0"/>
          <w:lang w:eastAsia="en-GB"/>
        </w:rPr>
        <w:t>Economies of scale</w:t>
      </w:r>
    </w:p>
    <w:p>
      <w:pPr>
        <w:spacing w:before="100" w:beforeAutospacing="1" w:after="100" w:afterAutospacing="1" w:line="240" w:lineRule="auto"/>
        <w:rPr>
          <w:rFonts w:ascii="Arial" w:eastAsia="Times New Roman" w:cs="Arial" w:hAnsi="Arial"/>
          <w:kern w:val="0"/>
          <w:lang w:eastAsia="en-GB"/>
        </w:rPr>
      </w:pPr>
      <w:r>
        <w:rPr>
          <w:rFonts w:ascii="Arial" w:eastAsia="Times New Roman" w:cs="Arial" w:hAnsi="Arial"/>
          <w:kern w:val="0"/>
          <w:lang w:eastAsia="en-GB"/>
        </w:rPr>
        <w:t>Data-enabled precision</w:t>
      </w:r>
    </w:p>
    <w:p>
      <w:pPr>
        <w:spacing w:before="100" w:beforeAutospacing="1" w:after="100" w:afterAutospacing="1" w:line="240" w:lineRule="auto"/>
        <w:rPr>
          <w:rFonts w:ascii="Arial" w:eastAsia="Times New Roman" w:cs="Arial" w:hAnsi="Arial"/>
          <w:kern w:val="0"/>
          <w:lang w:eastAsia="en-GB"/>
        </w:rPr>
      </w:pPr>
      <w:r>
        <w:rPr>
          <w:rFonts w:ascii="Arial" w:eastAsia="Times New Roman" w:cs="Arial" w:hAnsi="Arial"/>
          <w:kern w:val="0"/>
          <w:lang w:eastAsia="en-GB"/>
        </w:rPr>
        <w:t>However, weaknesses include:</w:t>
      </w:r>
    </w:p>
    <w:p>
      <w:pPr>
        <w:spacing w:before="100" w:beforeAutospacing="1" w:after="100" w:afterAutospacing="1" w:line="240" w:lineRule="auto"/>
        <w:rPr>
          <w:rFonts w:ascii="Arial" w:eastAsia="Times New Roman" w:cs="Arial" w:hAnsi="Arial"/>
          <w:kern w:val="0"/>
          <w:lang w:eastAsia="en-GB"/>
        </w:rPr>
      </w:pPr>
      <w:r>
        <w:rPr>
          <w:rFonts w:ascii="Arial" w:eastAsia="Times New Roman" w:cs="Arial" w:hAnsi="Arial"/>
          <w:kern w:val="0"/>
          <w:lang w:eastAsia="en-GB"/>
        </w:rPr>
        <w:t>Strategic complexity</w:t>
      </w:r>
    </w:p>
    <w:p>
      <w:pPr>
        <w:spacing w:before="100" w:beforeAutospacing="1" w:after="100" w:afterAutospacing="1" w:line="240" w:lineRule="auto"/>
        <w:rPr>
          <w:rFonts w:ascii="Arial" w:eastAsia="Times New Roman" w:cs="Arial" w:hAnsi="Arial"/>
          <w:kern w:val="0"/>
          <w:lang w:eastAsia="en-GB"/>
        </w:rPr>
      </w:pPr>
      <w:r>
        <w:rPr>
          <w:rFonts w:ascii="Arial" w:eastAsia="Times New Roman" w:cs="Arial" w:hAnsi="Arial"/>
          <w:kern w:val="0"/>
          <w:lang w:eastAsia="en-GB"/>
        </w:rPr>
        <w:t>Margin pressure in value segments</w:t>
      </w:r>
    </w:p>
    <w:p>
      <w:pPr>
        <w:spacing w:before="100" w:beforeAutospacing="1" w:after="100" w:afterAutospacing="1" w:line="240" w:lineRule="auto"/>
        <w:rPr>
          <w:rFonts w:ascii="Arial" w:eastAsia="Times New Roman" w:cs="Arial" w:hAnsi="Arial"/>
          <w:kern w:val="0"/>
          <w:lang w:eastAsia="en-GB"/>
        </w:rPr>
      </w:pPr>
      <w:r>
        <w:rPr>
          <w:rFonts w:ascii="Arial" w:eastAsia="Times New Roman" w:cs="Arial" w:hAnsi="Arial"/>
          <w:kern w:val="0"/>
          <w:lang w:eastAsia="en-GB"/>
        </w:rPr>
        <w:t>Brand dilution risk in premium segments</w:t>
      </w:r>
    </w:p>
    <w:p>
      <w:pPr>
        <w:spacing w:before="100" w:beforeAutospacing="1" w:after="100" w:afterAutospacing="1" w:line="240" w:lineRule="auto"/>
        <w:jc w:val="both"/>
        <w:rPr>
          <w:rFonts w:ascii="Arial" w:eastAsia="Times New Roman" w:cs="Arial" w:hAnsi="Arial"/>
          <w:kern w:val="0"/>
          <w:lang w:eastAsia="en-GB"/>
        </w:rPr>
      </w:pPr>
      <w:r>
        <w:rPr>
          <w:rFonts w:ascii="Arial" w:eastAsia="Times New Roman" w:cs="Arial" w:hAnsi="Arial"/>
          <w:kern w:val="0"/>
          <w:lang w:eastAsia="en-GB"/>
        </w:rPr>
        <w:t>Overall, Tesco’s differentiated targeting remains effective in maintaining market leadership. Its integration of behavioural analytics enhances targeting sophistication beyond traditional demographic methods. Nonetheless, long-term sustainability will depend on maintaining clear brand architecture and reducing excessive reliance on price competition.</w:t>
      </w:r>
    </w:p>
    <w:p>
      <w:pPr>
        <w:spacing w:before="100" w:beforeAutospacing="1" w:after="100" w:afterAutospacing="1" w:line="240" w:lineRule="auto"/>
        <w:jc w:val="both"/>
        <w:rPr>
          <w:rFonts w:ascii="Arial" w:eastAsia="Times New Roman" w:cs="Arial" w:hAnsi="Arial"/>
          <w:b/>
          <w:bCs/>
          <w:kern w:val="0"/>
          <w:lang w:eastAsia="en-GB"/>
        </w:rPr>
      </w:pPr>
      <w:r>
        <w:rPr>
          <w:rFonts w:ascii="Arial" w:eastAsia="Times New Roman" w:cs="Arial" w:hAnsi="Arial"/>
          <w:b/>
          <w:bCs/>
          <w:kern w:val="0"/>
          <w:lang w:eastAsia="en-GB"/>
        </w:rPr>
        <w:t>Positioning Analysis</w:t>
      </w:r>
    </w:p>
    <w:p>
      <w:pPr>
        <w:spacing w:before="100" w:beforeAutospacing="1" w:after="100" w:afterAutospacing="1" w:line="240" w:lineRule="auto"/>
        <w:jc w:val="both"/>
        <w:rPr>
          <w:rFonts w:ascii="Arial" w:eastAsia="Times New Roman" w:cs="Arial" w:hAnsi="Arial"/>
          <w:b/>
          <w:bCs/>
          <w:kern w:val="0"/>
          <w:lang w:eastAsia="en-GB"/>
        </w:rPr>
      </w:pPr>
      <w:r>
        <w:rPr>
          <w:rFonts w:ascii="Arial" w:eastAsia="Times New Roman" w:cs="Arial" w:hAnsi="Arial"/>
          <w:b/>
          <w:bCs/>
          <w:kern w:val="0"/>
          <w:lang w:eastAsia="en-GB"/>
        </w:rPr>
        <w:t>Theoretical Foundations of Positioning</w:t>
      </w:r>
    </w:p>
    <w:p>
      <w:pPr>
        <w:spacing w:before="100" w:beforeAutospacing="1" w:after="100" w:afterAutospacing="1" w:line="240" w:lineRule="auto"/>
        <w:jc w:val="both"/>
        <w:rPr>
          <w:rFonts w:ascii="Arial" w:eastAsia="Times New Roman" w:cs="Arial" w:hAnsi="Arial"/>
          <w:kern w:val="0"/>
          <w:lang w:eastAsia="en-GB"/>
        </w:rPr>
      </w:pPr>
      <w:r>
        <w:rPr>
          <w:rFonts w:ascii="Arial" w:eastAsia="Times New Roman" w:cs="Arial" w:hAnsi="Arial"/>
          <w:kern w:val="0"/>
          <w:lang w:eastAsia="en-GB"/>
        </w:rPr>
        <w:t>Positioning refers to how a company designs its offering and image to occupy a distinctive place in the minds of target consumers (Kotler and Armstrong, 2020). Effective positioning requires a clear and differentiated value proposition that aligns with customer expectations while remaining defensible against competitors (Hooley, Piercy and Nicoulaud, 2020).</w:t>
      </w:r>
    </w:p>
    <w:p>
      <w:pPr>
        <w:spacing w:before="100" w:beforeAutospacing="1" w:after="100" w:afterAutospacing="1" w:line="240" w:lineRule="auto"/>
        <w:jc w:val="both"/>
        <w:rPr>
          <w:rFonts w:ascii="Arial" w:eastAsia="Times New Roman" w:cs="Arial" w:hAnsi="Arial"/>
          <w:kern w:val="0"/>
          <w:lang w:eastAsia="en-GB"/>
        </w:rPr>
      </w:pPr>
      <w:r>
        <w:rPr>
          <w:rFonts w:ascii="Arial" w:eastAsia="Times New Roman" w:cs="Arial" w:hAnsi="Arial"/>
          <w:kern w:val="0"/>
          <w:lang w:eastAsia="en-GB"/>
        </w:rPr>
        <w:t>Keller and Swaminathan’s (2020) Customer-Based Brand Equity (CBBE) model suggests that strong positioning contributes to brand equity through salience, performance, imagery, and resonance. For Tesco, positioning must therefore extend beyond functional value toward emotional differentiation.</w:t>
      </w:r>
    </w:p>
    <w:p>
      <w:pPr>
        <w:spacing w:before="100" w:beforeAutospacing="1" w:after="100" w:afterAutospacing="1" w:line="240" w:lineRule="auto"/>
        <w:jc w:val="both"/>
        <w:rPr>
          <w:rFonts w:ascii="Arial" w:eastAsia="Times New Roman" w:cs="Arial" w:hAnsi="Arial"/>
          <w:b/>
          <w:bCs/>
          <w:kern w:val="0"/>
          <w:lang w:eastAsia="en-GB"/>
        </w:rPr>
      </w:pPr>
      <w:r>
        <w:rPr>
          <w:rFonts w:ascii="Arial" w:eastAsia="Times New Roman" w:cs="Arial" w:hAnsi="Arial"/>
          <w:b/>
          <w:bCs/>
          <w:kern w:val="0"/>
          <w:lang w:eastAsia="en-GB"/>
        </w:rPr>
        <w:t>Tesco’s Core Positioning Strategy</w:t>
      </w:r>
    </w:p>
    <w:p>
      <w:pPr>
        <w:spacing w:before="100" w:beforeAutospacing="1" w:after="100" w:afterAutospacing="1" w:line="240" w:lineRule="auto"/>
        <w:jc w:val="both"/>
        <w:rPr>
          <w:rFonts w:ascii="Arial" w:eastAsia="Times New Roman" w:cs="Arial" w:hAnsi="Arial"/>
          <w:kern w:val="0"/>
          <w:lang w:eastAsia="en-GB"/>
        </w:rPr>
      </w:pPr>
      <w:r>
        <w:rPr>
          <w:rFonts w:ascii="Arial" w:eastAsia="Times New Roman" w:cs="Arial" w:hAnsi="Arial"/>
          <w:kern w:val="0"/>
          <w:lang w:eastAsia="en-GB"/>
        </w:rPr>
        <w:t>Tesco positions itself around:</w:t>
      </w:r>
    </w:p>
    <w:p>
      <w:pPr>
        <w:spacing w:before="100" w:beforeAutospacing="1" w:after="100" w:afterAutospacing="1" w:line="240" w:lineRule="auto"/>
        <w:jc w:val="both"/>
        <w:rPr>
          <w:rFonts w:ascii="Arial" w:eastAsia="Times New Roman" w:cs="Arial" w:hAnsi="Arial"/>
          <w:kern w:val="0"/>
          <w:lang w:eastAsia="en-GB"/>
        </w:rPr>
      </w:pPr>
      <w:r>
        <w:rPr>
          <w:rFonts w:ascii="Arial" w:eastAsia="Times New Roman" w:cs="Arial" w:hAnsi="Arial"/>
          <w:kern w:val="0"/>
          <w:lang w:eastAsia="en-GB"/>
        </w:rPr>
        <w:t>Value for money</w:t>
      </w:r>
    </w:p>
    <w:p>
      <w:pPr>
        <w:spacing w:before="100" w:beforeAutospacing="1" w:after="100" w:afterAutospacing="1" w:line="240" w:lineRule="auto"/>
        <w:jc w:val="both"/>
        <w:rPr>
          <w:rFonts w:ascii="Arial" w:eastAsia="Times New Roman" w:cs="Arial" w:hAnsi="Arial"/>
          <w:kern w:val="0"/>
          <w:lang w:eastAsia="en-GB"/>
        </w:rPr>
      </w:pPr>
      <w:r>
        <w:rPr>
          <w:rFonts w:ascii="Arial" w:eastAsia="Times New Roman" w:cs="Arial" w:hAnsi="Arial"/>
          <w:kern w:val="0"/>
          <w:lang w:eastAsia="en-GB"/>
        </w:rPr>
        <w:t>Convenience and accessibility</w:t>
      </w:r>
    </w:p>
    <w:p>
      <w:pPr>
        <w:spacing w:before="100" w:beforeAutospacing="1" w:after="100" w:afterAutospacing="1" w:line="240" w:lineRule="auto"/>
        <w:jc w:val="both"/>
        <w:rPr>
          <w:rFonts w:ascii="Arial" w:eastAsia="Times New Roman" w:cs="Arial" w:hAnsi="Arial"/>
          <w:kern w:val="0"/>
          <w:lang w:eastAsia="en-GB"/>
        </w:rPr>
      </w:pPr>
      <w:r>
        <w:rPr>
          <w:rFonts w:ascii="Arial" w:eastAsia="Times New Roman" w:cs="Arial" w:hAnsi="Arial"/>
          <w:kern w:val="0"/>
          <w:lang w:eastAsia="en-GB"/>
        </w:rPr>
        <w:t>Broad product range</w:t>
      </w:r>
    </w:p>
    <w:p>
      <w:pPr>
        <w:spacing w:before="100" w:beforeAutospacing="1" w:after="100" w:afterAutospacing="1" w:line="240" w:lineRule="auto"/>
        <w:jc w:val="both"/>
        <w:rPr>
          <w:rFonts w:ascii="Arial" w:eastAsia="Times New Roman" w:cs="Arial" w:hAnsi="Arial"/>
          <w:kern w:val="0"/>
          <w:lang w:eastAsia="en-GB"/>
        </w:rPr>
      </w:pPr>
      <w:r>
        <w:rPr>
          <w:rFonts w:ascii="Arial" w:eastAsia="Times New Roman" w:cs="Arial" w:hAnsi="Arial"/>
          <w:kern w:val="0"/>
          <w:lang w:eastAsia="en-GB"/>
        </w:rPr>
        <w:t>Customer-centricity through Clubcard</w:t>
      </w:r>
    </w:p>
    <w:p>
      <w:pPr>
        <w:spacing w:before="100" w:beforeAutospacing="1" w:after="100" w:afterAutospacing="1" w:line="240" w:lineRule="auto"/>
        <w:jc w:val="both"/>
        <w:rPr>
          <w:rFonts w:ascii="Arial" w:eastAsia="Times New Roman" w:cs="Arial" w:hAnsi="Arial"/>
          <w:kern w:val="0"/>
          <w:lang w:eastAsia="en-GB"/>
        </w:rPr>
      </w:pPr>
      <w:r>
        <w:rPr>
          <w:rFonts w:ascii="Arial" w:eastAsia="Times New Roman" w:cs="Arial" w:hAnsi="Arial"/>
          <w:kern w:val="0"/>
          <w:lang w:eastAsia="en-GB"/>
        </w:rPr>
        <w:t xml:space="preserve">The slogan </w:t>
      </w:r>
      <w:r>
        <w:rPr>
          <w:rFonts w:ascii="Arial" w:eastAsia="Times New Roman" w:cs="Arial" w:hAnsi="Arial"/>
          <w:i/>
          <w:iCs/>
          <w:kern w:val="0"/>
          <w:lang w:eastAsia="en-GB"/>
        </w:rPr>
        <w:t>“Every Little Helps”</w:t>
      </w:r>
      <w:r>
        <w:rPr>
          <w:rFonts w:ascii="Arial" w:eastAsia="Times New Roman" w:cs="Arial" w:hAnsi="Arial"/>
          <w:kern w:val="0"/>
          <w:lang w:eastAsia="en-GB"/>
        </w:rPr>
        <w:t xml:space="preserve"> reinforces a value-based positioning focused on incremental consumer benefits. This reflects </w:t>
      </w:r>
      <w:r>
        <w:rPr>
          <w:rFonts w:ascii="Arial" w:eastAsia="Times New Roman" w:cs="Arial" w:hAnsi="Arial"/>
          <w:b/>
          <w:bCs/>
          <w:kern w:val="0"/>
          <w:lang w:eastAsia="en-GB"/>
        </w:rPr>
        <w:t>benefit-based positioning</w:t>
      </w:r>
      <w:r>
        <w:rPr>
          <w:rFonts w:ascii="Arial" w:eastAsia="Times New Roman" w:cs="Arial" w:hAnsi="Arial"/>
          <w:kern w:val="0"/>
          <w:lang w:eastAsia="en-GB"/>
        </w:rPr>
        <w:t>, emphasising both functional and emotional advantages (Kotler and Keller, 2016).</w:t>
      </w:r>
    </w:p>
    <w:p>
      <w:pPr>
        <w:spacing w:before="100" w:beforeAutospacing="1" w:after="100" w:afterAutospacing="1" w:line="240" w:lineRule="auto"/>
        <w:jc w:val="both"/>
        <w:rPr>
          <w:rFonts w:ascii="Arial" w:eastAsia="Times New Roman" w:cs="Arial" w:hAnsi="Arial"/>
          <w:kern w:val="0"/>
          <w:lang w:eastAsia="en-GB"/>
        </w:rPr>
      </w:pPr>
      <w:r>
        <w:rPr>
          <w:rFonts w:ascii="Arial" w:eastAsia="Times New Roman" w:cs="Arial" w:hAnsi="Arial"/>
          <w:kern w:val="0"/>
          <w:lang w:eastAsia="en-GB"/>
        </w:rPr>
        <w:t xml:space="preserve">Tesco’s positioning is primarily </w:t>
      </w:r>
      <w:r>
        <w:rPr>
          <w:rFonts w:ascii="Arial" w:eastAsia="Times New Roman" w:cs="Arial" w:hAnsi="Arial"/>
          <w:b/>
          <w:bCs/>
          <w:kern w:val="0"/>
          <w:lang w:eastAsia="en-GB"/>
        </w:rPr>
        <w:t>functional and reliability-driven</w:t>
      </w:r>
      <w:r>
        <w:rPr>
          <w:rFonts w:ascii="Arial" w:eastAsia="Times New Roman" w:cs="Arial" w:hAnsi="Arial"/>
          <w:kern w:val="0"/>
          <w:lang w:eastAsia="en-GB"/>
        </w:rPr>
        <w:t>, aiming to be perceived as a dependable and accessible supermarket for mass-market consumers. While this supports broad appeal, it limits aspirational brand differentiation.</w:t>
      </w:r>
    </w:p>
    <w:p>
      <w:pPr>
        <w:spacing w:before="100" w:beforeAutospacing="1" w:after="100" w:afterAutospacing="1" w:line="240" w:lineRule="auto"/>
        <w:jc w:val="both"/>
        <w:rPr>
          <w:rFonts w:ascii="Arial" w:eastAsia="Times New Roman" w:cs="Arial" w:hAnsi="Arial"/>
          <w:b/>
          <w:bCs/>
          <w:kern w:val="0"/>
          <w:lang w:eastAsia="en-GB"/>
        </w:rPr>
      </w:pPr>
      <w:r>
        <w:rPr>
          <w:rFonts w:ascii="Arial" w:eastAsia="Times New Roman" w:cs="Arial" w:hAnsi="Arial"/>
          <w:b/>
          <w:bCs/>
          <w:kern w:val="0"/>
          <w:lang w:eastAsia="en-GB"/>
        </w:rPr>
        <w:t>Competitive Positioning Context</w:t>
      </w:r>
    </w:p>
    <w:p>
      <w:pPr>
        <w:spacing w:before="100" w:beforeAutospacing="1" w:after="100" w:afterAutospacing="1" w:line="240" w:lineRule="auto"/>
        <w:jc w:val="both"/>
        <w:rPr>
          <w:rFonts w:ascii="Arial" w:eastAsia="Times New Roman" w:cs="Arial" w:hAnsi="Arial"/>
          <w:b/>
          <w:bCs/>
          <w:kern w:val="0"/>
          <w:lang w:eastAsia="en-GB"/>
        </w:rPr>
      </w:pPr>
      <w:r>
        <w:rPr>
          <w:rFonts w:ascii="Arial" w:eastAsia="Times New Roman" w:cs="Arial" w:hAnsi="Arial"/>
          <w:kern w:val="0"/>
          <w:lang w:eastAsia="en-GB"/>
        </w:rPr>
        <w:t xml:space="preserve">Tesco operates within a highly polarised market, as illustrated in </w:t>
      </w:r>
      <w:r>
        <w:rPr>
          <w:rFonts w:ascii="Arial" w:eastAsia="Times New Roman" w:cs="Arial" w:hAnsi="Arial"/>
          <w:b/>
          <w:bCs/>
          <w:kern w:val="0"/>
          <w:lang w:eastAsia="en-GB"/>
        </w:rPr>
        <w:t>Figure 5</w:t>
      </w:r>
      <w:r>
        <w:rPr>
          <w:rFonts w:ascii="Arial" w:eastAsia="Times New Roman" w:cs="Arial" w:hAnsi="Arial"/>
          <w:kern w:val="0"/>
          <w:lang w:eastAsia="en-GB"/>
        </w:rPr>
        <w:t>, where competitors adopt more focused strategies:</w:t>
      </w:r>
      <w:r>
        <w:rPr>
          <w:rFonts w:ascii="Arial" w:eastAsia="Times New Roman" w:cs="Arial" w:hAnsi="Arial"/>
          <w:b/>
          <w:bCs/>
          <w:kern w:val="0"/>
          <w:lang w:eastAsia="en-GB"/>
        </w:rPr>
        <w:t xml:space="preserve"> </w:t>
      </w:r>
    </w:p>
    <w:p>
      <w:pPr>
        <w:spacing w:before="100" w:beforeAutospacing="1" w:after="100" w:afterAutospacing="1" w:line="240" w:lineRule="auto"/>
        <w:jc w:val="both"/>
        <w:rPr>
          <w:rFonts w:ascii="Arial" w:eastAsia="Times New Roman" w:cs="Arial" w:hAnsi="Arial"/>
          <w:kern w:val="0"/>
          <w:lang w:eastAsia="en-GB"/>
        </w:rPr>
      </w:pPr>
      <w:r>
        <w:rPr>
          <w:rFonts w:ascii="Arial" w:eastAsia="Times New Roman" w:cs="Arial" w:hAnsi="Arial"/>
          <w:b/>
          <w:bCs/>
          <w:kern w:val="0"/>
          <w:lang w:eastAsia="en-GB"/>
        </w:rPr>
        <w:drawing>
          <wp:inline distT="0" distB="0" distL="0" distR="0">
            <wp:extent cx="5410200" cy="4057650"/>
            <wp:effectExtent l="0" t="0" r="0" b="0"/>
            <wp:docPr id="19" name="Images 19" descr="Is there a supermarket hierarchy in your country? : r/AskEurope"/>
            <wp:cNvGraphicFramePr>
              <a:graphicFrameLocks noChangeAspect="1"/>
            </wp:cNvGraphicFramePr>
            <a:graphic>
              <a:graphicData uri="http://schemas.openxmlformats.org/drawingml/2006/picture">
                <pic:pic>
                  <pic:nvPicPr>
                    <pic:cNvPr id="21" name="Images 21"/>
                    <pic:cNvPicPr/>
                  </pic:nvPicPr>
                  <pic:blipFill>
                    <a:blip r:embed="rId9"/>
                    <a:stretch>
                      <a:fillRect/>
                    </a:stretch>
                  </pic:blipFill>
                  <pic:spPr>
                    <a:xfrm rot="0">
                      <a:off x="0" y="0"/>
                      <a:ext cx="5410200" cy="4057650"/>
                    </a:xfrm>
                    <a:prstGeom prst="rect"/>
                    <a:noFill/>
                    <a:ln w="12700" cmpd="sng" cap="flat">
                      <a:noFill/>
                      <a:prstDash val="solid"/>
                      <a:round/>
                    </a:ln>
                  </pic:spPr>
                </pic:pic>
              </a:graphicData>
            </a:graphic>
          </wp:inline>
        </w:drawing>
      </w:r>
    </w:p>
    <w:p>
      <w:pPr>
        <w:spacing w:before="100" w:beforeAutospacing="1" w:after="100" w:afterAutospacing="1" w:line="240" w:lineRule="auto"/>
        <w:jc w:val="both"/>
        <w:rPr>
          <w:rFonts w:ascii="Arial" w:eastAsia="Times New Roman" w:cs="Arial" w:hAnsi="Arial"/>
          <w:kern w:val="0"/>
          <w:lang w:eastAsia="en-GB"/>
        </w:rPr>
      </w:pPr>
      <w:r>
        <w:rPr>
          <w:rFonts w:ascii="Arial" w:eastAsia="Times New Roman" w:cs="Arial" w:hAnsi="Arial"/>
          <w:b/>
          <w:bCs/>
          <w:kern w:val="0"/>
          <w:lang w:eastAsia="en-GB"/>
        </w:rPr>
        <w:t>Figure 5: Competitive Positioning Map of UK Supermarkets (Price vs Quality)</w:t>
      </w:r>
      <w:r>
        <w:rPr>
          <w:rFonts w:ascii="Arial" w:eastAsia="Times New Roman" w:cs="Arial" w:hAnsi="Arial"/>
          <w:kern w:val="0"/>
          <w:lang w:eastAsia="en-GB"/>
        </w:rPr>
        <w:br/>
      </w:r>
      <w:r>
        <w:rPr>
          <w:rFonts w:ascii="Arial" w:eastAsia="Times New Roman" w:cs="Arial" w:hAnsi="Arial"/>
          <w:b/>
          <w:bCs/>
          <w:kern w:val="0"/>
          <w:lang w:eastAsia="en-GB"/>
        </w:rPr>
        <w:t>Source:</w:t>
      </w:r>
      <w:r>
        <w:rPr>
          <w:rFonts w:ascii="Arial" w:eastAsia="Times New Roman" w:cs="Arial" w:hAnsi="Arial"/>
          <w:kern w:val="0"/>
          <w:lang w:eastAsia="en-GB"/>
        </w:rPr>
        <w:t xml:space="preserve"> Adapted from Mintel (2024) and Euromonitor (2024)</w:t>
      </w:r>
    </w:p>
    <w:p>
      <w:pPr>
        <w:spacing w:before="100" w:beforeAutospacing="1" w:after="100" w:afterAutospacing="1" w:line="240" w:lineRule="auto"/>
        <w:jc w:val="both"/>
        <w:rPr>
          <w:rFonts w:ascii="Arial" w:eastAsia="Times New Roman" w:cs="Arial" w:hAnsi="Arial"/>
          <w:kern w:val="0"/>
          <w:lang w:eastAsia="en-GB"/>
        </w:rPr>
      </w:pPr>
      <w:r>
        <w:rPr>
          <w:rFonts w:ascii="Arial" w:eastAsia="Times New Roman" w:cs="Arial" w:hAnsi="Arial"/>
          <w:kern w:val="0"/>
          <w:lang w:eastAsia="en-GB"/>
        </w:rPr>
        <w:t>Discount retailers (e.g., Aldi, Lidl) → cost leadership.</w:t>
      </w:r>
    </w:p>
    <w:p>
      <w:pPr>
        <w:spacing w:before="100" w:beforeAutospacing="1" w:after="100" w:afterAutospacing="1" w:line="240" w:lineRule="auto"/>
        <w:jc w:val="both"/>
        <w:rPr>
          <w:rFonts w:ascii="Arial" w:eastAsia="Times New Roman" w:cs="Arial" w:hAnsi="Arial"/>
          <w:kern w:val="0"/>
          <w:lang w:eastAsia="en-GB"/>
        </w:rPr>
      </w:pPr>
      <w:r>
        <w:rPr>
          <w:rFonts w:ascii="Arial" w:eastAsia="Times New Roman" w:cs="Arial" w:hAnsi="Arial"/>
          <w:kern w:val="0"/>
          <w:lang w:eastAsia="en-GB"/>
        </w:rPr>
        <w:t>Premium retailers (e.g., Marks&amp;Spencer) → differentiation</w:t>
      </w:r>
    </w:p>
    <w:p>
      <w:pPr>
        <w:spacing w:before="100" w:beforeAutospacing="1" w:after="100" w:afterAutospacing="1" w:line="240" w:lineRule="auto"/>
        <w:jc w:val="both"/>
        <w:rPr>
          <w:rFonts w:ascii="Arial" w:eastAsia="Times New Roman" w:cs="Arial" w:hAnsi="Arial"/>
          <w:kern w:val="0"/>
          <w:lang w:eastAsia="en-GB"/>
        </w:rPr>
      </w:pPr>
      <w:r>
        <w:rPr>
          <w:rFonts w:ascii="Arial" w:eastAsia="Times New Roman" w:cs="Arial" w:hAnsi="Arial"/>
          <w:kern w:val="0"/>
          <w:lang w:eastAsia="en-GB"/>
        </w:rPr>
        <w:t>Mid-market retailers → balance of quality and price</w:t>
      </w:r>
    </w:p>
    <w:p>
      <w:pPr>
        <w:spacing w:before="100" w:beforeAutospacing="1" w:after="100" w:afterAutospacing="1" w:line="240" w:lineRule="auto"/>
        <w:jc w:val="both"/>
        <w:rPr>
          <w:rFonts w:ascii="Arial" w:eastAsia="Times New Roman" w:cs="Arial" w:hAnsi="Arial"/>
          <w:kern w:val="0"/>
          <w:lang w:eastAsia="en-GB"/>
        </w:rPr>
      </w:pPr>
      <w:r>
        <w:rPr>
          <w:rFonts w:ascii="Arial" w:eastAsia="Times New Roman" w:cs="Arial" w:hAnsi="Arial"/>
          <w:kern w:val="0"/>
          <w:lang w:eastAsia="en-GB"/>
        </w:rPr>
        <w:t xml:space="preserve">Tesco occupies a </w:t>
      </w:r>
      <w:r>
        <w:rPr>
          <w:rFonts w:ascii="Arial" w:eastAsia="Times New Roman" w:cs="Arial" w:hAnsi="Arial"/>
          <w:b/>
          <w:bCs/>
          <w:kern w:val="0"/>
          <w:lang w:eastAsia="en-GB"/>
        </w:rPr>
        <w:t>middle-ground position</w:t>
      </w:r>
      <w:r>
        <w:rPr>
          <w:rFonts w:ascii="Arial" w:eastAsia="Times New Roman" w:cs="Arial" w:hAnsi="Arial"/>
          <w:kern w:val="0"/>
          <w:lang w:eastAsia="en-GB"/>
        </w:rPr>
        <w:t>, combining moderate pricing with moderate-to-high perceived quality. This enables wide market appeal but creates strategic vulnerability.</w:t>
      </w:r>
    </w:p>
    <w:p>
      <w:pPr>
        <w:spacing w:before="100" w:beforeAutospacing="1" w:after="100" w:afterAutospacing="1" w:line="240" w:lineRule="auto"/>
        <w:jc w:val="both"/>
        <w:rPr>
          <w:rFonts w:ascii="Arial" w:eastAsia="Times New Roman" w:cs="Arial" w:hAnsi="Arial"/>
          <w:kern w:val="0"/>
          <w:lang w:eastAsia="en-GB"/>
        </w:rPr>
      </w:pPr>
      <w:r>
        <w:t xml:space="preserve"> </w:t>
      </w:r>
      <w:r>
        <w:rPr>
          <w:rFonts w:ascii="Arial" w:eastAsia="Times New Roman" w:cs="Arial" w:hAnsi="Arial"/>
          <w:kern w:val="0"/>
          <w:lang w:eastAsia="en-GB"/>
        </w:rPr>
        <w:t>For example, Aldi’s consistent focus on cost leadership, supported by a limited product range and operational efficiency, contrasts sharply with Tesco’s hybrid positioning. This highlights Tesco’s vulnerability to competitors with clearer strategic identities, as consumers may perceive stronger value propositions from retailers that specialise in either low cost or premium quality. As a result, Tesco’s middle-ground positioning, while broad in appeal, may lack distinctiveness in an increasingly competitive and polarised market.</w:t>
      </w:r>
    </w:p>
    <w:p>
      <w:pPr>
        <w:spacing w:before="100" w:beforeAutospacing="1" w:after="100" w:afterAutospacing="1" w:line="240" w:lineRule="auto"/>
        <w:jc w:val="both"/>
        <w:rPr>
          <w:rFonts w:ascii="Arial" w:eastAsia="Times New Roman" w:cs="Arial" w:hAnsi="Arial"/>
          <w:kern w:val="0"/>
          <w:lang w:eastAsia="en-GB"/>
        </w:rPr>
      </w:pPr>
      <w:r>
        <w:rPr>
          <w:rFonts w:ascii="Arial" w:eastAsia="Times New Roman" w:cs="Arial" w:hAnsi="Arial"/>
          <w:kern w:val="0"/>
          <w:lang w:eastAsia="en-GB"/>
        </w:rPr>
        <w:t>From a strategic perspective, this reflects Porter’s (1985) concept of being “stuck in the middle.” Tesco’s hybrid positioning exposes it to competitive pressure from both lower-cost and higher-quality rivals. Unlike Aldi’s clear price leadership or Marks&amp;Spencer’s premium differentiation, Tesco relies on breadth rather than distinctiveness.</w:t>
      </w:r>
    </w:p>
    <w:p>
      <w:pPr>
        <w:spacing w:before="100" w:beforeAutospacing="1" w:after="100" w:afterAutospacing="1" w:line="240" w:lineRule="auto"/>
        <w:jc w:val="both"/>
        <w:rPr>
          <w:rFonts w:ascii="Arial" w:eastAsia="Times New Roman" w:cs="Arial" w:hAnsi="Arial"/>
          <w:b/>
          <w:bCs/>
          <w:kern w:val="0"/>
          <w:lang w:eastAsia="en-GB"/>
        </w:rPr>
      </w:pPr>
      <w:r>
        <w:rPr>
          <w:rFonts w:ascii="Arial" w:eastAsia="Times New Roman" w:cs="Arial" w:hAnsi="Arial"/>
          <w:b/>
          <w:bCs/>
          <w:kern w:val="0"/>
          <w:lang w:eastAsia="en-GB"/>
        </w:rPr>
        <w:t>Evaluation Using Keller’s Brand Equity Model</w:t>
      </w:r>
    </w:p>
    <w:p>
      <w:pPr>
        <w:spacing w:before="100" w:beforeAutospacing="1" w:after="100" w:afterAutospacing="1" w:line="240" w:lineRule="auto"/>
        <w:jc w:val="both"/>
        <w:rPr>
          <w:rFonts w:ascii="Arial" w:eastAsia="Times New Roman" w:cs="Arial" w:hAnsi="Arial"/>
          <w:kern w:val="0"/>
          <w:lang w:eastAsia="en-GB"/>
        </w:rPr>
      </w:pPr>
      <w:r>
        <w:rPr>
          <w:rFonts w:ascii="Arial" w:eastAsia="Times New Roman" w:cs="Arial" w:hAnsi="Arial"/>
          <w:kern w:val="0"/>
          <w:lang w:eastAsia="en-GB"/>
        </w:rPr>
        <w:t>Applying the CBBE framework highlights Tesco’s positioning effectiveness:</w:t>
      </w:r>
    </w:p>
    <w:p>
      <w:pPr>
        <w:numPr>
          <w:ilvl w:val="0"/>
          <w:numId w:val="3"/>
        </w:numPr>
        <w:spacing w:before="100" w:beforeAutospacing="1" w:after="100" w:afterAutospacing="1" w:line="240" w:lineRule="auto"/>
        <w:jc w:val="both"/>
        <w:rPr>
          <w:rFonts w:ascii="Arial" w:eastAsia="Times New Roman" w:cs="Arial" w:hAnsi="Arial"/>
          <w:kern w:val="0"/>
          <w:lang w:eastAsia="en-GB"/>
        </w:rPr>
      </w:pPr>
      <w:r>
        <w:rPr>
          <w:rFonts w:ascii="Arial" w:eastAsia="Times New Roman" w:cs="Arial" w:hAnsi="Arial"/>
          <w:b/>
          <w:bCs/>
          <w:kern w:val="0"/>
          <w:lang w:eastAsia="en-GB"/>
        </w:rPr>
        <w:t>Brand Salience:</w:t>
      </w:r>
      <w:r>
        <w:rPr>
          <w:rFonts w:ascii="Arial" w:eastAsia="Times New Roman" w:cs="Arial" w:hAnsi="Arial"/>
          <w:kern w:val="0"/>
          <w:lang w:eastAsia="en-GB"/>
        </w:rPr>
        <w:t xml:space="preserve"> Tesco demonstrates strong brand awareness due to its extensive store network (Statista, 2024).</w:t>
      </w:r>
    </w:p>
    <w:p>
      <w:pPr>
        <w:numPr>
          <w:ilvl w:val="0"/>
          <w:numId w:val="3"/>
        </w:numPr>
        <w:spacing w:before="100" w:beforeAutospacing="1" w:after="100" w:afterAutospacing="1" w:line="240" w:lineRule="auto"/>
        <w:jc w:val="both"/>
        <w:rPr>
          <w:rFonts w:ascii="Arial" w:eastAsia="Times New Roman" w:cs="Arial" w:hAnsi="Arial"/>
          <w:kern w:val="0"/>
          <w:lang w:eastAsia="en-GB"/>
        </w:rPr>
      </w:pPr>
      <w:r>
        <w:rPr>
          <w:rFonts w:ascii="Arial" w:eastAsia="Times New Roman" w:cs="Arial" w:hAnsi="Arial"/>
          <w:b/>
          <w:bCs/>
          <w:kern w:val="0"/>
          <w:lang w:eastAsia="en-GB"/>
        </w:rPr>
        <w:t>Brand Performance:</w:t>
      </w:r>
      <w:r>
        <w:rPr>
          <w:rFonts w:ascii="Arial" w:eastAsia="Times New Roman" w:cs="Arial" w:hAnsi="Arial"/>
          <w:kern w:val="0"/>
          <w:lang w:eastAsia="en-GB"/>
        </w:rPr>
        <w:t xml:space="preserve"> High reliability, accessibility, and product availability support functional value (Johnson, Scholes and Whittington, 2020).</w:t>
      </w:r>
    </w:p>
    <w:p>
      <w:pPr>
        <w:numPr>
          <w:ilvl w:val="0"/>
          <w:numId w:val="3"/>
        </w:numPr>
        <w:spacing w:before="100" w:beforeAutospacing="1" w:after="100" w:afterAutospacing="1" w:line="240" w:lineRule="auto"/>
        <w:jc w:val="both"/>
        <w:rPr>
          <w:rFonts w:ascii="Arial" w:eastAsia="Times New Roman" w:cs="Arial" w:hAnsi="Arial"/>
          <w:kern w:val="0"/>
          <w:lang w:eastAsia="en-GB"/>
        </w:rPr>
      </w:pPr>
      <w:r>
        <w:rPr>
          <w:rFonts w:ascii="Arial" w:eastAsia="Times New Roman" w:cs="Arial" w:hAnsi="Arial"/>
          <w:b/>
          <w:bCs/>
          <w:kern w:val="0"/>
          <w:lang w:eastAsia="en-GB"/>
        </w:rPr>
        <w:t>Brand Imagery:</w:t>
      </w:r>
      <w:r>
        <w:rPr>
          <w:rFonts w:ascii="Arial" w:eastAsia="Times New Roman" w:cs="Arial" w:hAnsi="Arial"/>
          <w:kern w:val="0"/>
          <w:lang w:eastAsia="en-GB"/>
        </w:rPr>
        <w:t xml:space="preserve"> Primarily practical rather than aspirational, limiting emotional appeal.</w:t>
      </w:r>
    </w:p>
    <w:p>
      <w:pPr>
        <w:numPr>
          <w:ilvl w:val="0"/>
          <w:numId w:val="3"/>
        </w:numPr>
        <w:spacing w:before="100" w:beforeAutospacing="1" w:after="100" w:afterAutospacing="1" w:line="240" w:lineRule="auto"/>
        <w:jc w:val="both"/>
        <w:rPr>
          <w:rFonts w:ascii="Arial" w:eastAsia="Times New Roman" w:cs="Arial" w:hAnsi="Arial"/>
          <w:kern w:val="0"/>
          <w:lang w:eastAsia="en-GB"/>
        </w:rPr>
      </w:pPr>
      <w:r>
        <w:rPr>
          <w:rFonts w:ascii="Arial" w:eastAsia="Times New Roman" w:cs="Arial" w:hAnsi="Arial"/>
          <w:b/>
          <w:bCs/>
          <w:kern w:val="0"/>
          <w:lang w:eastAsia="en-GB"/>
        </w:rPr>
        <w:t>Brand Resonance:</w:t>
      </w:r>
      <w:r>
        <w:rPr>
          <w:rFonts w:ascii="Arial" w:eastAsia="Times New Roman" w:cs="Arial" w:hAnsi="Arial"/>
          <w:kern w:val="0"/>
          <w:lang w:eastAsia="en-GB"/>
        </w:rPr>
        <w:t xml:space="preserve"> Clubcard enhances behavioural loyalty, but emotional attachment remains moderate (Doyle, 2012).</w:t>
      </w:r>
    </w:p>
    <w:p>
      <w:pPr>
        <w:spacing w:before="100" w:beforeAutospacing="1" w:after="100" w:afterAutospacing="1" w:line="240" w:lineRule="auto"/>
        <w:jc w:val="both"/>
        <w:rPr>
          <w:rFonts w:ascii="Arial" w:eastAsia="Times New Roman" w:cs="Arial" w:hAnsi="Arial"/>
          <w:kern w:val="0"/>
          <w:lang w:eastAsia="en-GB"/>
        </w:rPr>
      </w:pPr>
      <w:r>
        <w:rPr>
          <w:rFonts w:ascii="Arial" w:eastAsia="Times New Roman" w:cs="Arial" w:hAnsi="Arial"/>
          <w:kern w:val="0"/>
          <w:lang w:eastAsia="en-GB"/>
        </w:rPr>
        <w:t xml:space="preserve">This suggests Tesco achieves strong </w:t>
      </w:r>
      <w:r>
        <w:rPr>
          <w:rFonts w:ascii="Arial" w:eastAsia="Times New Roman" w:cs="Arial" w:hAnsi="Arial"/>
          <w:b/>
          <w:bCs/>
          <w:kern w:val="0"/>
          <w:lang w:eastAsia="en-GB"/>
        </w:rPr>
        <w:t>functional brand equity</w:t>
      </w:r>
      <w:r>
        <w:rPr>
          <w:rFonts w:ascii="Arial" w:eastAsia="Times New Roman" w:cs="Arial" w:hAnsi="Arial"/>
          <w:kern w:val="0"/>
          <w:lang w:eastAsia="en-GB"/>
        </w:rPr>
        <w:t xml:space="preserve"> but weaker </w:t>
      </w:r>
      <w:r>
        <w:rPr>
          <w:rFonts w:ascii="Arial" w:eastAsia="Times New Roman" w:cs="Arial" w:hAnsi="Arial"/>
          <w:b/>
          <w:bCs/>
          <w:kern w:val="0"/>
          <w:lang w:eastAsia="en-GB"/>
        </w:rPr>
        <w:t>emotional differentiation</w:t>
      </w:r>
      <w:r>
        <w:rPr>
          <w:rFonts w:ascii="Arial" w:eastAsia="Times New Roman" w:cs="Arial" w:hAnsi="Arial"/>
          <w:kern w:val="0"/>
          <w:lang w:eastAsia="en-GB"/>
        </w:rPr>
        <w:t>, which may limit long-term competitive advantage.</w:t>
      </w:r>
    </w:p>
    <w:p>
      <w:pPr>
        <w:spacing w:before="100" w:beforeAutospacing="1" w:after="100" w:afterAutospacing="1" w:line="240" w:lineRule="auto"/>
        <w:jc w:val="both"/>
        <w:rPr>
          <w:rFonts w:ascii="Arial" w:eastAsia="Times New Roman" w:cs="Arial" w:hAnsi="Arial"/>
          <w:b/>
          <w:bCs/>
          <w:kern w:val="0"/>
          <w:lang w:eastAsia="en-GB"/>
        </w:rPr>
      </w:pPr>
      <w:r>
        <w:rPr>
          <w:rFonts w:ascii="Arial" w:eastAsia="Times New Roman" w:cs="Arial" w:hAnsi="Arial"/>
          <w:b/>
          <w:bCs/>
          <w:kern w:val="0"/>
          <w:lang w:eastAsia="en-GB"/>
        </w:rPr>
        <w:t>Strategic Strengths</w:t>
      </w:r>
    </w:p>
    <w:p>
      <w:pPr>
        <w:spacing w:before="100" w:beforeAutospacing="1" w:after="100" w:afterAutospacing="1" w:line="240" w:lineRule="auto"/>
        <w:jc w:val="both"/>
        <w:rPr>
          <w:rFonts w:ascii="Arial" w:eastAsia="Times New Roman" w:cs="Arial" w:hAnsi="Arial"/>
          <w:kern w:val="0"/>
          <w:lang w:eastAsia="en-GB"/>
        </w:rPr>
      </w:pPr>
      <w:r>
        <w:rPr>
          <w:rFonts w:ascii="Arial" w:eastAsia="Times New Roman" w:cs="Arial" w:hAnsi="Arial"/>
          <w:kern w:val="0"/>
          <w:lang w:eastAsia="en-GB"/>
        </w:rPr>
        <w:t>Tesco’s positioning offers several advantages:</w:t>
      </w:r>
    </w:p>
    <w:p>
      <w:pPr>
        <w:spacing w:before="100" w:beforeAutospacing="1" w:after="100" w:afterAutospacing="1" w:line="240" w:lineRule="auto"/>
        <w:jc w:val="both"/>
        <w:rPr>
          <w:rFonts w:ascii="Arial" w:eastAsia="Times New Roman" w:cs="Arial" w:hAnsi="Arial"/>
          <w:kern w:val="0"/>
          <w:lang w:eastAsia="en-GB"/>
        </w:rPr>
      </w:pPr>
      <w:r>
        <w:rPr>
          <w:rFonts w:ascii="Arial" w:eastAsia="Times New Roman" w:cs="Arial" w:hAnsi="Arial"/>
          <w:kern w:val="0"/>
          <w:lang w:eastAsia="en-GB"/>
        </w:rPr>
        <w:t>Broad appeal across multiple segments</w:t>
      </w:r>
    </w:p>
    <w:p>
      <w:pPr>
        <w:spacing w:before="100" w:beforeAutospacing="1" w:after="100" w:afterAutospacing="1" w:line="240" w:lineRule="auto"/>
        <w:jc w:val="both"/>
        <w:rPr>
          <w:rFonts w:ascii="Arial" w:eastAsia="Times New Roman" w:cs="Arial" w:hAnsi="Arial"/>
          <w:kern w:val="0"/>
          <w:lang w:eastAsia="en-GB"/>
        </w:rPr>
      </w:pPr>
      <w:r>
        <w:rPr>
          <w:rFonts w:ascii="Arial" w:eastAsia="Times New Roman" w:cs="Arial" w:hAnsi="Arial"/>
          <w:kern w:val="0"/>
          <w:lang w:eastAsia="en-GB"/>
        </w:rPr>
        <w:t>Strong alignment with value-based consumer needs</w:t>
      </w:r>
    </w:p>
    <w:p>
      <w:pPr>
        <w:spacing w:before="100" w:beforeAutospacing="1" w:after="100" w:afterAutospacing="1" w:line="240" w:lineRule="auto"/>
        <w:jc w:val="both"/>
        <w:rPr>
          <w:rFonts w:ascii="Arial" w:eastAsia="Times New Roman" w:cs="Arial" w:hAnsi="Arial"/>
          <w:kern w:val="0"/>
          <w:lang w:eastAsia="en-GB"/>
        </w:rPr>
      </w:pPr>
      <w:r>
        <w:rPr>
          <w:rFonts w:ascii="Arial" w:eastAsia="Times New Roman" w:cs="Arial" w:hAnsi="Arial"/>
          <w:kern w:val="0"/>
          <w:lang w:eastAsia="en-GB"/>
        </w:rPr>
        <w:t>Reinforcement through loyalty programmes and omnichannel access</w:t>
      </w:r>
    </w:p>
    <w:p>
      <w:pPr>
        <w:spacing w:before="100" w:beforeAutospacing="1" w:after="100" w:afterAutospacing="1" w:line="240" w:lineRule="auto"/>
        <w:jc w:val="both"/>
        <w:rPr>
          <w:rFonts w:ascii="Arial" w:eastAsia="Times New Roman" w:cs="Arial" w:hAnsi="Arial"/>
          <w:kern w:val="0"/>
          <w:lang w:eastAsia="en-GB"/>
        </w:rPr>
      </w:pPr>
      <w:r>
        <w:rPr>
          <w:rFonts w:ascii="Arial" w:eastAsia="Times New Roman" w:cs="Arial" w:hAnsi="Arial"/>
          <w:kern w:val="0"/>
          <w:lang w:eastAsia="en-GB"/>
        </w:rPr>
        <w:t>During economic downturns, value-oriented positioning becomes particularly effective (Mintel, 2024), strengthening Tesco’s competitive resilience.</w:t>
      </w:r>
    </w:p>
    <w:p>
      <w:pPr>
        <w:spacing w:before="100" w:beforeAutospacing="1" w:after="100" w:afterAutospacing="1" w:line="240" w:lineRule="auto"/>
        <w:jc w:val="both"/>
        <w:rPr>
          <w:rFonts w:ascii="Arial" w:eastAsia="Times New Roman" w:cs="Arial" w:hAnsi="Arial"/>
          <w:b/>
          <w:bCs/>
          <w:kern w:val="0"/>
          <w:lang w:eastAsia="en-GB"/>
        </w:rPr>
      </w:pPr>
      <w:r>
        <w:rPr>
          <w:rFonts w:ascii="Arial" w:eastAsia="Times New Roman" w:cs="Arial" w:hAnsi="Arial"/>
          <w:b/>
          <w:bCs/>
          <w:kern w:val="0"/>
          <w:lang w:eastAsia="en-GB"/>
        </w:rPr>
        <w:t>Strategic Weaknesses and Risks</w:t>
      </w:r>
    </w:p>
    <w:p>
      <w:pPr>
        <w:spacing w:before="100" w:beforeAutospacing="1" w:after="100" w:afterAutospacing="1" w:line="240" w:lineRule="auto"/>
        <w:jc w:val="both"/>
        <w:rPr>
          <w:rFonts w:ascii="Arial" w:eastAsia="Times New Roman" w:cs="Arial" w:hAnsi="Arial"/>
          <w:kern w:val="0"/>
          <w:lang w:eastAsia="en-GB"/>
        </w:rPr>
      </w:pPr>
      <w:r>
        <w:rPr>
          <w:rFonts w:ascii="Arial" w:eastAsia="Times New Roman" w:cs="Arial" w:hAnsi="Arial"/>
          <w:kern w:val="0"/>
          <w:lang w:eastAsia="en-GB"/>
        </w:rPr>
        <w:t>However, several limitations emerge:</w:t>
      </w:r>
    </w:p>
    <w:p>
      <w:pPr>
        <w:spacing w:before="100" w:beforeAutospacing="1" w:after="100" w:afterAutospacing="1" w:line="240" w:lineRule="auto"/>
        <w:jc w:val="both"/>
        <w:rPr>
          <w:rFonts w:ascii="Arial" w:eastAsia="Times New Roman" w:cs="Arial" w:hAnsi="Arial"/>
          <w:kern w:val="0"/>
          <w:lang w:eastAsia="en-GB"/>
        </w:rPr>
      </w:pPr>
      <w:r>
        <w:rPr>
          <w:rFonts w:ascii="Arial" w:eastAsia="Times New Roman" w:cs="Arial" w:hAnsi="Arial"/>
          <w:b/>
          <w:bCs/>
          <w:kern w:val="0"/>
          <w:lang w:eastAsia="en-GB"/>
        </w:rPr>
        <w:t>Price Anchoring:</w:t>
      </w:r>
      <w:r>
        <w:rPr>
          <w:rFonts w:ascii="Arial" w:eastAsia="Times New Roman" w:cs="Arial" w:hAnsi="Arial"/>
          <w:kern w:val="0"/>
          <w:lang w:eastAsia="en-GB"/>
        </w:rPr>
        <w:t xml:space="preserve"> Heavy emphasis on price may reduce perceived quality and limit premium growth (Tybout and Calder, 2018).</w:t>
      </w:r>
    </w:p>
    <w:p>
      <w:pPr>
        <w:spacing w:before="100" w:beforeAutospacing="1" w:after="100" w:afterAutospacing="1" w:line="240" w:lineRule="auto"/>
        <w:jc w:val="both"/>
        <w:rPr>
          <w:rFonts w:ascii="Arial" w:eastAsia="Times New Roman" w:cs="Arial" w:hAnsi="Arial"/>
          <w:kern w:val="0"/>
          <w:lang w:eastAsia="en-GB"/>
        </w:rPr>
      </w:pPr>
      <w:r>
        <w:rPr>
          <w:rFonts w:ascii="Arial" w:eastAsia="Times New Roman" w:cs="Arial" w:hAnsi="Arial"/>
          <w:b/>
          <w:bCs/>
          <w:kern w:val="0"/>
          <w:lang w:eastAsia="en-GB"/>
        </w:rPr>
        <w:t>Hybrid Vulnerability:</w:t>
      </w:r>
      <w:r>
        <w:rPr>
          <w:rFonts w:ascii="Arial" w:eastAsia="Times New Roman" w:cs="Arial" w:hAnsi="Arial"/>
          <w:kern w:val="0"/>
          <w:lang w:eastAsia="en-GB"/>
        </w:rPr>
        <w:t xml:space="preserve"> Middle-ground positioning increases exposure to focused competitors (Porter, 1985).</w:t>
      </w:r>
    </w:p>
    <w:p>
      <w:pPr>
        <w:spacing w:before="100" w:beforeAutospacing="1" w:after="100" w:afterAutospacing="1" w:line="240" w:lineRule="auto"/>
        <w:jc w:val="both"/>
        <w:rPr>
          <w:rFonts w:ascii="Arial" w:eastAsia="Times New Roman" w:cs="Arial" w:hAnsi="Arial"/>
          <w:kern w:val="0"/>
          <w:lang w:eastAsia="en-GB"/>
        </w:rPr>
      </w:pPr>
      <w:r>
        <w:rPr>
          <w:rFonts w:ascii="Arial" w:eastAsia="Times New Roman" w:cs="Arial" w:hAnsi="Arial"/>
          <w:b/>
          <w:bCs/>
          <w:kern w:val="0"/>
          <w:lang w:eastAsia="en-GB"/>
        </w:rPr>
        <w:t>Limited Emotional Differentiation:</w:t>
      </w:r>
      <w:r>
        <w:rPr>
          <w:rFonts w:ascii="Arial" w:eastAsia="Times New Roman" w:cs="Arial" w:hAnsi="Arial"/>
          <w:kern w:val="0"/>
          <w:lang w:eastAsia="en-GB"/>
        </w:rPr>
        <w:t xml:space="preserve"> Weak emotional branding compared to premium retailers reduces long-term loyalty (Kotler, 2017).</w:t>
      </w:r>
    </w:p>
    <w:p>
      <w:pPr>
        <w:spacing w:before="100" w:beforeAutospacing="1" w:after="100" w:afterAutospacing="1" w:line="240" w:lineRule="auto"/>
        <w:jc w:val="both"/>
        <w:rPr>
          <w:rFonts w:ascii="Arial" w:eastAsia="Times New Roman" w:cs="Arial" w:hAnsi="Arial"/>
          <w:kern w:val="0"/>
          <w:lang w:eastAsia="en-GB"/>
        </w:rPr>
      </w:pPr>
      <w:r>
        <w:rPr>
          <w:rFonts w:ascii="Arial" w:eastAsia="Times New Roman" w:cs="Arial" w:hAnsi="Arial"/>
          <w:kern w:val="0"/>
          <w:lang w:eastAsia="en-GB"/>
        </w:rPr>
        <w:t>These challenges indicate that Tesco’s positioning, while effective in the short term, may lack distinctiveness in an increasingly competitive market.</w:t>
      </w:r>
    </w:p>
    <w:p>
      <w:pPr>
        <w:spacing w:before="100" w:beforeAutospacing="1" w:after="100" w:afterAutospacing="1" w:line="240" w:lineRule="auto"/>
        <w:jc w:val="both"/>
        <w:rPr>
          <w:rFonts w:ascii="Arial" w:eastAsia="Times New Roman" w:cs="Arial" w:hAnsi="Arial"/>
          <w:b/>
          <w:bCs/>
          <w:kern w:val="0"/>
          <w:lang w:eastAsia="en-GB"/>
        </w:rPr>
      </w:pPr>
      <w:r>
        <w:rPr>
          <w:rFonts w:ascii="Arial" w:eastAsia="Times New Roman" w:cs="Arial" w:hAnsi="Arial"/>
          <w:b/>
          <w:bCs/>
          <w:kern w:val="0"/>
          <w:lang w:eastAsia="en-GB"/>
        </w:rPr>
        <w:t>Overall Positioning Evaluation</w:t>
      </w:r>
    </w:p>
    <w:p>
      <w:pPr>
        <w:spacing w:before="100" w:beforeAutospacing="1" w:after="100" w:afterAutospacing="1" w:line="240" w:lineRule="auto"/>
        <w:jc w:val="both"/>
        <w:rPr>
          <w:rFonts w:ascii="Arial" w:eastAsia="Times New Roman" w:cs="Arial" w:hAnsi="Arial"/>
          <w:b/>
          <w:bCs/>
          <w:kern w:val="0"/>
          <w:lang w:eastAsia="en-GB"/>
        </w:rPr>
      </w:pPr>
      <w:r>
        <w:rPr>
          <w:rFonts w:ascii="Arial" w:eastAsia="Times New Roman" w:cs="Arial" w:hAnsi="Arial"/>
          <w:kern w:val="0"/>
          <w:lang w:eastAsia="en-GB"/>
        </w:rPr>
        <w:t xml:space="preserve">Tesco’s positioning successfully supports mass-market appeal through value, accessibility, and reliability. As illustrated in </w:t>
      </w:r>
      <w:r>
        <w:rPr>
          <w:rFonts w:ascii="Arial" w:eastAsia="Times New Roman" w:cs="Arial" w:hAnsi="Arial"/>
          <w:b/>
          <w:bCs/>
          <w:kern w:val="0"/>
          <w:lang w:eastAsia="en-GB"/>
        </w:rPr>
        <w:t>Figure 5</w:t>
      </w:r>
      <w:r>
        <w:rPr>
          <w:rFonts w:ascii="Arial" w:eastAsia="Times New Roman" w:cs="Arial" w:hAnsi="Arial"/>
          <w:kern w:val="0"/>
          <w:lang w:eastAsia="en-GB"/>
        </w:rPr>
        <w:t>, its middle-ground position enables broad coverage but creates strategic ambiguity.</w:t>
      </w:r>
      <w:r>
        <w:rPr>
          <w:rFonts w:ascii="Arial" w:eastAsia="Times New Roman" w:cs="Arial" w:hAnsi="Arial"/>
          <w:b/>
          <w:bCs/>
          <w:kern w:val="0"/>
          <w:lang w:eastAsia="en-GB"/>
        </w:rPr>
        <w:t xml:space="preserve"> </w:t>
      </w:r>
    </w:p>
    <w:p>
      <w:pPr>
        <w:spacing w:before="100" w:beforeAutospacing="1" w:after="100" w:afterAutospacing="1" w:line="240" w:lineRule="auto"/>
        <w:jc w:val="both"/>
        <w:rPr>
          <w:rFonts w:ascii="Arial" w:eastAsia="Times New Roman" w:cs="Arial" w:hAnsi="Arial"/>
          <w:kern w:val="0"/>
          <w:lang w:eastAsia="en-GB"/>
        </w:rPr>
      </w:pPr>
    </w:p>
    <w:p>
      <w:pPr>
        <w:spacing w:before="100" w:beforeAutospacing="1" w:after="100" w:afterAutospacing="1" w:line="240" w:lineRule="auto"/>
        <w:jc w:val="both"/>
        <w:rPr>
          <w:rFonts w:ascii="Arial" w:eastAsia="Times New Roman" w:cs="Arial" w:hAnsi="Arial"/>
          <w:kern w:val="0"/>
          <w:lang w:eastAsia="en-GB"/>
        </w:rPr>
      </w:pPr>
      <w:r>
        <w:rPr>
          <w:rFonts w:ascii="Arial" w:eastAsia="Times New Roman" w:cs="Arial" w:hAnsi="Arial"/>
          <w:kern w:val="0"/>
          <w:lang w:eastAsia="en-GB"/>
        </w:rPr>
        <w:t>While this positioning sustains market leadership, it relies heavily on functional benefits rather than strong differentiation. To maintain long-term competitive advantage, Tesco must strengthen emotional branding, enhance premium positioning, and reduce reliance on price-based competition.</w:t>
      </w:r>
    </w:p>
    <w:p>
      <w:pPr>
        <w:spacing w:before="100" w:beforeAutospacing="1" w:after="100" w:afterAutospacing="1" w:line="240" w:lineRule="auto"/>
        <w:jc w:val="both"/>
        <w:rPr>
          <w:rFonts w:ascii="Arial" w:eastAsia="Times New Roman" w:cs="Arial" w:hAnsi="Arial"/>
          <w:b/>
          <w:bCs/>
          <w:kern w:val="0"/>
          <w:lang w:eastAsia="en-GB"/>
        </w:rPr>
      </w:pPr>
      <w:r>
        <w:rPr>
          <w:rFonts w:ascii="Arial" w:eastAsia="Times New Roman" w:cs="Arial" w:hAnsi="Arial"/>
          <w:b/>
          <w:bCs/>
          <w:kern w:val="0"/>
          <w:lang w:eastAsia="en-GB"/>
        </w:rPr>
        <w:t>Marketing Mix Strategies (4Ps/7Ps)</w:t>
      </w:r>
    </w:p>
    <w:p>
      <w:pPr>
        <w:spacing w:before="100" w:beforeAutospacing="1" w:after="100" w:afterAutospacing="1" w:line="240" w:lineRule="auto"/>
        <w:jc w:val="both"/>
        <w:rPr>
          <w:rFonts w:ascii="Arial" w:eastAsia="Times New Roman" w:cs="Arial" w:hAnsi="Arial"/>
          <w:kern w:val="0"/>
          <w:lang w:eastAsia="en-GB"/>
        </w:rPr>
      </w:pPr>
      <w:r>
        <w:rPr>
          <w:rFonts w:ascii="Arial" w:eastAsia="Times New Roman" w:cs="Arial" w:hAnsi="Arial"/>
          <w:kern w:val="0"/>
          <w:lang w:eastAsia="en-GB"/>
        </w:rPr>
        <w:t xml:space="preserve">The marketing mix represents the tactical implementation of segmentation, targeting, and positioning decisions (Kotler and Keller, 2016). </w:t>
      </w:r>
    </w:p>
    <w:p>
      <w:pPr>
        <w:spacing w:before="100" w:beforeAutospacing="1" w:after="100" w:afterAutospacing="1" w:line="240" w:lineRule="auto"/>
        <w:jc w:val="both"/>
        <w:rPr>
          <w:rFonts w:ascii="Arial" w:eastAsia="Times New Roman" w:cs="Arial" w:hAnsi="Arial"/>
          <w:kern w:val="0"/>
          <w:lang w:eastAsia="en-GB"/>
        </w:rPr>
      </w:pPr>
      <w:r>
        <w:rPr>
          <w:rFonts w:ascii="Arial" w:eastAsia="Times New Roman" w:cs="Arial" w:hAnsi="Arial"/>
          <w:kern w:val="0"/>
          <w:lang w:eastAsia="en-GB"/>
        </w:rPr>
        <w:t xml:space="preserve">As illustrated in </w:t>
      </w:r>
      <w:r>
        <w:rPr>
          <w:rFonts w:ascii="Arial" w:eastAsia="Times New Roman" w:cs="Arial" w:hAnsi="Arial"/>
          <w:b/>
          <w:bCs/>
          <w:kern w:val="0"/>
          <w:lang w:eastAsia="en-GB"/>
        </w:rPr>
        <w:t>Figure 6</w:t>
      </w:r>
      <w:r>
        <w:rPr>
          <w:rFonts w:ascii="Arial" w:eastAsia="Times New Roman" w:cs="Arial" w:hAnsi="Arial"/>
          <w:kern w:val="0"/>
          <w:lang w:eastAsia="en-GB"/>
        </w:rPr>
        <w:t xml:space="preserve">, the 4Ps framework provides a structured approach to delivering customer value. </w:t>
      </w:r>
    </w:p>
    <w:p>
      <w:pPr>
        <w:spacing w:before="100" w:beforeAutospacing="1" w:after="100" w:afterAutospacing="1" w:line="240" w:lineRule="auto"/>
        <w:jc w:val="both"/>
        <w:rPr>
          <w:rFonts w:ascii="Arial" w:eastAsia="Times New Roman" w:cs="Arial" w:hAnsi="Arial"/>
          <w:kern w:val="0"/>
          <w:lang w:eastAsia="en-GB"/>
        </w:rPr>
      </w:pPr>
      <w:r>
        <w:rPr>
          <w:rFonts w:ascii="Arial" w:eastAsia="Times New Roman" w:cs="Arial" w:hAnsi="Arial"/>
          <w:kern w:val="0"/>
          <w:lang w:eastAsia="en-GB"/>
        </w:rPr>
        <w:drawing>
          <wp:inline distT="0" distB="0" distL="0" distR="0">
            <wp:extent cx="4991100" cy="3597064"/>
            <wp:effectExtent l="0" t="0" r="0" b="0"/>
            <wp:docPr id="22" name="Images 22" descr="4Ps Marketing Mix Diagram with Price, Product, Promotion and Place"/>
            <wp:cNvGraphicFramePr>
              <a:graphicFrameLocks noChangeAspect="1"/>
            </wp:cNvGraphicFramePr>
            <a:graphic>
              <a:graphicData uri="http://schemas.openxmlformats.org/drawingml/2006/picture">
                <pic:pic>
                  <pic:nvPicPr>
                    <pic:cNvPr id="24" name="Images 24"/>
                    <pic:cNvPicPr/>
                  </pic:nvPicPr>
                  <pic:blipFill>
                    <a:blip r:embed="rId10"/>
                    <a:stretch>
                      <a:fillRect/>
                    </a:stretch>
                  </pic:blipFill>
                  <pic:spPr>
                    <a:xfrm rot="0">
                      <a:off x="0" y="0"/>
                      <a:ext cx="4991100" cy="3597064"/>
                    </a:xfrm>
                    <a:prstGeom prst="rect"/>
                    <a:noFill/>
                    <a:ln w="12700" cmpd="sng" cap="flat">
                      <a:noFill/>
                      <a:prstDash val="solid"/>
                      <a:round/>
                    </a:ln>
                  </pic:spPr>
                </pic:pic>
              </a:graphicData>
            </a:graphic>
          </wp:inline>
        </w:drawing>
      </w:r>
    </w:p>
    <w:p>
      <w:pPr>
        <w:spacing w:before="100" w:beforeAutospacing="1" w:after="100" w:afterAutospacing="1" w:line="240" w:lineRule="auto"/>
        <w:jc w:val="both"/>
        <w:rPr>
          <w:rFonts w:ascii="Arial" w:eastAsia="Times New Roman" w:cs="Arial" w:hAnsi="Arial"/>
          <w:kern w:val="0"/>
          <w:lang w:eastAsia="en-GB"/>
        </w:rPr>
      </w:pPr>
      <w:r>
        <w:rPr>
          <w:rFonts w:ascii="Arial" w:eastAsia="Times New Roman" w:cs="Arial" w:hAnsi="Arial"/>
          <w:kern w:val="0"/>
          <w:lang w:eastAsia="en-GB"/>
        </w:rPr>
        <w:t xml:space="preserve"> </w:t>
      </w:r>
    </w:p>
    <w:p>
      <w:pPr>
        <w:spacing w:before="100" w:beforeAutospacing="1" w:after="100" w:afterAutospacing="1" w:line="240" w:lineRule="auto"/>
        <w:jc w:val="both"/>
        <w:rPr>
          <w:rFonts w:ascii="Arial" w:eastAsia="Times New Roman" w:cs="Arial" w:hAnsi="Arial"/>
          <w:kern w:val="0"/>
          <w:lang w:eastAsia="en-GB"/>
        </w:rPr>
      </w:pPr>
      <w:r>
        <w:rPr>
          <w:rFonts w:ascii="Arial" w:eastAsia="Times New Roman" w:cs="Arial" w:hAnsi="Arial"/>
          <w:b/>
          <w:bCs/>
          <w:kern w:val="0"/>
          <w:lang w:eastAsia="en-GB"/>
        </w:rPr>
        <w:t>Figure 6: The Marketing Mix (4Ps) Framework (Product, Price, Place, Promotion)</w:t>
      </w:r>
      <w:r>
        <w:rPr>
          <w:rFonts w:ascii="Arial" w:eastAsia="Times New Roman" w:cs="Arial" w:hAnsi="Arial"/>
          <w:kern w:val="0"/>
          <w:lang w:eastAsia="en-GB"/>
        </w:rPr>
        <w:br/>
      </w:r>
      <w:r>
        <w:rPr>
          <w:rFonts w:ascii="Arial" w:eastAsia="Times New Roman" w:cs="Arial" w:hAnsi="Arial"/>
          <w:b/>
          <w:bCs/>
          <w:kern w:val="0"/>
          <w:lang w:eastAsia="en-GB"/>
        </w:rPr>
        <w:t>Source:</w:t>
      </w:r>
      <w:r>
        <w:rPr>
          <w:rFonts w:ascii="Arial" w:eastAsia="Times New Roman" w:cs="Arial" w:hAnsi="Arial"/>
          <w:kern w:val="0"/>
          <w:lang w:eastAsia="en-GB"/>
        </w:rPr>
        <w:t xml:space="preserve"> Adapted from Kotler and Keller (2016)</w:t>
      </w:r>
    </w:p>
    <w:p>
      <w:pPr>
        <w:spacing w:before="100" w:beforeAutospacing="1" w:after="100" w:afterAutospacing="1" w:line="240" w:lineRule="auto"/>
        <w:jc w:val="both"/>
        <w:rPr>
          <w:rFonts w:ascii="Arial" w:eastAsia="Times New Roman" w:cs="Arial" w:hAnsi="Arial"/>
          <w:kern w:val="0"/>
          <w:lang w:eastAsia="en-GB"/>
        </w:rPr>
      </w:pPr>
      <w:r>
        <w:rPr>
          <w:rFonts w:ascii="Arial" w:eastAsia="Times New Roman" w:cs="Arial" w:hAnsi="Arial"/>
          <w:kern w:val="0"/>
          <w:lang w:eastAsia="en-GB"/>
        </w:rPr>
        <w:t>For Tesco, the marketing mix must reinforce its value-based positioning while supporting differentiated targeting across multiple segments.</w:t>
      </w:r>
    </w:p>
    <w:p>
      <w:pPr>
        <w:spacing w:before="100" w:beforeAutospacing="1" w:after="100" w:afterAutospacing="1" w:line="240" w:lineRule="auto"/>
        <w:jc w:val="both"/>
        <w:rPr>
          <w:rFonts w:ascii="Arial" w:eastAsia="Times New Roman" w:cs="Arial" w:hAnsi="Arial"/>
          <w:b/>
          <w:bCs/>
          <w:kern w:val="0"/>
          <w:lang w:eastAsia="en-GB"/>
        </w:rPr>
      </w:pPr>
      <w:r>
        <w:rPr>
          <w:rFonts w:ascii="Arial" w:eastAsia="Times New Roman" w:cs="Arial" w:hAnsi="Arial"/>
          <w:b/>
          <w:bCs/>
          <w:kern w:val="0"/>
          <w:lang w:eastAsia="en-GB"/>
        </w:rPr>
        <w:t>Product Strategy</w:t>
      </w:r>
    </w:p>
    <w:p>
      <w:pPr>
        <w:spacing w:before="100" w:beforeAutospacing="1" w:after="100" w:afterAutospacing="1" w:line="240" w:lineRule="auto"/>
        <w:jc w:val="both"/>
        <w:rPr>
          <w:rFonts w:ascii="Arial" w:eastAsia="Times New Roman" w:cs="Arial" w:hAnsi="Arial"/>
          <w:kern w:val="0"/>
          <w:lang w:eastAsia="en-GB"/>
        </w:rPr>
      </w:pPr>
      <w:r>
        <w:rPr>
          <w:rFonts w:ascii="Arial" w:eastAsia="Times New Roman" w:cs="Arial" w:hAnsi="Arial"/>
          <w:kern w:val="0"/>
          <w:lang w:eastAsia="en-GB"/>
        </w:rPr>
        <w:t>Tesco offers a highly diversified product portfolio, including:</w:t>
      </w:r>
    </w:p>
    <w:p>
      <w:pPr>
        <w:numPr>
          <w:ilvl w:val="0"/>
          <w:numId w:val="4"/>
        </w:numPr>
        <w:spacing w:before="100" w:beforeAutospacing="1" w:after="100" w:afterAutospacing="1" w:line="240" w:lineRule="auto"/>
        <w:jc w:val="both"/>
        <w:rPr>
          <w:rFonts w:ascii="Arial" w:eastAsia="Times New Roman" w:cs="Arial" w:hAnsi="Arial"/>
          <w:kern w:val="0"/>
          <w:lang w:eastAsia="en-GB"/>
        </w:rPr>
      </w:pPr>
      <w:r>
        <w:rPr>
          <w:rFonts w:ascii="Arial" w:eastAsia="Times New Roman" w:cs="Arial" w:hAnsi="Arial"/>
          <w:kern w:val="0"/>
          <w:lang w:eastAsia="en-GB"/>
        </w:rPr>
        <w:t>Private-label ranges (Value, Core, Finest)</w:t>
      </w:r>
    </w:p>
    <w:p>
      <w:pPr>
        <w:numPr>
          <w:ilvl w:val="0"/>
          <w:numId w:val="4"/>
        </w:numPr>
        <w:spacing w:before="100" w:beforeAutospacing="1" w:after="100" w:afterAutospacing="1" w:line="240" w:lineRule="auto"/>
        <w:jc w:val="both"/>
        <w:rPr>
          <w:rFonts w:ascii="Arial" w:eastAsia="Times New Roman" w:cs="Arial" w:hAnsi="Arial"/>
          <w:kern w:val="0"/>
          <w:lang w:eastAsia="en-GB"/>
        </w:rPr>
      </w:pPr>
      <w:r>
        <w:rPr>
          <w:rFonts w:ascii="Arial" w:eastAsia="Times New Roman" w:cs="Arial" w:hAnsi="Arial"/>
          <w:kern w:val="0"/>
          <w:lang w:eastAsia="en-GB"/>
        </w:rPr>
        <w:t>Branded goods</w:t>
      </w:r>
    </w:p>
    <w:p>
      <w:pPr>
        <w:numPr>
          <w:ilvl w:val="0"/>
          <w:numId w:val="4"/>
        </w:numPr>
        <w:spacing w:before="100" w:beforeAutospacing="1" w:after="100" w:afterAutospacing="1" w:line="240" w:lineRule="auto"/>
        <w:jc w:val="both"/>
        <w:rPr>
          <w:rFonts w:ascii="Arial" w:eastAsia="Times New Roman" w:cs="Arial" w:hAnsi="Arial"/>
          <w:kern w:val="0"/>
          <w:lang w:eastAsia="en-GB"/>
        </w:rPr>
      </w:pPr>
      <w:r>
        <w:rPr>
          <w:rFonts w:ascii="Arial" w:eastAsia="Times New Roman" w:cs="Arial" w:hAnsi="Arial"/>
          <w:kern w:val="0"/>
          <w:lang w:eastAsia="en-GB"/>
        </w:rPr>
        <w:t>Clothing (F&amp;F)</w:t>
      </w:r>
    </w:p>
    <w:p>
      <w:pPr>
        <w:numPr>
          <w:ilvl w:val="0"/>
          <w:numId w:val="4"/>
        </w:numPr>
        <w:spacing w:before="100" w:beforeAutospacing="1" w:after="100" w:afterAutospacing="1" w:line="240" w:lineRule="auto"/>
        <w:jc w:val="both"/>
        <w:rPr>
          <w:rFonts w:ascii="Arial" w:eastAsia="Times New Roman" w:cs="Arial" w:hAnsi="Arial"/>
          <w:kern w:val="0"/>
          <w:lang w:eastAsia="en-GB"/>
        </w:rPr>
      </w:pPr>
      <w:r>
        <w:rPr>
          <w:rFonts w:ascii="Arial" w:eastAsia="Times New Roman" w:cs="Arial" w:hAnsi="Arial"/>
          <w:kern w:val="0"/>
          <w:lang w:eastAsia="en-GB"/>
        </w:rPr>
        <w:t>Financial and telecom services</w:t>
      </w:r>
    </w:p>
    <w:p>
      <w:pPr>
        <w:spacing w:before="100" w:beforeAutospacing="1" w:after="100" w:afterAutospacing="1" w:line="240" w:lineRule="auto"/>
        <w:jc w:val="both"/>
        <w:rPr>
          <w:rFonts w:ascii="Arial" w:eastAsia="Times New Roman" w:cs="Arial" w:hAnsi="Arial"/>
          <w:kern w:val="0"/>
          <w:lang w:eastAsia="en-GB"/>
        </w:rPr>
      </w:pPr>
      <w:r>
        <w:rPr>
          <w:rFonts w:ascii="Arial" w:eastAsia="Times New Roman" w:cs="Arial" w:hAnsi="Arial"/>
          <w:kern w:val="0"/>
          <w:lang w:eastAsia="en-GB"/>
        </w:rPr>
        <w:t xml:space="preserve">This reflects a </w:t>
      </w:r>
      <w:r>
        <w:rPr>
          <w:rFonts w:ascii="Arial" w:eastAsia="Times New Roman" w:cs="Arial" w:hAnsi="Arial"/>
          <w:b/>
          <w:bCs/>
          <w:kern w:val="0"/>
          <w:lang w:eastAsia="en-GB"/>
        </w:rPr>
        <w:t>broad differentiation strategy</w:t>
      </w:r>
      <w:r>
        <w:rPr>
          <w:rFonts w:ascii="Arial" w:eastAsia="Times New Roman" w:cs="Arial" w:hAnsi="Arial"/>
          <w:kern w:val="0"/>
          <w:lang w:eastAsia="en-GB"/>
        </w:rPr>
        <w:t>, increasing share of wallet and reducing dependency on single categories (Grant, 2022). The tiered private-label structure aligns closely with demographic segmentation, enabling Tesco to serve price-sensitive and premium consumers simultaneously.</w:t>
      </w:r>
    </w:p>
    <w:p>
      <w:pPr>
        <w:spacing w:before="100" w:beforeAutospacing="1" w:after="100" w:afterAutospacing="1" w:line="240" w:lineRule="auto"/>
        <w:jc w:val="both"/>
        <w:rPr>
          <w:rFonts w:ascii="Arial" w:eastAsia="Times New Roman" w:cs="Arial" w:hAnsi="Arial"/>
          <w:kern w:val="0"/>
          <w:lang w:eastAsia="en-GB"/>
        </w:rPr>
      </w:pPr>
      <w:r>
        <w:rPr>
          <w:rFonts w:ascii="Arial" w:eastAsia="Times New Roman" w:cs="Arial" w:hAnsi="Arial"/>
          <w:kern w:val="0"/>
          <w:lang w:eastAsia="en-GB"/>
        </w:rPr>
        <w:t>Product strategy is further enhanced by behavioural segmentation through Clubcard data, allowing tailored promotions based on purchasing patterns (Zhang, 2019).</w:t>
      </w:r>
    </w:p>
    <w:p>
      <w:pPr>
        <w:spacing w:before="100" w:beforeAutospacing="1" w:after="100" w:afterAutospacing="1" w:line="240" w:lineRule="auto"/>
        <w:jc w:val="both"/>
        <w:rPr>
          <w:rFonts w:ascii="Arial" w:eastAsia="Times New Roman" w:cs="Arial" w:hAnsi="Arial"/>
          <w:kern w:val="0"/>
          <w:lang w:eastAsia="en-GB"/>
        </w:rPr>
      </w:pPr>
      <w:r>
        <w:rPr>
          <w:rFonts w:ascii="Arial" w:eastAsia="Times New Roman" w:cs="Arial" w:hAnsi="Arial"/>
          <w:kern w:val="0"/>
          <w:lang w:eastAsia="en-GB"/>
        </w:rPr>
        <w:t xml:space="preserve">However, extensive product breadth introduces </w:t>
      </w:r>
      <w:r>
        <w:rPr>
          <w:rFonts w:ascii="Arial" w:eastAsia="Times New Roman" w:cs="Arial" w:hAnsi="Arial"/>
          <w:b/>
          <w:bCs/>
          <w:kern w:val="0"/>
          <w:lang w:eastAsia="en-GB"/>
        </w:rPr>
        <w:t>operational complexity</w:t>
      </w:r>
      <w:r>
        <w:rPr>
          <w:rFonts w:ascii="Arial" w:eastAsia="Times New Roman" w:cs="Arial" w:hAnsi="Arial"/>
          <w:kern w:val="0"/>
          <w:lang w:eastAsia="en-GB"/>
        </w:rPr>
        <w:t xml:space="preserve"> and potential brand dilution. Premium ranges risk being undermined by frequent price promotions, reducing perceived exclusivity (Keller and Swaminathan, 2020). Therefore, while Tesco’s product strategy supports market coverage, it requires careful brand differentiation to avoid internal competition.</w:t>
      </w:r>
    </w:p>
    <w:p>
      <w:pPr>
        <w:spacing w:before="100" w:beforeAutospacing="1" w:after="100" w:afterAutospacing="1" w:line="240" w:lineRule="auto"/>
        <w:jc w:val="both"/>
        <w:rPr>
          <w:rFonts w:ascii="Arial" w:eastAsia="Times New Roman" w:cs="Arial" w:hAnsi="Arial"/>
          <w:b/>
          <w:bCs/>
          <w:kern w:val="0"/>
          <w:lang w:eastAsia="en-GB"/>
        </w:rPr>
      </w:pPr>
      <w:r>
        <w:rPr>
          <w:rFonts w:ascii="Arial" w:eastAsia="Times New Roman" w:cs="Arial" w:hAnsi="Arial"/>
          <w:b/>
          <w:bCs/>
          <w:kern w:val="0"/>
          <w:lang w:eastAsia="en-GB"/>
        </w:rPr>
        <w:t>Price Strategy</w:t>
      </w:r>
    </w:p>
    <w:p>
      <w:pPr>
        <w:spacing w:before="100" w:beforeAutospacing="1" w:after="100" w:afterAutospacing="1" w:line="240" w:lineRule="auto"/>
        <w:jc w:val="both"/>
        <w:rPr>
          <w:rFonts w:ascii="Arial" w:eastAsia="Times New Roman" w:cs="Arial" w:hAnsi="Arial"/>
          <w:kern w:val="0"/>
          <w:lang w:eastAsia="en-GB"/>
        </w:rPr>
      </w:pPr>
      <w:r>
        <w:rPr>
          <w:rFonts w:ascii="Arial" w:eastAsia="Times New Roman" w:cs="Arial" w:hAnsi="Arial"/>
          <w:kern w:val="0"/>
          <w:lang w:eastAsia="en-GB"/>
        </w:rPr>
        <w:t>Price is central to Tesco’s competitive positioning. The company employs:</w:t>
      </w:r>
    </w:p>
    <w:p>
      <w:pPr>
        <w:spacing w:before="100" w:beforeAutospacing="1" w:after="100" w:afterAutospacing="1" w:line="240" w:lineRule="auto"/>
        <w:rPr>
          <w:rFonts w:ascii="Arial" w:eastAsia="Times New Roman" w:cs="Arial" w:hAnsi="Arial"/>
          <w:kern w:val="0"/>
          <w:lang w:eastAsia="en-GB"/>
        </w:rPr>
      </w:pPr>
      <w:r>
        <w:rPr>
          <w:rFonts w:ascii="Arial" w:eastAsia="Times New Roman" w:cs="Arial" w:hAnsi="Arial"/>
          <w:kern w:val="0"/>
          <w:lang w:eastAsia="en-GB"/>
        </w:rPr>
        <w:t>Competitive pricing</w:t>
      </w:r>
    </w:p>
    <w:p>
      <w:pPr>
        <w:spacing w:before="100" w:beforeAutospacing="1" w:after="100" w:afterAutospacing="1" w:line="240" w:lineRule="auto"/>
        <w:rPr>
          <w:rFonts w:ascii="Arial" w:eastAsia="Times New Roman" w:cs="Arial" w:hAnsi="Arial"/>
          <w:kern w:val="0"/>
          <w:lang w:eastAsia="en-GB"/>
        </w:rPr>
      </w:pPr>
      <w:r>
        <w:rPr>
          <w:rFonts w:ascii="Arial" w:eastAsia="Times New Roman" w:cs="Arial" w:hAnsi="Arial"/>
          <w:kern w:val="0"/>
          <w:lang w:eastAsia="en-GB"/>
        </w:rPr>
        <w:t>Promotional discounts</w:t>
      </w:r>
    </w:p>
    <w:p>
      <w:pPr>
        <w:spacing w:before="100" w:beforeAutospacing="1" w:after="100" w:afterAutospacing="1" w:line="240" w:lineRule="auto"/>
        <w:rPr>
          <w:rFonts w:ascii="Arial" w:eastAsia="Times New Roman" w:cs="Arial" w:hAnsi="Arial"/>
          <w:kern w:val="0"/>
          <w:lang w:eastAsia="en-GB"/>
        </w:rPr>
      </w:pPr>
      <w:r>
        <w:rPr>
          <w:rFonts w:ascii="Arial" w:eastAsia="Times New Roman" w:cs="Arial" w:hAnsi="Arial"/>
          <w:kern w:val="0"/>
          <w:lang w:eastAsia="en-GB"/>
        </w:rPr>
        <w:t>Price matching</w:t>
      </w:r>
    </w:p>
    <w:p>
      <w:pPr>
        <w:spacing w:before="100" w:beforeAutospacing="1" w:after="100" w:afterAutospacing="1" w:line="240" w:lineRule="auto"/>
        <w:rPr>
          <w:rFonts w:ascii="Arial" w:eastAsia="Times New Roman" w:cs="Arial" w:hAnsi="Arial"/>
          <w:kern w:val="0"/>
          <w:lang w:eastAsia="en-GB"/>
        </w:rPr>
      </w:pPr>
      <w:r>
        <w:rPr>
          <w:rFonts w:ascii="Arial" w:eastAsia="Times New Roman" w:cs="Arial" w:hAnsi="Arial"/>
          <w:kern w:val="0"/>
          <w:lang w:eastAsia="en-GB"/>
        </w:rPr>
        <w:t>Clubcard-exclusive pricing</w:t>
      </w:r>
    </w:p>
    <w:p>
      <w:pPr>
        <w:spacing w:before="100" w:beforeAutospacing="1" w:after="100" w:afterAutospacing="1" w:line="240" w:lineRule="auto"/>
        <w:jc w:val="both"/>
        <w:rPr>
          <w:rFonts w:ascii="Arial" w:eastAsia="Times New Roman" w:cs="Arial" w:hAnsi="Arial"/>
          <w:kern w:val="0"/>
          <w:lang w:eastAsia="en-GB"/>
        </w:rPr>
      </w:pPr>
      <w:r>
        <w:rPr>
          <w:rFonts w:ascii="Arial" w:eastAsia="Times New Roman" w:cs="Arial" w:hAnsi="Arial"/>
          <w:kern w:val="0"/>
          <w:lang w:eastAsia="en-GB"/>
        </w:rPr>
        <w:t xml:space="preserve">This reflects a </w:t>
      </w:r>
      <w:r>
        <w:rPr>
          <w:rFonts w:ascii="Arial" w:eastAsia="Times New Roman" w:cs="Arial" w:hAnsi="Arial"/>
          <w:b/>
          <w:bCs/>
          <w:kern w:val="0"/>
          <w:lang w:eastAsia="en-GB"/>
        </w:rPr>
        <w:t>value-based pricing strategy</w:t>
      </w:r>
      <w:r>
        <w:rPr>
          <w:rFonts w:ascii="Arial" w:eastAsia="Times New Roman" w:cs="Arial" w:hAnsi="Arial"/>
          <w:kern w:val="0"/>
          <w:lang w:eastAsia="en-GB"/>
        </w:rPr>
        <w:t xml:space="preserve">, supported by economies of scale (Grant, 2022). The introduction of Clubcard pricing represents a shift toward </w:t>
      </w:r>
      <w:r>
        <w:rPr>
          <w:rFonts w:ascii="Arial" w:eastAsia="Times New Roman" w:cs="Arial" w:hAnsi="Arial"/>
          <w:b/>
          <w:bCs/>
          <w:kern w:val="0"/>
          <w:lang w:eastAsia="en-GB"/>
        </w:rPr>
        <w:t>data-driven price discrimination</w:t>
      </w:r>
      <w:r>
        <w:rPr>
          <w:rFonts w:ascii="Arial" w:eastAsia="Times New Roman" w:cs="Arial" w:hAnsi="Arial"/>
          <w:kern w:val="0"/>
          <w:lang w:eastAsia="en-GB"/>
        </w:rPr>
        <w:t>, enabling personalised offers and enhancing customer retention (Chaffey and Ellis-Chadwick, 2019).</w:t>
      </w:r>
    </w:p>
    <w:p>
      <w:pPr>
        <w:spacing w:before="100" w:beforeAutospacing="1" w:after="100" w:afterAutospacing="1" w:line="240" w:lineRule="auto"/>
        <w:jc w:val="both"/>
        <w:rPr>
          <w:rFonts w:ascii="Arial" w:eastAsia="Times New Roman" w:cs="Arial" w:hAnsi="Arial"/>
          <w:kern w:val="0"/>
          <w:lang w:eastAsia="en-GB"/>
        </w:rPr>
      </w:pPr>
      <w:r>
        <w:rPr>
          <w:rFonts w:ascii="Arial" w:eastAsia="Times New Roman" w:cs="Arial" w:hAnsi="Arial"/>
          <w:kern w:val="0"/>
          <w:lang w:eastAsia="en-GB"/>
        </w:rPr>
        <w:t>However, excessive reliance on discounting creates several risks. Doyle (2012) argues that frequent promotions may erode brand equity and normalise lower price expectations. Additionally, price competition limits differentiation, reinforcing Tesco’s dependence on cost efficiency rather than unique value creation.</w:t>
      </w:r>
    </w:p>
    <w:p>
      <w:pPr>
        <w:spacing w:before="100" w:beforeAutospacing="1" w:after="100" w:afterAutospacing="1" w:line="240" w:lineRule="auto"/>
        <w:jc w:val="both"/>
        <w:rPr>
          <w:rFonts w:ascii="Arial" w:eastAsia="Times New Roman" w:cs="Arial" w:hAnsi="Arial"/>
          <w:kern w:val="0"/>
          <w:lang w:eastAsia="en-GB"/>
        </w:rPr>
      </w:pPr>
      <w:r>
        <w:rPr>
          <w:rFonts w:ascii="Arial" w:eastAsia="Times New Roman" w:cs="Arial" w:hAnsi="Arial"/>
          <w:kern w:val="0"/>
          <w:lang w:eastAsia="en-GB"/>
        </w:rPr>
        <w:t>Thus, while Tesco’s pricing strategy effectively supports short-term competitiveness, it may weaken long-term brand positioning if overused.</w:t>
      </w:r>
      <w:r>
        <w:t xml:space="preserve"> </w:t>
      </w:r>
      <w:r>
        <w:rPr>
          <w:rFonts w:ascii="Arial" w:eastAsia="Times New Roman" w:cs="Arial" w:hAnsi="Arial"/>
          <w:kern w:val="0"/>
          <w:lang w:eastAsia="en-GB"/>
        </w:rPr>
        <w:t>For example, Tesco’s Clubcard pricing model has been widely promoted as a way to deliver personalised value to customers. However, it has also attracted criticism for creating a perceived pricing disparity between loyalty members and non-members. This may condition consumers to rely on discounts, ultimately reducing perceived product value and reinforcing price sensitivity rather than brand loyalty</w:t>
      </w:r>
    </w:p>
    <w:p>
      <w:pPr>
        <w:spacing w:before="100" w:beforeAutospacing="1" w:after="100" w:afterAutospacing="1" w:line="240" w:lineRule="auto"/>
        <w:jc w:val="both"/>
        <w:rPr>
          <w:rFonts w:ascii="Arial" w:eastAsia="Times New Roman" w:cs="Arial" w:hAnsi="Arial"/>
          <w:b/>
          <w:bCs/>
          <w:kern w:val="0"/>
          <w:lang w:eastAsia="en-GB"/>
        </w:rPr>
      </w:pPr>
      <w:r>
        <w:rPr>
          <w:rFonts w:ascii="Arial" w:eastAsia="Times New Roman" w:cs="Arial" w:hAnsi="Arial"/>
          <w:b/>
          <w:bCs/>
          <w:kern w:val="0"/>
          <w:lang w:eastAsia="en-GB"/>
        </w:rPr>
        <w:t>Place (Distribution) Strategy</w:t>
      </w:r>
    </w:p>
    <w:p>
      <w:pPr>
        <w:spacing w:before="100" w:beforeAutospacing="1" w:after="100" w:afterAutospacing="1" w:line="240" w:lineRule="auto"/>
        <w:jc w:val="both"/>
        <w:rPr>
          <w:rFonts w:ascii="Arial" w:eastAsia="Times New Roman" w:cs="Arial" w:hAnsi="Arial"/>
          <w:kern w:val="0"/>
          <w:lang w:eastAsia="en-GB"/>
        </w:rPr>
      </w:pPr>
      <w:r>
        <w:rPr>
          <w:rFonts w:ascii="Arial" w:eastAsia="Times New Roman" w:cs="Arial" w:hAnsi="Arial"/>
          <w:b/>
          <w:bCs/>
          <w:kern w:val="0"/>
          <w:lang w:eastAsia="en-GB"/>
        </w:rPr>
        <w:drawing>
          <wp:anchor distT="0" distB="0" distL="114300" distR="114300" simplePos="0" relativeHeight="28" behindDoc="1" locked="0" layoutInCell="1" hidden="0" allowOverlap="1">
            <wp:simplePos x="0" y="0"/>
            <wp:positionH relativeFrom="margin">
              <wp:posOffset>167639</wp:posOffset>
            </wp:positionH>
            <wp:positionV relativeFrom="paragraph">
              <wp:posOffset>815339</wp:posOffset>
            </wp:positionV>
            <wp:extent cx="5731510" cy="3223895"/>
            <wp:effectExtent l="0" t="0" r="0" b="0"/>
            <wp:wrapTopAndBottom/>
            <wp:docPr id="25" name="Images 25" descr="The Future of Omnichannel Retail | Info-Tech Research Group"/>
            <wp:cNvGraphicFramePr>
              <a:graphicFrameLocks noChangeAspect="1"/>
            </wp:cNvGraphicFramePr>
            <a:graphic>
              <a:graphicData uri="http://schemas.openxmlformats.org/drawingml/2006/picture">
                <pic:pic>
                  <pic:nvPicPr>
                    <pic:cNvPr id="27" name="Images 27"/>
                    <pic:cNvPicPr/>
                  </pic:nvPicPr>
                  <pic:blipFill>
                    <a:blip r:embed="rId11"/>
                    <a:stretch>
                      <a:fillRect/>
                    </a:stretch>
                  </pic:blipFill>
                  <pic:spPr>
                    <a:xfrm rot="0">
                      <a:off x="0" y="0"/>
                      <a:ext cx="5731510" cy="3223895"/>
                    </a:xfrm>
                    <a:prstGeom prst="rect"/>
                    <a:noFill/>
                    <a:ln w="12700" cmpd="sng" cap="flat">
                      <a:noFill/>
                      <a:prstDash val="solid"/>
                      <a:round/>
                    </a:ln>
                  </pic:spPr>
                </pic:pic>
              </a:graphicData>
            </a:graphic>
          </wp:anchor>
        </w:drawing>
      </w:r>
      <w:r>
        <w:rPr>
          <w:rFonts w:ascii="Arial" w:eastAsia="Times New Roman" w:cs="Arial" w:hAnsi="Arial"/>
          <w:kern w:val="0"/>
          <w:lang w:eastAsia="en-GB"/>
        </w:rPr>
        <w:t xml:space="preserve">Tesco’s distribution strategy is a key competitive strength. The company operates an </w:t>
      </w:r>
      <w:r>
        <w:rPr>
          <w:rFonts w:ascii="Arial" w:eastAsia="Times New Roman" w:cs="Arial" w:hAnsi="Arial"/>
          <w:b/>
          <w:bCs/>
          <w:kern w:val="0"/>
          <w:lang w:eastAsia="en-GB"/>
        </w:rPr>
        <w:t>omnichannel model</w:t>
      </w:r>
      <w:r>
        <w:rPr>
          <w:rFonts w:ascii="Arial" w:eastAsia="Times New Roman" w:cs="Arial" w:hAnsi="Arial"/>
          <w:kern w:val="0"/>
          <w:lang w:eastAsia="en-GB"/>
        </w:rPr>
        <w:t xml:space="preserve">, as illustrated in </w:t>
      </w:r>
      <w:r>
        <w:rPr>
          <w:rFonts w:ascii="Arial" w:eastAsia="Times New Roman" w:cs="Arial" w:hAnsi="Arial"/>
          <w:b/>
          <w:bCs/>
          <w:kern w:val="0"/>
          <w:lang w:eastAsia="en-GB"/>
        </w:rPr>
        <w:t>Figure 7</w:t>
      </w:r>
      <w:r>
        <w:rPr>
          <w:rFonts w:ascii="Arial" w:eastAsia="Times New Roman" w:cs="Arial" w:hAnsi="Arial"/>
          <w:kern w:val="0"/>
          <w:lang w:eastAsia="en-GB"/>
        </w:rPr>
        <w:t>, including:</w:t>
      </w:r>
    </w:p>
    <w:p>
      <w:pPr>
        <w:spacing w:before="100" w:beforeAutospacing="1" w:after="100" w:afterAutospacing="1" w:line="240" w:lineRule="auto"/>
        <w:jc w:val="both"/>
        <w:rPr>
          <w:rFonts w:ascii="Arial" w:eastAsia="Times New Roman" w:cs="Arial" w:hAnsi="Arial"/>
          <w:kern w:val="0"/>
          <w:lang w:eastAsia="en-GB"/>
        </w:rPr>
      </w:pPr>
    </w:p>
    <w:p>
      <w:pPr>
        <w:spacing w:before="100" w:beforeAutospacing="1" w:after="100" w:afterAutospacing="1" w:line="240" w:lineRule="auto"/>
        <w:jc w:val="both"/>
        <w:rPr>
          <w:rFonts w:ascii="Arial" w:eastAsia="Times New Roman" w:cs="Arial" w:hAnsi="Arial"/>
          <w:kern w:val="0"/>
          <w:lang w:eastAsia="en-GB"/>
        </w:rPr>
      </w:pPr>
      <w:r>
        <w:rPr>
          <w:rFonts w:ascii="Arial" w:eastAsia="Times New Roman" w:cs="Arial" w:hAnsi="Arial"/>
          <w:b/>
          <w:bCs/>
          <w:kern w:val="0"/>
          <w:lang w:eastAsia="en-GB"/>
        </w:rPr>
        <w:t>Figure 7: Tesco Omnichannel Distribution Model (Stores, Online, Click&amp;Collect)</w:t>
      </w:r>
      <w:r>
        <w:rPr>
          <w:rFonts w:ascii="Arial" w:eastAsia="Times New Roman" w:cs="Arial" w:hAnsi="Arial"/>
          <w:kern w:val="0"/>
          <w:lang w:eastAsia="en-GB"/>
        </w:rPr>
        <w:br/>
      </w:r>
      <w:r>
        <w:rPr>
          <w:rFonts w:ascii="Arial" w:eastAsia="Times New Roman" w:cs="Arial" w:hAnsi="Arial"/>
          <w:b/>
          <w:bCs/>
          <w:kern w:val="0"/>
          <w:lang w:eastAsia="en-GB"/>
        </w:rPr>
        <w:t>Source:</w:t>
      </w:r>
      <w:r>
        <w:rPr>
          <w:rFonts w:ascii="Arial" w:eastAsia="Times New Roman" w:cs="Arial" w:hAnsi="Arial"/>
          <w:kern w:val="0"/>
          <w:lang w:eastAsia="en-GB"/>
        </w:rPr>
        <w:t xml:space="preserve"> Adapted from Chaffey and Ellis-Chadwick (2019)</w:t>
      </w:r>
    </w:p>
    <w:p>
      <w:pPr>
        <w:numPr>
          <w:ilvl w:val="0"/>
          <w:numId w:val="5"/>
        </w:numPr>
        <w:spacing w:before="100" w:beforeAutospacing="1" w:after="100" w:afterAutospacing="1" w:line="240" w:lineRule="auto"/>
        <w:jc w:val="both"/>
        <w:rPr>
          <w:rFonts w:ascii="Arial" w:eastAsia="Times New Roman" w:cs="Arial" w:hAnsi="Arial"/>
          <w:kern w:val="0"/>
          <w:lang w:eastAsia="en-GB"/>
        </w:rPr>
      </w:pPr>
      <w:r>
        <w:rPr>
          <w:rFonts w:ascii="Arial" w:eastAsia="Times New Roman" w:cs="Arial" w:hAnsi="Arial"/>
          <w:kern w:val="0"/>
          <w:lang w:eastAsia="en-GB"/>
        </w:rPr>
        <w:t>Tesco Extra (hypermarkets)</w:t>
      </w:r>
    </w:p>
    <w:p>
      <w:pPr>
        <w:numPr>
          <w:ilvl w:val="0"/>
          <w:numId w:val="5"/>
        </w:numPr>
        <w:spacing w:before="100" w:beforeAutospacing="1" w:after="100" w:afterAutospacing="1" w:line="240" w:lineRule="auto"/>
        <w:jc w:val="both"/>
        <w:rPr>
          <w:rFonts w:ascii="Arial" w:eastAsia="Times New Roman" w:cs="Arial" w:hAnsi="Arial"/>
          <w:kern w:val="0"/>
          <w:lang w:eastAsia="en-GB"/>
        </w:rPr>
      </w:pPr>
      <w:r>
        <w:rPr>
          <w:rFonts w:ascii="Arial" w:eastAsia="Times New Roman" w:cs="Arial" w:hAnsi="Arial"/>
          <w:kern w:val="0"/>
          <w:lang w:eastAsia="en-GB"/>
        </w:rPr>
        <w:t>Superstores</w:t>
      </w:r>
    </w:p>
    <w:p>
      <w:pPr>
        <w:numPr>
          <w:ilvl w:val="0"/>
          <w:numId w:val="5"/>
        </w:numPr>
        <w:spacing w:before="100" w:beforeAutospacing="1" w:after="100" w:afterAutospacing="1" w:line="240" w:lineRule="auto"/>
        <w:jc w:val="both"/>
        <w:rPr>
          <w:rFonts w:ascii="Arial" w:eastAsia="Times New Roman" w:cs="Arial" w:hAnsi="Arial"/>
          <w:kern w:val="0"/>
          <w:lang w:eastAsia="en-GB"/>
        </w:rPr>
      </w:pPr>
      <w:r>
        <w:rPr>
          <w:rFonts w:ascii="Arial" w:eastAsia="Times New Roman" w:cs="Arial" w:hAnsi="Arial"/>
          <w:kern w:val="0"/>
          <w:lang w:eastAsia="en-GB"/>
        </w:rPr>
        <w:t>Tesco Express (convenience stores)</w:t>
      </w:r>
    </w:p>
    <w:p>
      <w:pPr>
        <w:numPr>
          <w:ilvl w:val="0"/>
          <w:numId w:val="5"/>
        </w:numPr>
        <w:spacing w:before="100" w:beforeAutospacing="1" w:after="100" w:afterAutospacing="1" w:line="240" w:lineRule="auto"/>
        <w:jc w:val="both"/>
        <w:rPr>
          <w:rFonts w:ascii="Arial" w:eastAsia="Times New Roman" w:cs="Arial" w:hAnsi="Arial"/>
          <w:kern w:val="0"/>
          <w:lang w:eastAsia="en-GB"/>
        </w:rPr>
      </w:pPr>
      <w:r>
        <w:rPr>
          <w:rFonts w:ascii="Arial" w:eastAsia="Times New Roman" w:cs="Arial" w:hAnsi="Arial"/>
          <w:kern w:val="0"/>
          <w:lang w:eastAsia="en-GB"/>
        </w:rPr>
        <w:t>Online platforms and click-and-collect services</w:t>
      </w:r>
    </w:p>
    <w:p>
      <w:pPr>
        <w:spacing w:before="100" w:beforeAutospacing="1" w:after="100" w:afterAutospacing="1" w:line="240" w:lineRule="auto"/>
        <w:jc w:val="both"/>
        <w:rPr>
          <w:rFonts w:ascii="Arial" w:eastAsia="Times New Roman" w:cs="Arial" w:hAnsi="Arial"/>
          <w:kern w:val="0"/>
          <w:lang w:eastAsia="en-GB"/>
        </w:rPr>
      </w:pPr>
      <w:r>
        <w:rPr>
          <w:rFonts w:ascii="Arial" w:eastAsia="Times New Roman" w:cs="Arial" w:hAnsi="Arial"/>
          <w:kern w:val="0"/>
          <w:lang w:eastAsia="en-GB"/>
        </w:rPr>
        <w:t xml:space="preserve">This reflects an </w:t>
      </w:r>
      <w:r>
        <w:rPr>
          <w:rFonts w:ascii="Arial" w:eastAsia="Times New Roman" w:cs="Arial" w:hAnsi="Arial"/>
          <w:b/>
          <w:bCs/>
          <w:kern w:val="0"/>
          <w:lang w:eastAsia="en-GB"/>
        </w:rPr>
        <w:t>intensive distribution strategy</w:t>
      </w:r>
      <w:r>
        <w:rPr>
          <w:rFonts w:ascii="Arial" w:eastAsia="Times New Roman" w:cs="Arial" w:hAnsi="Arial"/>
          <w:kern w:val="0"/>
          <w:lang w:eastAsia="en-GB"/>
        </w:rPr>
        <w:t>, maximising accessibility and supporting geographic segmentation (Kent, 2022). Omnichannel integration enhances convenience, allowing seamless interaction between physical and digital channels (Chaffey and Ellis-Chadwick, 2019).</w:t>
      </w:r>
    </w:p>
    <w:p>
      <w:pPr>
        <w:spacing w:before="100" w:beforeAutospacing="1" w:after="100" w:afterAutospacing="1" w:line="240" w:lineRule="auto"/>
        <w:jc w:val="both"/>
        <w:rPr>
          <w:rFonts w:ascii="Arial" w:eastAsia="Times New Roman" w:cs="Arial" w:hAnsi="Arial"/>
          <w:kern w:val="0"/>
          <w:lang w:eastAsia="en-GB"/>
        </w:rPr>
      </w:pPr>
      <w:r>
        <w:rPr>
          <w:rFonts w:ascii="Arial" w:eastAsia="Times New Roman" w:cs="Arial" w:hAnsi="Arial"/>
          <w:kern w:val="0"/>
          <w:lang w:eastAsia="en-GB"/>
        </w:rPr>
        <w:t>However, this approach increases logistical complexity and cost exposure. Online fulfilment and last-mile delivery significantly raise operational costs, while large-format stores face declining footfall (Euromonitor, 2024). Consequently, Tesco must continuously optimise its store portfolio to balance accessibility with profitability.</w:t>
      </w:r>
    </w:p>
    <w:p>
      <w:pPr>
        <w:spacing w:before="100" w:beforeAutospacing="1" w:after="100" w:afterAutospacing="1" w:line="240" w:lineRule="auto"/>
        <w:jc w:val="both"/>
        <w:rPr>
          <w:rFonts w:ascii="Arial" w:eastAsia="Times New Roman" w:cs="Arial" w:hAnsi="Arial"/>
          <w:b/>
          <w:bCs/>
          <w:kern w:val="0"/>
          <w:lang w:eastAsia="en-GB"/>
        </w:rPr>
      </w:pPr>
      <w:r>
        <w:rPr>
          <w:rFonts w:ascii="Arial" w:eastAsia="Times New Roman" w:cs="Arial" w:hAnsi="Arial"/>
          <w:b/>
          <w:bCs/>
          <w:kern w:val="0"/>
          <w:lang w:eastAsia="en-GB"/>
        </w:rPr>
        <w:t>Promotion Strategy</w:t>
      </w:r>
    </w:p>
    <w:p>
      <w:pPr>
        <w:spacing w:before="100" w:beforeAutospacing="1" w:after="100" w:afterAutospacing="1" w:line="240" w:lineRule="auto"/>
        <w:jc w:val="both"/>
        <w:rPr>
          <w:rFonts w:ascii="Arial" w:eastAsia="Times New Roman" w:cs="Arial" w:hAnsi="Arial"/>
          <w:kern w:val="0"/>
          <w:lang w:eastAsia="en-GB"/>
        </w:rPr>
      </w:pPr>
      <w:r>
        <w:rPr>
          <w:rFonts w:ascii="Arial" w:eastAsia="Times New Roman" w:cs="Arial" w:hAnsi="Arial"/>
          <w:kern w:val="0"/>
          <w:lang w:eastAsia="en-GB"/>
        </w:rPr>
        <w:t xml:space="preserve">Tesco adopts an </w:t>
      </w:r>
      <w:r>
        <w:rPr>
          <w:rFonts w:ascii="Arial" w:eastAsia="Times New Roman" w:cs="Arial" w:hAnsi="Arial"/>
          <w:b/>
          <w:bCs/>
          <w:kern w:val="0"/>
          <w:lang w:eastAsia="en-GB"/>
        </w:rPr>
        <w:t>integrated marketing communications (IMC)</w:t>
      </w:r>
      <w:r>
        <w:rPr>
          <w:rFonts w:ascii="Arial" w:eastAsia="Times New Roman" w:cs="Arial" w:hAnsi="Arial"/>
          <w:kern w:val="0"/>
          <w:lang w:eastAsia="en-GB"/>
        </w:rPr>
        <w:t xml:space="preserve"> approach, including:</w:t>
      </w:r>
    </w:p>
    <w:p>
      <w:pPr>
        <w:numPr>
          <w:ilvl w:val="0"/>
          <w:numId w:val="6"/>
        </w:numPr>
        <w:spacing w:before="100" w:beforeAutospacing="1" w:after="100" w:afterAutospacing="1" w:line="240" w:lineRule="auto"/>
        <w:jc w:val="both"/>
        <w:rPr>
          <w:rFonts w:ascii="Arial" w:eastAsia="Times New Roman" w:cs="Arial" w:hAnsi="Arial"/>
          <w:kern w:val="0"/>
          <w:lang w:eastAsia="en-GB"/>
        </w:rPr>
      </w:pPr>
      <w:r>
        <w:rPr>
          <w:rFonts w:ascii="Arial" w:eastAsia="Times New Roman" w:cs="Arial" w:hAnsi="Arial"/>
          <w:kern w:val="0"/>
          <w:lang w:eastAsia="en-GB"/>
        </w:rPr>
        <w:t>Television and digital advertising</w:t>
      </w:r>
    </w:p>
    <w:p>
      <w:pPr>
        <w:numPr>
          <w:ilvl w:val="0"/>
          <w:numId w:val="6"/>
        </w:numPr>
        <w:spacing w:before="100" w:beforeAutospacing="1" w:after="100" w:afterAutospacing="1" w:line="240" w:lineRule="auto"/>
        <w:jc w:val="both"/>
        <w:rPr>
          <w:rFonts w:ascii="Arial" w:eastAsia="Times New Roman" w:cs="Arial" w:hAnsi="Arial"/>
          <w:kern w:val="0"/>
          <w:lang w:eastAsia="en-GB"/>
        </w:rPr>
      </w:pPr>
      <w:r>
        <w:rPr>
          <w:rFonts w:ascii="Arial" w:eastAsia="Times New Roman" w:cs="Arial" w:hAnsi="Arial"/>
          <w:kern w:val="0"/>
          <w:lang w:eastAsia="en-GB"/>
        </w:rPr>
        <w:t>Social media campaigns</w:t>
      </w:r>
    </w:p>
    <w:p>
      <w:pPr>
        <w:numPr>
          <w:ilvl w:val="0"/>
          <w:numId w:val="6"/>
        </w:numPr>
        <w:spacing w:before="100" w:beforeAutospacing="1" w:after="100" w:afterAutospacing="1" w:line="240" w:lineRule="auto"/>
        <w:jc w:val="both"/>
        <w:rPr>
          <w:rFonts w:ascii="Arial" w:eastAsia="Times New Roman" w:cs="Arial" w:hAnsi="Arial"/>
          <w:kern w:val="0"/>
          <w:lang w:eastAsia="en-GB"/>
        </w:rPr>
      </w:pPr>
      <w:r>
        <w:rPr>
          <w:rFonts w:ascii="Arial" w:eastAsia="Times New Roman" w:cs="Arial" w:hAnsi="Arial"/>
          <w:kern w:val="0"/>
          <w:lang w:eastAsia="en-GB"/>
        </w:rPr>
        <w:t>In-store promotions</w:t>
      </w:r>
    </w:p>
    <w:p>
      <w:pPr>
        <w:numPr>
          <w:ilvl w:val="0"/>
          <w:numId w:val="6"/>
        </w:numPr>
        <w:spacing w:before="100" w:beforeAutospacing="1" w:after="100" w:afterAutospacing="1" w:line="240" w:lineRule="auto"/>
        <w:jc w:val="both"/>
        <w:rPr>
          <w:rFonts w:ascii="Arial" w:eastAsia="Times New Roman" w:cs="Arial" w:hAnsi="Arial"/>
          <w:kern w:val="0"/>
          <w:lang w:eastAsia="en-GB"/>
        </w:rPr>
      </w:pPr>
      <w:r>
        <w:rPr>
          <w:rFonts w:ascii="Arial" w:eastAsia="Times New Roman" w:cs="Arial" w:hAnsi="Arial"/>
          <w:kern w:val="0"/>
          <w:lang w:eastAsia="en-GB"/>
        </w:rPr>
        <w:t>Personalised Clubcard offers</w:t>
      </w:r>
    </w:p>
    <w:p>
      <w:pPr>
        <w:spacing w:before="100" w:beforeAutospacing="1" w:after="100" w:afterAutospacing="1" w:line="240" w:lineRule="auto"/>
        <w:jc w:val="both"/>
        <w:rPr>
          <w:rFonts w:ascii="Arial" w:eastAsia="Times New Roman" w:cs="Arial" w:hAnsi="Arial"/>
          <w:kern w:val="0"/>
          <w:lang w:eastAsia="en-GB"/>
        </w:rPr>
      </w:pPr>
      <w:r>
        <w:rPr>
          <w:rFonts w:ascii="Arial" w:eastAsia="Times New Roman" w:cs="Arial" w:hAnsi="Arial"/>
          <w:kern w:val="0"/>
          <w:lang w:eastAsia="en-GB"/>
        </w:rPr>
        <w:t xml:space="preserve">This ensures consistent messaging across channels (Parment and Armstrong, 2021). The slogan </w:t>
      </w:r>
      <w:r>
        <w:rPr>
          <w:rFonts w:ascii="Arial" w:eastAsia="Times New Roman" w:cs="Arial" w:hAnsi="Arial"/>
          <w:i/>
          <w:iCs/>
          <w:kern w:val="0"/>
          <w:lang w:eastAsia="en-GB"/>
        </w:rPr>
        <w:t>“Every Little Helps”</w:t>
      </w:r>
      <w:r>
        <w:rPr>
          <w:rFonts w:ascii="Arial" w:eastAsia="Times New Roman" w:cs="Arial" w:hAnsi="Arial"/>
          <w:kern w:val="0"/>
          <w:lang w:eastAsia="en-GB"/>
        </w:rPr>
        <w:t xml:space="preserve"> reinforces Tesco’s value-oriented positioning and customer-centric approach.</w:t>
      </w:r>
    </w:p>
    <w:p>
      <w:pPr>
        <w:spacing w:before="100" w:beforeAutospacing="1" w:after="100" w:afterAutospacing="1" w:line="240" w:lineRule="auto"/>
        <w:jc w:val="both"/>
        <w:rPr>
          <w:rFonts w:ascii="Arial" w:eastAsia="Times New Roman" w:cs="Arial" w:hAnsi="Arial"/>
          <w:kern w:val="0"/>
          <w:lang w:eastAsia="en-GB"/>
        </w:rPr>
      </w:pPr>
      <w:r>
        <w:rPr>
          <w:rFonts w:ascii="Arial" w:eastAsia="Times New Roman" w:cs="Arial" w:hAnsi="Arial"/>
          <w:kern w:val="0"/>
          <w:lang w:eastAsia="en-GB"/>
        </w:rPr>
        <w:t>Promotional activity is closely linked to behavioural segmentation, with personalised offers improving targeting precision and marketing efficiency (Zhang, 2019).</w:t>
      </w:r>
    </w:p>
    <w:p>
      <w:pPr>
        <w:spacing w:before="100" w:beforeAutospacing="1" w:after="100" w:afterAutospacing="1" w:line="240" w:lineRule="auto"/>
        <w:jc w:val="both"/>
        <w:rPr>
          <w:rFonts w:ascii="Arial" w:eastAsia="Times New Roman" w:cs="Arial" w:hAnsi="Arial"/>
          <w:kern w:val="0"/>
          <w:lang w:eastAsia="en-GB"/>
        </w:rPr>
      </w:pPr>
      <w:r>
        <w:rPr>
          <w:rFonts w:ascii="Arial" w:eastAsia="Times New Roman" w:cs="Arial" w:hAnsi="Arial"/>
          <w:kern w:val="0"/>
          <w:lang w:eastAsia="en-GB"/>
        </w:rPr>
        <w:t xml:space="preserve">However, Tesco’s promotion strategy is heavily </w:t>
      </w:r>
      <w:r>
        <w:rPr>
          <w:rFonts w:ascii="Arial" w:eastAsia="Times New Roman" w:cs="Arial" w:hAnsi="Arial"/>
          <w:b/>
          <w:bCs/>
          <w:kern w:val="0"/>
          <w:lang w:eastAsia="en-GB"/>
        </w:rPr>
        <w:t>price-focused</w:t>
      </w:r>
      <w:r>
        <w:rPr>
          <w:rFonts w:ascii="Arial" w:eastAsia="Times New Roman" w:cs="Arial" w:hAnsi="Arial"/>
          <w:kern w:val="0"/>
          <w:lang w:eastAsia="en-GB"/>
        </w:rPr>
        <w:t>, emphasising discounts rather than emotional engagement. Tybout and Calder (2018) argue that overreliance on rational appeals may limit brand differentiation. As a result, Tesco’s communication reinforces functional value but does not strongly enhance emotional brand attachment.</w:t>
      </w:r>
    </w:p>
    <w:p>
      <w:pPr>
        <w:spacing w:before="100" w:beforeAutospacing="1" w:after="100" w:afterAutospacing="1" w:line="240" w:lineRule="auto"/>
        <w:jc w:val="both"/>
        <w:rPr>
          <w:rFonts w:ascii="Arial" w:eastAsia="Times New Roman" w:cs="Arial" w:hAnsi="Arial"/>
          <w:b/>
          <w:bCs/>
          <w:kern w:val="0"/>
          <w:lang w:eastAsia="en-GB"/>
        </w:rPr>
      </w:pPr>
      <w:r>
        <w:rPr>
          <w:rFonts w:ascii="Arial" w:eastAsia="Times New Roman" w:cs="Arial" w:hAnsi="Arial"/>
          <w:b/>
          <w:bCs/>
          <w:kern w:val="0"/>
          <w:lang w:eastAsia="en-GB"/>
        </w:rPr>
        <w:t>Extension to 7Ps: Service Elements</w:t>
      </w:r>
    </w:p>
    <w:p>
      <w:pPr>
        <w:spacing w:before="100" w:beforeAutospacing="1" w:after="100" w:afterAutospacing="1" w:line="240" w:lineRule="auto"/>
        <w:jc w:val="both"/>
        <w:rPr>
          <w:rFonts w:ascii="Arial" w:eastAsia="Times New Roman" w:cs="Arial" w:hAnsi="Arial"/>
          <w:kern w:val="0"/>
          <w:lang w:eastAsia="en-GB"/>
        </w:rPr>
      </w:pPr>
      <w:r>
        <w:rPr>
          <w:rFonts w:ascii="Arial" w:eastAsia="Times New Roman" w:cs="Arial" w:hAnsi="Arial"/>
          <w:kern w:val="0"/>
          <w:lang w:eastAsia="en-GB"/>
        </w:rPr>
        <w:t>Tesco’s strategy also reflects elements of the extended marketing mix:</w:t>
      </w:r>
    </w:p>
    <w:p>
      <w:pPr>
        <w:numPr>
          <w:ilvl w:val="0"/>
          <w:numId w:val="7"/>
        </w:numPr>
        <w:spacing w:before="100" w:beforeAutospacing="1" w:after="100" w:afterAutospacing="1" w:line="240" w:lineRule="auto"/>
        <w:jc w:val="both"/>
        <w:rPr>
          <w:rFonts w:ascii="Arial" w:eastAsia="Times New Roman" w:cs="Arial" w:hAnsi="Arial"/>
          <w:kern w:val="0"/>
          <w:lang w:eastAsia="en-GB"/>
        </w:rPr>
      </w:pPr>
      <w:r>
        <w:rPr>
          <w:rFonts w:ascii="Arial" w:eastAsia="Times New Roman" w:cs="Arial" w:hAnsi="Arial"/>
          <w:b/>
          <w:bCs/>
          <w:kern w:val="0"/>
          <w:lang w:eastAsia="en-GB"/>
        </w:rPr>
        <w:t>People:</w:t>
      </w:r>
      <w:r>
        <w:rPr>
          <w:rFonts w:ascii="Arial" w:eastAsia="Times New Roman" w:cs="Arial" w:hAnsi="Arial"/>
          <w:kern w:val="0"/>
          <w:lang w:eastAsia="en-GB"/>
        </w:rPr>
        <w:t xml:space="preserve"> Staff interactions influence service quality and customer satisfaction (Christopher, Payne and Ballantyne, 2016).</w:t>
      </w:r>
    </w:p>
    <w:p>
      <w:pPr>
        <w:numPr>
          <w:ilvl w:val="0"/>
          <w:numId w:val="7"/>
        </w:numPr>
        <w:spacing w:before="100" w:beforeAutospacing="1" w:after="100" w:afterAutospacing="1" w:line="240" w:lineRule="auto"/>
        <w:jc w:val="both"/>
        <w:rPr>
          <w:rFonts w:ascii="Arial" w:eastAsia="Times New Roman" w:cs="Arial" w:hAnsi="Arial"/>
          <w:kern w:val="0"/>
          <w:lang w:eastAsia="en-GB"/>
        </w:rPr>
      </w:pPr>
      <w:r>
        <w:rPr>
          <w:rFonts w:ascii="Arial" w:eastAsia="Times New Roman" w:cs="Arial" w:hAnsi="Arial"/>
          <w:b/>
          <w:bCs/>
          <w:kern w:val="0"/>
          <w:lang w:eastAsia="en-GB"/>
        </w:rPr>
        <w:t>Process:</w:t>
      </w:r>
      <w:r>
        <w:rPr>
          <w:rFonts w:ascii="Arial" w:eastAsia="Times New Roman" w:cs="Arial" w:hAnsi="Arial"/>
          <w:kern w:val="0"/>
          <w:lang w:eastAsia="en-GB"/>
        </w:rPr>
        <w:t xml:space="preserve"> Self-checkout systems and mobile apps improve efficiency and convenience.</w:t>
      </w:r>
    </w:p>
    <w:p>
      <w:pPr>
        <w:numPr>
          <w:ilvl w:val="0"/>
          <w:numId w:val="7"/>
        </w:numPr>
        <w:spacing w:before="100" w:beforeAutospacing="1" w:after="100" w:afterAutospacing="1" w:line="240" w:lineRule="auto"/>
        <w:jc w:val="both"/>
        <w:rPr>
          <w:rFonts w:ascii="Arial" w:eastAsia="Times New Roman" w:cs="Arial" w:hAnsi="Arial"/>
          <w:kern w:val="0"/>
          <w:lang w:eastAsia="en-GB"/>
        </w:rPr>
      </w:pPr>
      <w:r>
        <w:rPr>
          <w:rFonts w:ascii="Arial" w:eastAsia="Times New Roman" w:cs="Arial" w:hAnsi="Arial"/>
          <w:b/>
          <w:bCs/>
          <w:kern w:val="0"/>
          <w:lang w:eastAsia="en-GB"/>
        </w:rPr>
        <w:t>Physical Evidence:</w:t>
      </w:r>
      <w:r>
        <w:rPr>
          <w:rFonts w:ascii="Arial" w:eastAsia="Times New Roman" w:cs="Arial" w:hAnsi="Arial"/>
          <w:kern w:val="0"/>
          <w:lang w:eastAsia="en-GB"/>
        </w:rPr>
        <w:t xml:space="preserve"> Store layout, packaging, and digital interfaces reinforce brand perception (CIM, 2019).</w:t>
      </w:r>
    </w:p>
    <w:p>
      <w:pPr>
        <w:spacing w:before="100" w:beforeAutospacing="1" w:after="100" w:afterAutospacing="1" w:line="240" w:lineRule="auto"/>
        <w:jc w:val="both"/>
        <w:rPr>
          <w:rFonts w:ascii="Arial" w:eastAsia="Times New Roman" w:cs="Arial" w:hAnsi="Arial"/>
          <w:kern w:val="0"/>
          <w:lang w:eastAsia="en-GB"/>
        </w:rPr>
      </w:pPr>
      <w:r>
        <w:rPr>
          <w:rFonts w:ascii="Arial" w:eastAsia="Times New Roman" w:cs="Arial" w:hAnsi="Arial"/>
          <w:kern w:val="0"/>
          <w:lang w:eastAsia="en-GB"/>
        </w:rPr>
        <w:t>These elements enhance customer experience and support Tesco’s positioning as a convenient and reliable retailer.</w:t>
      </w:r>
    </w:p>
    <w:p>
      <w:pPr>
        <w:spacing w:before="100" w:beforeAutospacing="1" w:after="100" w:afterAutospacing="1" w:line="240" w:lineRule="auto"/>
        <w:jc w:val="both"/>
        <w:rPr>
          <w:rFonts w:ascii="Arial" w:eastAsia="Times New Roman" w:cs="Arial" w:hAnsi="Arial"/>
          <w:b/>
          <w:bCs/>
          <w:kern w:val="0"/>
          <w:lang w:eastAsia="en-GB"/>
        </w:rPr>
      </w:pPr>
      <w:r>
        <w:rPr>
          <w:rFonts w:ascii="Arial" w:eastAsia="Times New Roman" w:cs="Arial" w:hAnsi="Arial"/>
          <w:b/>
          <w:bCs/>
          <w:kern w:val="0"/>
          <w:lang w:eastAsia="en-GB"/>
        </w:rPr>
        <w:t>Overall Marketing Mix Evaluation</w:t>
      </w:r>
    </w:p>
    <w:p>
      <w:pPr>
        <w:spacing w:before="100" w:beforeAutospacing="1" w:after="100" w:afterAutospacing="1" w:line="240" w:lineRule="auto"/>
        <w:jc w:val="both"/>
        <w:rPr>
          <w:rFonts w:ascii="Arial" w:eastAsia="Times New Roman" w:cs="Arial" w:hAnsi="Arial"/>
          <w:kern w:val="0"/>
          <w:lang w:eastAsia="en-GB"/>
        </w:rPr>
      </w:pPr>
      <w:r>
        <w:rPr>
          <w:rFonts w:ascii="Arial" w:eastAsia="Times New Roman" w:cs="Arial" w:hAnsi="Arial"/>
          <w:kern w:val="0"/>
          <w:lang w:eastAsia="en-GB"/>
        </w:rPr>
        <w:t xml:space="preserve">Tesco’s marketing mix demonstrates strong alignment with its STP strategy. As illustrated in </w:t>
      </w:r>
      <w:r>
        <w:rPr>
          <w:rFonts w:ascii="Arial" w:eastAsia="Times New Roman" w:cs="Arial" w:hAnsi="Arial"/>
          <w:b/>
          <w:bCs/>
          <w:kern w:val="0"/>
          <w:lang w:eastAsia="en-GB"/>
        </w:rPr>
        <w:t>Figures 6 and 7</w:t>
      </w:r>
      <w:r>
        <w:rPr>
          <w:rFonts w:ascii="Arial" w:eastAsia="Times New Roman" w:cs="Arial" w:hAnsi="Arial"/>
          <w:kern w:val="0"/>
          <w:lang w:eastAsia="en-GB"/>
        </w:rPr>
        <w:t>, product, pricing, distribution, and promotion collectively reinforce its value-based positioning and broad market coverage.</w:t>
      </w:r>
    </w:p>
    <w:p>
      <w:pPr>
        <w:spacing w:before="100" w:beforeAutospacing="1" w:after="100" w:afterAutospacing="1" w:line="240" w:lineRule="auto"/>
        <w:jc w:val="both"/>
        <w:rPr>
          <w:rFonts w:ascii="Arial" w:eastAsia="Times New Roman" w:cs="Arial" w:hAnsi="Arial"/>
          <w:kern w:val="0"/>
          <w:lang w:eastAsia="en-GB"/>
        </w:rPr>
      </w:pPr>
      <w:r>
        <w:rPr>
          <w:rFonts w:ascii="Arial" w:eastAsia="Times New Roman" w:cs="Arial" w:hAnsi="Arial"/>
          <w:kern w:val="0"/>
          <w:lang w:eastAsia="en-GB"/>
        </w:rPr>
        <w:t xml:space="preserve">However, the strategy is heavily dependent on </w:t>
      </w:r>
      <w:r>
        <w:rPr>
          <w:rFonts w:ascii="Arial" w:eastAsia="Times New Roman" w:cs="Arial" w:hAnsi="Arial"/>
          <w:b/>
          <w:bCs/>
          <w:kern w:val="0"/>
          <w:lang w:eastAsia="en-GB"/>
        </w:rPr>
        <w:t>price competitiveness</w:t>
      </w:r>
      <w:r>
        <w:rPr>
          <w:rFonts w:ascii="Arial" w:eastAsia="Times New Roman" w:cs="Arial" w:hAnsi="Arial"/>
          <w:kern w:val="0"/>
          <w:lang w:eastAsia="en-GB"/>
        </w:rPr>
        <w:t>, which may limit long-term differentiation. While the marketing mix effectively supports short-term performance, future success will require greater emphasis on experiential value, premium differentiation, and emotional branding.</w:t>
      </w:r>
    </w:p>
    <w:p>
      <w:pPr>
        <w:spacing w:before="100" w:beforeAutospacing="1" w:after="100" w:afterAutospacing="1" w:line="240" w:lineRule="auto"/>
        <w:jc w:val="both"/>
        <w:rPr>
          <w:rFonts w:ascii="Arial" w:cs="Arial" w:hAnsi="Arial"/>
        </w:rPr>
      </w:pPr>
      <w:r>
        <w:rPr>
          <w:rFonts w:ascii="Arial" w:cs="Arial" w:hAnsi="Arial"/>
        </w:rPr>
        <w:t>The strategic alignment between Tesco’s segmentation, targeting, positioning, and marketing mix decisions is summarised visually in Appendix A.</w:t>
      </w:r>
    </w:p>
    <w:p>
      <w:pPr>
        <w:spacing w:before="100" w:beforeAutospacing="1" w:after="100" w:afterAutospacing="1" w:line="240" w:lineRule="auto"/>
        <w:jc w:val="both"/>
        <w:rPr>
          <w:rFonts w:ascii="Arial" w:cs="Arial" w:hAnsi="Arial"/>
          <w:b/>
          <w:bCs/>
        </w:rPr>
      </w:pPr>
      <w:r>
        <w:rPr>
          <w:rFonts w:ascii="Arial" w:cs="Arial" w:hAnsi="Arial"/>
          <w:b/>
          <w:bCs/>
        </w:rPr>
        <w:t>Conclusion and Strategic Recommendations</w:t>
      </w:r>
    </w:p>
    <w:p>
      <w:pPr>
        <w:spacing w:before="100" w:beforeAutospacing="1" w:after="100" w:afterAutospacing="1" w:line="240" w:lineRule="auto"/>
        <w:jc w:val="both"/>
        <w:rPr>
          <w:rFonts w:ascii="Arial" w:cs="Arial" w:hAnsi="Arial"/>
        </w:rPr>
      </w:pPr>
      <w:r>
        <w:rPr>
          <w:rFonts w:ascii="Arial" w:cs="Arial" w:hAnsi="Arial"/>
        </w:rPr>
        <w:t>This report has critically evaluated Tesco PLC’s segmentation, targeting, positioning (STP) strategies and marketing mix within the UK grocery retail market. The analysis demonstrates that Tesco employs a sophisticated multi-dimensional segmentation approach, integrating demographic, geographic, psychographic, and behavioural variables. In particular, its data-driven behavioural segmentation through the Clubcard programme represents a key competitive advantage, enabling personalised marketing and enhanced customer retention.</w:t>
      </w:r>
    </w:p>
    <w:p>
      <w:pPr>
        <w:spacing w:before="100" w:beforeAutospacing="1" w:after="100" w:afterAutospacing="1" w:line="240" w:lineRule="auto"/>
        <w:jc w:val="both"/>
        <w:rPr>
          <w:rFonts w:ascii="Arial" w:cs="Arial" w:hAnsi="Arial"/>
        </w:rPr>
      </w:pPr>
      <w:r>
        <w:rPr>
          <w:rFonts w:ascii="Arial" w:cs="Arial" w:hAnsi="Arial"/>
        </w:rPr>
        <w:t>Tesco’s differentiated targeting strategy supports broad market coverage and economies of scale, contributing to its market leadership. However, this approach creates structural tension between cost leadership and differentiation, increasing strategic complexity. While Tesco’s value-based positioning remains effective—particularly during periods of economic uncertainty—it lacks strong differentiation compared to both discount and premium competitors, as illustrated in Figure 5.</w:t>
      </w:r>
    </w:p>
    <w:p>
      <w:pPr>
        <w:spacing w:before="100" w:beforeAutospacing="1" w:after="100" w:afterAutospacing="1" w:line="240" w:lineRule="auto"/>
        <w:jc w:val="both"/>
        <w:rPr>
          <w:rFonts w:ascii="Arial" w:cs="Arial" w:hAnsi="Arial"/>
        </w:rPr>
      </w:pPr>
      <w:r>
        <w:rPr>
          <w:rFonts w:ascii="Arial" w:cs="Arial" w:hAnsi="Arial"/>
        </w:rPr>
        <w:t>The marketing mix shows strong alignment with STP decisions. Product tiering supports demographic segmentation, while Clubcard pricing reinforces behavioural targeting. Tesco’s omnichannel distribution strategy (Figure 7) enhances accessibility and convenience, strengthening its competitive position. However, heavy reliance on price-based promotions risks eroding brand equity and reinforcing transactional rather than emotional loyalty.</w:t>
      </w:r>
    </w:p>
    <w:p>
      <w:pPr>
        <w:spacing w:before="100" w:beforeAutospacing="1" w:after="100" w:afterAutospacing="1" w:line="240" w:lineRule="auto"/>
        <w:jc w:val="both"/>
        <w:rPr>
          <w:rFonts w:ascii="Arial" w:cs="Arial" w:hAnsi="Arial"/>
        </w:rPr>
      </w:pPr>
      <w:r>
        <w:rPr>
          <w:rFonts w:ascii="Arial" w:cs="Arial" w:hAnsi="Arial"/>
        </w:rPr>
        <w:t>To enhance long-term competitive advantage, several strategic recommendations are proposed. First, Tesco should strengthen premium differentiation by improving the visibility and perceived value of its Tesco Finest range, thereby enhancing brand imagery and emotional engagement. Second, the company should reduce its dependence on discount-led promotions and instead focus on value-added benefits to build deeper customer relationships. Third, continued investment in data analytics and AI-driven targeting would further improve marketing efficiency and personalisation. Finally, Tesco should elevate sustainability from a supporting initiative to a core positioning element, aligning more closely with evolving consumer values.</w:t>
      </w:r>
    </w:p>
    <w:p>
      <w:pPr>
        <w:spacing w:before="100" w:beforeAutospacing="1" w:after="100" w:afterAutospacing="1" w:line="240" w:lineRule="auto"/>
        <w:jc w:val="both"/>
        <w:rPr>
          <w:rFonts w:ascii="Arial" w:cs="Arial" w:hAnsi="Arial"/>
        </w:rPr>
      </w:pPr>
      <w:r>
        <w:rPr>
          <w:rFonts w:ascii="Arial" w:cs="Arial" w:hAnsi="Arial"/>
        </w:rPr>
        <w:t>In conclusion, Tesco’s current strategy effectively supports market leadership through scale, accessibility, and data-driven targeting. However, future success will depend on transitioning from price-led competition toward stronger differentiation, enhanced emotional branding, and clearer strategic positioning within an increasingly polarised retail landscape.</w:t>
      </w:r>
    </w:p>
    <w:p>
      <w:pPr>
        <w:spacing w:before="100" w:beforeAutospacing="1" w:after="100" w:afterAutospacing="1" w:line="240" w:lineRule="auto"/>
        <w:jc w:val="both"/>
        <w:rPr>
          <w:rFonts w:ascii="Arial" w:cs="Arial" w:hAnsi="Arial"/>
        </w:rPr>
      </w:pPr>
      <w:r>
        <w:rPr>
          <w:rFonts w:ascii="Arial" w:cs="Arial" w:hAnsi="Arial"/>
          <w:b/>
          <w:bCs/>
        </w:rPr>
        <w:t>References</w:t>
      </w:r>
    </w:p>
    <w:p>
      <w:pPr>
        <w:pStyle w:val="22"/>
        <w:numPr>
          <w:ilvl w:val="0"/>
          <w:numId w:val="8"/>
        </w:numPr>
        <w:jc w:val="both"/>
        <w:rPr>
          <w:rFonts w:ascii="Arial" w:cs="Arial" w:hAnsi="Arial"/>
        </w:rPr>
      </w:pPr>
      <w:r>
        <w:rPr>
          <w:rFonts w:ascii="Arial" w:cs="Arial" w:hAnsi="Arial"/>
        </w:rPr>
        <w:t xml:space="preserve">Blythe, J. and Martin, J. (2019) </w:t>
      </w:r>
      <w:r>
        <w:rPr>
          <w:rFonts w:ascii="Arial" w:cs="Arial" w:hAnsi="Arial"/>
          <w:i/>
          <w:iCs/>
        </w:rPr>
        <w:t>Essentials of Marketing</w:t>
      </w:r>
      <w:r>
        <w:rPr>
          <w:rFonts w:ascii="Arial" w:cs="Arial" w:hAnsi="Arial"/>
        </w:rPr>
        <w:t>. 7th edn. Harlow: Pearson.</w:t>
      </w:r>
    </w:p>
    <w:p>
      <w:pPr>
        <w:pStyle w:val="22"/>
        <w:numPr>
          <w:ilvl w:val="0"/>
          <w:numId w:val="8"/>
        </w:numPr>
        <w:jc w:val="both"/>
        <w:rPr>
          <w:rFonts w:ascii="Arial" w:cs="Arial" w:hAnsi="Arial"/>
        </w:rPr>
      </w:pPr>
      <w:r>
        <w:rPr>
          <w:rFonts w:ascii="Arial" w:cs="Arial" w:hAnsi="Arial"/>
        </w:rPr>
        <w:t xml:space="preserve">Booms, B.H. and Bitner, M.J. (1981) ‘Marketing strategies and organisation structures for service firms’, in Donnelly, J.H. and George, W.R. (eds.) </w:t>
      </w:r>
      <w:r>
        <w:rPr>
          <w:rFonts w:ascii="Arial" w:cs="Arial" w:hAnsi="Arial"/>
          <w:i/>
          <w:iCs/>
        </w:rPr>
        <w:t>Marketing of Services</w:t>
      </w:r>
      <w:r>
        <w:rPr>
          <w:rFonts w:ascii="Arial" w:cs="Arial" w:hAnsi="Arial"/>
        </w:rPr>
        <w:t>. Chicago: American Marketing Association, pp. 47–51.</w:t>
      </w:r>
    </w:p>
    <w:p>
      <w:pPr>
        <w:pStyle w:val="22"/>
        <w:numPr>
          <w:ilvl w:val="0"/>
          <w:numId w:val="8"/>
        </w:numPr>
        <w:jc w:val="both"/>
        <w:rPr>
          <w:rFonts w:ascii="Arial" w:cs="Arial" w:hAnsi="Arial"/>
        </w:rPr>
      </w:pPr>
      <w:r>
        <w:rPr>
          <w:rFonts w:ascii="Arial" w:cs="Arial" w:hAnsi="Arial"/>
        </w:rPr>
        <w:t xml:space="preserve">Chaffey, D. and Ellis-Chadwick, F. (2019) </w:t>
      </w:r>
      <w:r>
        <w:rPr>
          <w:rFonts w:ascii="Arial" w:cs="Arial" w:hAnsi="Arial"/>
          <w:i/>
          <w:iCs/>
        </w:rPr>
        <w:t>Digital Marketing</w:t>
      </w:r>
      <w:r>
        <w:rPr>
          <w:rFonts w:ascii="Arial" w:cs="Arial" w:hAnsi="Arial"/>
        </w:rPr>
        <w:t>. 7th edn. Harlow: Pearson.</w:t>
      </w:r>
    </w:p>
    <w:p>
      <w:pPr>
        <w:pStyle w:val="22"/>
        <w:numPr>
          <w:ilvl w:val="0"/>
          <w:numId w:val="8"/>
        </w:numPr>
        <w:jc w:val="both"/>
        <w:rPr>
          <w:rFonts w:ascii="Arial" w:cs="Arial" w:hAnsi="Arial"/>
        </w:rPr>
      </w:pPr>
      <w:r>
        <w:rPr>
          <w:rFonts w:ascii="Arial" w:cs="Arial" w:hAnsi="Arial"/>
        </w:rPr>
        <w:t xml:space="preserve">Chartered Institute of Marketing (CIM) (2019) </w:t>
      </w:r>
      <w:r>
        <w:rPr>
          <w:rFonts w:ascii="Arial" w:cs="Arial" w:hAnsi="Arial"/>
          <w:i/>
          <w:iCs/>
        </w:rPr>
        <w:t>Marketing and the 7Ps: A brief summary of marketing and how it works</w:t>
      </w:r>
      <w:r>
        <w:rPr>
          <w:rFonts w:ascii="Arial" w:cs="Arial" w:hAnsi="Arial"/>
        </w:rPr>
        <w:t xml:space="preserve">. Available at: </w:t>
      </w:r>
      <w:r>
        <w:rPr>
          <w:rStyle w:val="24"/>
          <w:rFonts w:ascii="Arial" w:cs="Arial" w:hAnsi="Arial"/>
        </w:rPr>
        <w:fldChar w:fldCharType="begin"/>
      </w:r>
      <w:r>
        <w:instrText>HYPERLINK "https://www.cim.co.uk/media/4772/7ps.pdf"</w:instrText>
      </w:r>
      <w:r>
        <w:rPr>
          <w:rStyle w:val="24"/>
          <w:rFonts w:ascii="Arial" w:cs="Arial" w:hAnsi="Arial"/>
        </w:rPr>
        <w:fldChar w:fldCharType="separate"/>
      </w:r>
      <w:r>
        <w:rPr>
          <w:rStyle w:val="24"/>
          <w:rFonts w:ascii="Arial" w:cs="Arial" w:hAnsi="Arial"/>
        </w:rPr>
        <w:t>https://www.cim.co.uk/media/4772/7ps.pdf</w:t>
      </w:r>
      <w:r>
        <w:rPr>
          <w:rStyle w:val="24"/>
          <w:rFonts w:ascii="Arial" w:cs="Arial" w:hAnsi="Arial"/>
        </w:rPr>
        <w:fldChar w:fldCharType="end"/>
      </w:r>
    </w:p>
    <w:p>
      <w:pPr>
        <w:pStyle w:val="22"/>
        <w:numPr>
          <w:ilvl w:val="0"/>
          <w:numId w:val="8"/>
        </w:numPr>
        <w:jc w:val="both"/>
        <w:rPr>
          <w:rFonts w:ascii="Arial" w:cs="Arial" w:hAnsi="Arial"/>
        </w:rPr>
      </w:pPr>
      <w:r>
        <w:rPr>
          <w:rFonts w:ascii="Arial" w:cs="Arial" w:hAnsi="Arial"/>
        </w:rPr>
        <w:t xml:space="preserve">Christopher, M., Payne, A. and Ballantyne, D. (2016) </w:t>
      </w:r>
      <w:r>
        <w:rPr>
          <w:rFonts w:ascii="Arial" w:cs="Arial" w:hAnsi="Arial"/>
          <w:i/>
          <w:iCs/>
        </w:rPr>
        <w:t>Relationship Marketing: Creating Stakeholder Value</w:t>
      </w:r>
      <w:r>
        <w:rPr>
          <w:rFonts w:ascii="Arial" w:cs="Arial" w:hAnsi="Arial"/>
        </w:rPr>
        <w:t>. 2nd edn. London: Routledge.</w:t>
      </w:r>
    </w:p>
    <w:p>
      <w:pPr>
        <w:pStyle w:val="22"/>
        <w:numPr>
          <w:ilvl w:val="0"/>
          <w:numId w:val="8"/>
        </w:numPr>
        <w:jc w:val="both"/>
        <w:rPr>
          <w:rFonts w:ascii="Arial" w:cs="Arial" w:hAnsi="Arial"/>
        </w:rPr>
      </w:pPr>
      <w:r>
        <w:rPr>
          <w:rFonts w:ascii="Arial" w:cs="Arial" w:hAnsi="Arial"/>
        </w:rPr>
        <w:t xml:space="preserve">Dibb, S. and Simkin, L. (2018) </w:t>
      </w:r>
      <w:r>
        <w:rPr>
          <w:rFonts w:ascii="Arial" w:cs="Arial" w:hAnsi="Arial"/>
          <w:i/>
          <w:iCs/>
        </w:rPr>
        <w:t>Market Segmentation: Concepts and Applications</w:t>
      </w:r>
      <w:r>
        <w:rPr>
          <w:rFonts w:ascii="Arial" w:cs="Arial" w:hAnsi="Arial"/>
        </w:rPr>
        <w:t>. 3rd edn. London: Sage.</w:t>
      </w:r>
    </w:p>
    <w:p>
      <w:pPr>
        <w:pStyle w:val="22"/>
        <w:numPr>
          <w:ilvl w:val="0"/>
          <w:numId w:val="8"/>
        </w:numPr>
        <w:jc w:val="both"/>
        <w:rPr>
          <w:rFonts w:ascii="Arial" w:cs="Arial" w:hAnsi="Arial"/>
        </w:rPr>
      </w:pPr>
      <w:r>
        <w:rPr>
          <w:rFonts w:ascii="Arial" w:cs="Arial" w:hAnsi="Arial"/>
        </w:rPr>
        <w:t xml:space="preserve">Doyle, P. (2012) </w:t>
      </w:r>
      <w:r>
        <w:rPr>
          <w:rFonts w:ascii="Arial" w:cs="Arial" w:hAnsi="Arial"/>
          <w:i/>
          <w:iCs/>
        </w:rPr>
        <w:t>Value-Based Marketing: Marketing Strategies for Corporate Growth and Shareholder Value</w:t>
      </w:r>
      <w:r>
        <w:rPr>
          <w:rFonts w:ascii="Arial" w:cs="Arial" w:hAnsi="Arial"/>
        </w:rPr>
        <w:t>. 2nd edn. Chichester: Wiley.</w:t>
      </w:r>
    </w:p>
    <w:p>
      <w:pPr>
        <w:pStyle w:val="22"/>
        <w:numPr>
          <w:ilvl w:val="0"/>
          <w:numId w:val="8"/>
        </w:numPr>
        <w:jc w:val="both"/>
        <w:rPr>
          <w:rFonts w:ascii="Arial" w:cs="Arial" w:hAnsi="Arial"/>
        </w:rPr>
      </w:pPr>
      <w:r>
        <w:rPr>
          <w:rFonts w:ascii="Arial" w:cs="Arial" w:hAnsi="Arial"/>
        </w:rPr>
        <w:t xml:space="preserve">Euromonitor (2024) </w:t>
      </w:r>
      <w:r>
        <w:rPr>
          <w:rFonts w:ascii="Arial" w:cs="Arial" w:hAnsi="Arial"/>
          <w:i/>
          <w:iCs/>
        </w:rPr>
        <w:t>Grocery Retailing in the United Kingdom</w:t>
      </w:r>
      <w:r>
        <w:rPr>
          <w:rFonts w:ascii="Arial" w:cs="Arial" w:hAnsi="Arial"/>
        </w:rPr>
        <w:t xml:space="preserve">. Available at: </w:t>
      </w:r>
      <w:r>
        <w:rPr>
          <w:rStyle w:val="24"/>
          <w:rFonts w:ascii="Arial" w:cs="Arial" w:hAnsi="Arial"/>
        </w:rPr>
        <w:fldChar w:fldCharType="begin"/>
      </w:r>
      <w:r>
        <w:instrText>HYPERLINK "https://www.euromonitor.com"</w:instrText>
      </w:r>
      <w:r>
        <w:rPr>
          <w:rStyle w:val="24"/>
          <w:rFonts w:ascii="Arial" w:cs="Arial" w:hAnsi="Arial"/>
        </w:rPr>
        <w:fldChar w:fldCharType="separate"/>
      </w:r>
      <w:r>
        <w:rPr>
          <w:rStyle w:val="24"/>
          <w:rFonts w:ascii="Arial" w:cs="Arial" w:hAnsi="Arial"/>
        </w:rPr>
        <w:t>https://www.euromonitor.com</w:t>
      </w:r>
      <w:r>
        <w:rPr>
          <w:rStyle w:val="24"/>
          <w:rFonts w:ascii="Arial" w:cs="Arial" w:hAnsi="Arial"/>
        </w:rPr>
        <w:fldChar w:fldCharType="end"/>
      </w:r>
    </w:p>
    <w:p>
      <w:pPr>
        <w:pStyle w:val="22"/>
        <w:numPr>
          <w:ilvl w:val="0"/>
          <w:numId w:val="8"/>
        </w:numPr>
        <w:jc w:val="both"/>
        <w:rPr>
          <w:rFonts w:ascii="Arial" w:cs="Arial" w:hAnsi="Arial"/>
        </w:rPr>
      </w:pPr>
      <w:r>
        <w:rPr>
          <w:rFonts w:ascii="Arial" w:cs="Arial" w:hAnsi="Arial"/>
        </w:rPr>
        <w:t xml:space="preserve">Grant, R.M. (2022) </w:t>
      </w:r>
      <w:r>
        <w:rPr>
          <w:rFonts w:ascii="Arial" w:cs="Arial" w:hAnsi="Arial"/>
          <w:i/>
          <w:iCs/>
        </w:rPr>
        <w:t>Contemporary Strategy Analysis</w:t>
      </w:r>
      <w:r>
        <w:rPr>
          <w:rFonts w:ascii="Arial" w:cs="Arial" w:hAnsi="Arial"/>
        </w:rPr>
        <w:t>. 11th edn. Oxford: Wiley.</w:t>
      </w:r>
    </w:p>
    <w:p>
      <w:pPr>
        <w:pStyle w:val="22"/>
        <w:numPr>
          <w:ilvl w:val="0"/>
          <w:numId w:val="8"/>
        </w:numPr>
        <w:jc w:val="both"/>
        <w:rPr>
          <w:rFonts w:ascii="Arial" w:cs="Arial" w:hAnsi="Arial"/>
        </w:rPr>
      </w:pPr>
      <w:r>
        <w:rPr>
          <w:rFonts w:ascii="Arial" w:cs="Arial" w:hAnsi="Arial"/>
        </w:rPr>
        <w:t xml:space="preserve">Hague, P. (2019) </w:t>
      </w:r>
      <w:r>
        <w:rPr>
          <w:rFonts w:ascii="Arial" w:cs="Arial" w:hAnsi="Arial"/>
          <w:i/>
          <w:iCs/>
        </w:rPr>
        <w:t>Market Research in Practice</w:t>
      </w:r>
      <w:r>
        <w:rPr>
          <w:rFonts w:ascii="Arial" w:cs="Arial" w:hAnsi="Arial"/>
        </w:rPr>
        <w:t>. 4th edn. London: Kogan Page.</w:t>
      </w:r>
    </w:p>
    <w:p>
      <w:pPr>
        <w:pStyle w:val="22"/>
        <w:numPr>
          <w:ilvl w:val="0"/>
          <w:numId w:val="8"/>
        </w:numPr>
        <w:jc w:val="both"/>
        <w:rPr>
          <w:rFonts w:ascii="Arial" w:cs="Arial" w:hAnsi="Arial"/>
        </w:rPr>
      </w:pPr>
      <w:r>
        <w:rPr>
          <w:rFonts w:ascii="Arial" w:cs="Arial" w:hAnsi="Arial"/>
        </w:rPr>
        <w:t xml:space="preserve">Hooley, G., Piercy, N. and Nicoulaud, B. (2020) </w:t>
      </w:r>
      <w:r>
        <w:rPr>
          <w:rFonts w:ascii="Arial" w:cs="Arial" w:hAnsi="Arial"/>
          <w:i/>
          <w:iCs/>
        </w:rPr>
        <w:t>Marketing Strategy and Competitive Positioning</w:t>
      </w:r>
      <w:r>
        <w:rPr>
          <w:rFonts w:ascii="Arial" w:cs="Arial" w:hAnsi="Arial"/>
        </w:rPr>
        <w:t>. 7th edn. Harlow: Pearson.</w:t>
      </w:r>
    </w:p>
    <w:p>
      <w:pPr>
        <w:pStyle w:val="22"/>
        <w:numPr>
          <w:ilvl w:val="0"/>
          <w:numId w:val="8"/>
        </w:numPr>
        <w:jc w:val="both"/>
        <w:rPr>
          <w:rFonts w:ascii="Arial" w:cs="Arial" w:hAnsi="Arial"/>
        </w:rPr>
      </w:pPr>
      <w:r>
        <w:rPr>
          <w:rFonts w:ascii="Arial" w:cs="Arial" w:hAnsi="Arial"/>
        </w:rPr>
        <w:t xml:space="preserve">Johnson, G., Scholes, K. and Whittington, R. (2020) </w:t>
      </w:r>
      <w:r>
        <w:rPr>
          <w:rFonts w:ascii="Arial" w:cs="Arial" w:hAnsi="Arial"/>
          <w:i/>
          <w:iCs/>
        </w:rPr>
        <w:t>Exploring Strategy</w:t>
      </w:r>
      <w:r>
        <w:rPr>
          <w:rFonts w:ascii="Arial" w:cs="Arial" w:hAnsi="Arial"/>
        </w:rPr>
        <w:t>. 12th edn. Harlow: Pearson.</w:t>
      </w:r>
    </w:p>
    <w:p>
      <w:pPr>
        <w:pStyle w:val="22"/>
        <w:numPr>
          <w:ilvl w:val="0"/>
          <w:numId w:val="8"/>
        </w:numPr>
        <w:jc w:val="both"/>
        <w:rPr>
          <w:rFonts w:ascii="Arial" w:cs="Arial" w:hAnsi="Arial"/>
        </w:rPr>
      </w:pPr>
      <w:r>
        <w:rPr>
          <w:rFonts w:ascii="Arial" w:cs="Arial" w:hAnsi="Arial"/>
        </w:rPr>
        <w:t xml:space="preserve">Keller, K.L. and Swaminathan, V. (2020) </w:t>
      </w:r>
      <w:r>
        <w:rPr>
          <w:rFonts w:ascii="Arial" w:cs="Arial" w:hAnsi="Arial"/>
          <w:i/>
          <w:iCs/>
        </w:rPr>
        <w:t>Strategic Brand Management: Building, Measuring and Managing Brand Equity</w:t>
      </w:r>
      <w:r>
        <w:rPr>
          <w:rFonts w:ascii="Arial" w:cs="Arial" w:hAnsi="Arial"/>
        </w:rPr>
        <w:t>. 5th edn. Harlow: Pearson.</w:t>
      </w:r>
    </w:p>
    <w:p>
      <w:pPr>
        <w:pStyle w:val="22"/>
        <w:numPr>
          <w:ilvl w:val="0"/>
          <w:numId w:val="8"/>
        </w:numPr>
        <w:jc w:val="both"/>
        <w:rPr>
          <w:rFonts w:ascii="Arial" w:cs="Arial" w:hAnsi="Arial"/>
        </w:rPr>
      </w:pPr>
      <w:r>
        <w:rPr>
          <w:rFonts w:ascii="Arial" w:cs="Arial" w:hAnsi="Arial"/>
        </w:rPr>
        <w:t xml:space="preserve">Kent, T. (2022) </w:t>
      </w:r>
      <w:r>
        <w:rPr>
          <w:rFonts w:ascii="Arial" w:cs="Arial" w:hAnsi="Arial"/>
          <w:i/>
          <w:iCs/>
        </w:rPr>
        <w:t>Retailing</w:t>
      </w:r>
      <w:r>
        <w:rPr>
          <w:rFonts w:ascii="Arial" w:cs="Arial" w:hAnsi="Arial"/>
        </w:rPr>
        <w:t>. 4th edn. London: Bloomsbury.</w:t>
      </w:r>
    </w:p>
    <w:p>
      <w:pPr>
        <w:pStyle w:val="22"/>
        <w:numPr>
          <w:ilvl w:val="0"/>
          <w:numId w:val="8"/>
        </w:numPr>
        <w:jc w:val="both"/>
        <w:rPr>
          <w:rFonts w:ascii="Arial" w:cs="Arial" w:hAnsi="Arial"/>
        </w:rPr>
      </w:pPr>
      <w:r>
        <w:rPr>
          <w:rFonts w:ascii="Arial" w:cs="Arial" w:hAnsi="Arial"/>
        </w:rPr>
        <w:t xml:space="preserve">Kotler, P. (2017) </w:t>
      </w:r>
      <w:r>
        <w:rPr>
          <w:rFonts w:ascii="Arial" w:cs="Arial" w:hAnsi="Arial"/>
          <w:i/>
          <w:iCs/>
        </w:rPr>
        <w:t>Marketing 4.0: Moving from Traditional to Digital</w:t>
      </w:r>
      <w:r>
        <w:rPr>
          <w:rFonts w:ascii="Arial" w:cs="Arial" w:hAnsi="Arial"/>
        </w:rPr>
        <w:t>. Hoboken: Wiley.</w:t>
      </w:r>
    </w:p>
    <w:p>
      <w:pPr>
        <w:pStyle w:val="22"/>
        <w:numPr>
          <w:ilvl w:val="0"/>
          <w:numId w:val="8"/>
        </w:numPr>
        <w:jc w:val="both"/>
        <w:rPr>
          <w:rFonts w:ascii="Arial" w:cs="Arial" w:hAnsi="Arial"/>
        </w:rPr>
      </w:pPr>
      <w:r>
        <w:rPr>
          <w:rFonts w:ascii="Arial" w:cs="Arial" w:hAnsi="Arial"/>
        </w:rPr>
        <w:t xml:space="preserve">Kotler, P. and Armstrong, G. (2020) </w:t>
      </w:r>
      <w:r>
        <w:rPr>
          <w:rFonts w:ascii="Arial" w:cs="Arial" w:hAnsi="Arial"/>
          <w:i/>
          <w:iCs/>
        </w:rPr>
        <w:t>Principles of Marketing</w:t>
      </w:r>
      <w:r>
        <w:rPr>
          <w:rFonts w:ascii="Arial" w:cs="Arial" w:hAnsi="Arial"/>
        </w:rPr>
        <w:t>. 18th edn. Harlow: Pearson.</w:t>
      </w:r>
    </w:p>
    <w:p>
      <w:pPr>
        <w:pStyle w:val="22"/>
        <w:numPr>
          <w:ilvl w:val="0"/>
          <w:numId w:val="8"/>
        </w:numPr>
        <w:jc w:val="both"/>
        <w:rPr>
          <w:rFonts w:ascii="Arial" w:cs="Arial" w:hAnsi="Arial"/>
        </w:rPr>
      </w:pPr>
      <w:r>
        <w:rPr>
          <w:rFonts w:ascii="Arial" w:cs="Arial" w:hAnsi="Arial"/>
        </w:rPr>
        <w:t xml:space="preserve">Kotler, P. and Keller, K.L. (2016) </w:t>
      </w:r>
      <w:r>
        <w:rPr>
          <w:rFonts w:ascii="Arial" w:cs="Arial" w:hAnsi="Arial"/>
          <w:i/>
          <w:iCs/>
        </w:rPr>
        <w:t>Marketing Management</w:t>
      </w:r>
      <w:r>
        <w:rPr>
          <w:rFonts w:ascii="Arial" w:cs="Arial" w:hAnsi="Arial"/>
        </w:rPr>
        <w:t>. 15th edn. Harlow: Pearson.</w:t>
      </w:r>
    </w:p>
    <w:p>
      <w:pPr>
        <w:pStyle w:val="22"/>
        <w:numPr>
          <w:ilvl w:val="0"/>
          <w:numId w:val="8"/>
        </w:numPr>
        <w:jc w:val="both"/>
        <w:rPr>
          <w:rFonts w:ascii="Arial" w:cs="Arial" w:hAnsi="Arial"/>
        </w:rPr>
      </w:pPr>
      <w:r>
        <w:rPr>
          <w:rFonts w:ascii="Arial" w:cs="Arial" w:hAnsi="Arial"/>
        </w:rPr>
        <w:t xml:space="preserve">Lamb, C.W., Hair, J.F. and McDaniel, C. (2020) </w:t>
      </w:r>
      <w:r>
        <w:rPr>
          <w:rFonts w:ascii="Arial" w:cs="Arial" w:hAnsi="Arial"/>
          <w:i/>
          <w:iCs/>
        </w:rPr>
        <w:t>MKTG</w:t>
      </w:r>
      <w:r>
        <w:rPr>
          <w:rFonts w:ascii="Arial" w:cs="Arial" w:hAnsi="Arial"/>
        </w:rPr>
        <w:t>. 13th edn. Boston: Cengage.</w:t>
      </w:r>
    </w:p>
    <w:p>
      <w:pPr>
        <w:pStyle w:val="22"/>
        <w:numPr>
          <w:ilvl w:val="0"/>
          <w:numId w:val="8"/>
        </w:numPr>
        <w:jc w:val="both"/>
        <w:rPr>
          <w:rFonts w:ascii="Arial" w:cs="Arial" w:hAnsi="Arial"/>
        </w:rPr>
      </w:pPr>
      <w:r>
        <w:rPr>
          <w:rFonts w:ascii="Arial" w:cs="Arial" w:hAnsi="Arial"/>
        </w:rPr>
        <w:t xml:space="preserve">Mintel (2024) </w:t>
      </w:r>
      <w:r>
        <w:rPr>
          <w:rFonts w:ascii="Arial" w:cs="Arial" w:hAnsi="Arial"/>
          <w:i/>
          <w:iCs/>
        </w:rPr>
        <w:t>UK Supermarkets Market Report</w:t>
      </w:r>
      <w:r>
        <w:rPr>
          <w:rFonts w:ascii="Arial" w:cs="Arial" w:hAnsi="Arial"/>
        </w:rPr>
        <w:t xml:space="preserve">. Available at: </w:t>
      </w:r>
      <w:r>
        <w:rPr>
          <w:rStyle w:val="24"/>
          <w:rFonts w:ascii="Arial" w:cs="Arial" w:hAnsi="Arial"/>
        </w:rPr>
        <w:fldChar w:fldCharType="begin"/>
      </w:r>
      <w:r>
        <w:instrText>HYPERLINK "https://www.mintel.com"</w:instrText>
      </w:r>
      <w:r>
        <w:rPr>
          <w:rStyle w:val="24"/>
          <w:rFonts w:ascii="Arial" w:cs="Arial" w:hAnsi="Arial"/>
        </w:rPr>
        <w:fldChar w:fldCharType="separate"/>
      </w:r>
      <w:r>
        <w:rPr>
          <w:rStyle w:val="24"/>
          <w:rFonts w:ascii="Arial" w:cs="Arial" w:hAnsi="Arial"/>
        </w:rPr>
        <w:t>https://www.mintel.com</w:t>
      </w:r>
      <w:r>
        <w:rPr>
          <w:rStyle w:val="24"/>
          <w:rFonts w:ascii="Arial" w:cs="Arial" w:hAnsi="Arial"/>
        </w:rPr>
        <w:fldChar w:fldCharType="end"/>
      </w:r>
    </w:p>
    <w:p>
      <w:pPr>
        <w:pStyle w:val="22"/>
        <w:numPr>
          <w:ilvl w:val="0"/>
          <w:numId w:val="8"/>
        </w:numPr>
        <w:jc w:val="both"/>
        <w:rPr>
          <w:rFonts w:ascii="Arial" w:cs="Arial" w:hAnsi="Arial"/>
        </w:rPr>
      </w:pPr>
      <w:r>
        <w:rPr>
          <w:rFonts w:ascii="Arial" w:cs="Arial" w:hAnsi="Arial"/>
        </w:rPr>
        <w:t xml:space="preserve">Parment, A. and Armstrong, G. (2021) </w:t>
      </w:r>
      <w:r>
        <w:rPr>
          <w:rFonts w:ascii="Arial" w:cs="Arial" w:hAnsi="Arial"/>
          <w:i/>
          <w:iCs/>
        </w:rPr>
        <w:t>Marketing: An Introduction</w:t>
      </w:r>
      <w:r>
        <w:rPr>
          <w:rFonts w:ascii="Arial" w:cs="Arial" w:hAnsi="Arial"/>
        </w:rPr>
        <w:t>. 14th edn. Harlow: Pearson.</w:t>
      </w:r>
    </w:p>
    <w:p>
      <w:pPr>
        <w:pStyle w:val="22"/>
        <w:numPr>
          <w:ilvl w:val="0"/>
          <w:numId w:val="8"/>
        </w:numPr>
        <w:jc w:val="both"/>
        <w:rPr>
          <w:rFonts w:ascii="Arial" w:cs="Arial" w:hAnsi="Arial"/>
        </w:rPr>
      </w:pPr>
      <w:r>
        <w:rPr>
          <w:rFonts w:ascii="Arial" w:cs="Arial" w:hAnsi="Arial"/>
        </w:rPr>
        <w:t xml:space="preserve">Porter, M.E. (1985) </w:t>
      </w:r>
      <w:r>
        <w:rPr>
          <w:rFonts w:ascii="Arial" w:cs="Arial" w:hAnsi="Arial"/>
          <w:i/>
          <w:iCs/>
        </w:rPr>
        <w:t>Competitive Advantage: Creating and Sustaining Superior Performance</w:t>
      </w:r>
      <w:r>
        <w:rPr>
          <w:rFonts w:ascii="Arial" w:cs="Arial" w:hAnsi="Arial"/>
        </w:rPr>
        <w:t>. New York: Free Press.</w:t>
      </w:r>
    </w:p>
    <w:p>
      <w:pPr>
        <w:pStyle w:val="22"/>
        <w:numPr>
          <w:ilvl w:val="0"/>
          <w:numId w:val="8"/>
        </w:numPr>
        <w:jc w:val="both"/>
        <w:rPr>
          <w:rFonts w:ascii="Arial" w:cs="Arial" w:hAnsi="Arial"/>
        </w:rPr>
      </w:pPr>
      <w:r>
        <w:rPr>
          <w:rFonts w:ascii="Arial" w:cs="Arial" w:hAnsi="Arial"/>
        </w:rPr>
        <w:t xml:space="preserve">Schiffman, L.G. and Wisenblit, J.L. (2019) </w:t>
      </w:r>
      <w:r>
        <w:rPr>
          <w:rFonts w:ascii="Arial" w:cs="Arial" w:hAnsi="Arial"/>
          <w:i/>
          <w:iCs/>
        </w:rPr>
        <w:t>Consumer Behaviour</w:t>
      </w:r>
      <w:r>
        <w:rPr>
          <w:rFonts w:ascii="Arial" w:cs="Arial" w:hAnsi="Arial"/>
        </w:rPr>
        <w:t>. 12th edn. Harlow: Pearson.</w:t>
      </w:r>
    </w:p>
    <w:p>
      <w:pPr>
        <w:pStyle w:val="22"/>
        <w:numPr>
          <w:ilvl w:val="0"/>
          <w:numId w:val="8"/>
        </w:numPr>
        <w:jc w:val="both"/>
        <w:rPr>
          <w:rFonts w:ascii="Arial" w:cs="Arial" w:hAnsi="Arial"/>
        </w:rPr>
      </w:pPr>
      <w:r>
        <w:rPr>
          <w:rFonts w:ascii="Arial" w:cs="Arial" w:hAnsi="Arial"/>
        </w:rPr>
        <w:t xml:space="preserve">Solomon, M., Bamossy, G., Askegaard, S. and Hogg, M.K. (2017) </w:t>
      </w:r>
      <w:r>
        <w:rPr>
          <w:rFonts w:ascii="Arial" w:cs="Arial" w:hAnsi="Arial"/>
          <w:i/>
          <w:iCs/>
        </w:rPr>
        <w:t>Consumer Behaviour: A European Perspective</w:t>
      </w:r>
      <w:r>
        <w:rPr>
          <w:rFonts w:ascii="Arial" w:cs="Arial" w:hAnsi="Arial"/>
        </w:rPr>
        <w:t>. 6th edn. Harlow: Pearson.</w:t>
      </w:r>
    </w:p>
    <w:p>
      <w:pPr>
        <w:pStyle w:val="22"/>
        <w:numPr>
          <w:ilvl w:val="0"/>
          <w:numId w:val="8"/>
        </w:numPr>
        <w:jc w:val="both"/>
        <w:rPr>
          <w:rFonts w:ascii="Arial" w:cs="Arial" w:hAnsi="Arial"/>
        </w:rPr>
      </w:pPr>
      <w:r>
        <w:rPr>
          <w:rFonts w:ascii="Arial" w:cs="Arial" w:hAnsi="Arial"/>
        </w:rPr>
        <w:t xml:space="preserve">Statista (2024) </w:t>
      </w:r>
      <w:r>
        <w:rPr>
          <w:rFonts w:ascii="Arial" w:cs="Arial" w:hAnsi="Arial"/>
          <w:i/>
          <w:iCs/>
        </w:rPr>
        <w:t>Market Share of Grocery Retailers in the United Kingdom</w:t>
      </w:r>
      <w:r>
        <w:rPr>
          <w:rFonts w:ascii="Arial" w:cs="Arial" w:hAnsi="Arial"/>
        </w:rPr>
        <w:t xml:space="preserve">. Available at: </w:t>
      </w:r>
      <w:r>
        <w:rPr>
          <w:rStyle w:val="24"/>
          <w:rFonts w:ascii="Arial" w:cs="Arial" w:hAnsi="Arial"/>
        </w:rPr>
        <w:fldChar w:fldCharType="begin"/>
      </w:r>
      <w:r>
        <w:instrText>HYPERLINK "https://www.statista.com"</w:instrText>
      </w:r>
      <w:r>
        <w:rPr>
          <w:rStyle w:val="24"/>
          <w:rFonts w:ascii="Arial" w:cs="Arial" w:hAnsi="Arial"/>
        </w:rPr>
        <w:fldChar w:fldCharType="separate"/>
      </w:r>
      <w:r>
        <w:rPr>
          <w:rStyle w:val="24"/>
          <w:rFonts w:ascii="Arial" w:cs="Arial" w:hAnsi="Arial"/>
        </w:rPr>
        <w:t>https://www.statista.com</w:t>
      </w:r>
      <w:r>
        <w:rPr>
          <w:rStyle w:val="24"/>
          <w:rFonts w:ascii="Arial" w:cs="Arial" w:hAnsi="Arial"/>
        </w:rPr>
        <w:fldChar w:fldCharType="end"/>
      </w:r>
    </w:p>
    <w:p>
      <w:pPr>
        <w:pStyle w:val="22"/>
        <w:numPr>
          <w:ilvl w:val="0"/>
          <w:numId w:val="8"/>
        </w:numPr>
        <w:jc w:val="both"/>
        <w:rPr>
          <w:rFonts w:ascii="Arial" w:cs="Arial" w:hAnsi="Arial"/>
        </w:rPr>
      </w:pPr>
      <w:r>
        <w:rPr>
          <w:rFonts w:ascii="Arial" w:cs="Arial" w:hAnsi="Arial"/>
        </w:rPr>
        <w:t xml:space="preserve">Tesco PLC (2024) </w:t>
      </w:r>
      <w:r>
        <w:rPr>
          <w:rFonts w:ascii="Arial" w:cs="Arial" w:hAnsi="Arial"/>
          <w:i/>
          <w:iCs/>
        </w:rPr>
        <w:t>Annual Report and Financial Statements 2024</w:t>
      </w:r>
      <w:r>
        <w:rPr>
          <w:rFonts w:ascii="Arial" w:cs="Arial" w:hAnsi="Arial"/>
        </w:rPr>
        <w:t xml:space="preserve">. Available at: </w:t>
      </w:r>
      <w:r>
        <w:rPr>
          <w:rStyle w:val="24"/>
          <w:rFonts w:ascii="Arial" w:cs="Arial" w:hAnsi="Arial"/>
        </w:rPr>
        <w:fldChar w:fldCharType="begin"/>
      </w:r>
      <w:r>
        <w:instrText>HYPERLINK "https://www.tescoplc.com/investors/reports-results-and-presentations/"</w:instrText>
      </w:r>
      <w:r>
        <w:rPr>
          <w:rStyle w:val="24"/>
          <w:rFonts w:ascii="Arial" w:cs="Arial" w:hAnsi="Arial"/>
        </w:rPr>
        <w:fldChar w:fldCharType="separate"/>
      </w:r>
      <w:r>
        <w:rPr>
          <w:rStyle w:val="24"/>
          <w:rFonts w:ascii="Arial" w:cs="Arial" w:hAnsi="Arial"/>
        </w:rPr>
        <w:t>https://www.tescoplc.com/investors/reports-results-and-presentations/</w:t>
      </w:r>
      <w:r>
        <w:rPr>
          <w:rStyle w:val="24"/>
          <w:rFonts w:ascii="Arial" w:cs="Arial" w:hAnsi="Arial"/>
        </w:rPr>
        <w:fldChar w:fldCharType="end"/>
      </w:r>
    </w:p>
    <w:p>
      <w:pPr>
        <w:pStyle w:val="22"/>
        <w:numPr>
          <w:ilvl w:val="0"/>
          <w:numId w:val="8"/>
        </w:numPr>
        <w:jc w:val="both"/>
        <w:rPr>
          <w:rFonts w:ascii="Arial" w:cs="Arial" w:hAnsi="Arial"/>
        </w:rPr>
      </w:pPr>
      <w:r>
        <w:rPr>
          <w:rFonts w:ascii="Arial" w:cs="Arial" w:hAnsi="Arial"/>
        </w:rPr>
        <w:t xml:space="preserve">Tybout, A.M. and Calder, B.J. (2018) </w:t>
      </w:r>
      <w:r>
        <w:rPr>
          <w:rFonts w:ascii="Arial" w:cs="Arial" w:hAnsi="Arial"/>
          <w:i/>
          <w:iCs/>
        </w:rPr>
        <w:t>Kellogg on Branding</w:t>
      </w:r>
      <w:r>
        <w:rPr>
          <w:rFonts w:ascii="Arial" w:cs="Arial" w:hAnsi="Arial"/>
        </w:rPr>
        <w:t>. 3rd edn. Hoboken: Wiley.</w:t>
      </w:r>
    </w:p>
    <w:p>
      <w:pPr>
        <w:pStyle w:val="22"/>
        <w:numPr>
          <w:ilvl w:val="0"/>
          <w:numId w:val="8"/>
        </w:numPr>
        <w:jc w:val="both"/>
        <w:rPr>
          <w:rFonts w:ascii="Arial" w:cs="Arial" w:hAnsi="Arial"/>
        </w:rPr>
      </w:pPr>
      <w:r>
        <w:rPr>
          <w:rFonts w:ascii="Arial" w:cs="Arial" w:hAnsi="Arial"/>
        </w:rPr>
        <w:t xml:space="preserve">Wilson, R.M.S. and Gilligan, C. (2019) </w:t>
      </w:r>
      <w:r>
        <w:rPr>
          <w:rFonts w:ascii="Arial" w:cs="Arial" w:hAnsi="Arial"/>
          <w:i/>
          <w:iCs/>
        </w:rPr>
        <w:t>Strategic Marketing Management</w:t>
      </w:r>
      <w:r>
        <w:rPr>
          <w:rFonts w:ascii="Arial" w:cs="Arial" w:hAnsi="Arial"/>
        </w:rPr>
        <w:t>. 4th edn. London: Routledge.</w:t>
      </w:r>
    </w:p>
    <w:p>
      <w:pPr>
        <w:pStyle w:val="22"/>
        <w:numPr>
          <w:ilvl w:val="0"/>
          <w:numId w:val="8"/>
        </w:numPr>
        <w:jc w:val="both"/>
        <w:rPr>
          <w:rFonts w:ascii="Arial" w:cs="Arial" w:hAnsi="Arial"/>
        </w:rPr>
      </w:pPr>
      <w:r>
        <w:rPr>
          <w:rFonts w:ascii="Arial" w:cs="Arial" w:hAnsi="Arial"/>
        </w:rPr>
        <w:t xml:space="preserve">Zhang, J. (2019) ‘Data analytics and retail performance’, </w:t>
      </w:r>
      <w:r>
        <w:rPr>
          <w:rFonts w:ascii="Arial" w:cs="Arial" w:hAnsi="Arial"/>
          <w:i/>
          <w:iCs/>
        </w:rPr>
        <w:t>Journal of Retail Analytics</w:t>
      </w:r>
      <w:r>
        <w:rPr>
          <w:rFonts w:ascii="Arial" w:cs="Arial" w:hAnsi="Arial"/>
        </w:rPr>
        <w:t>, 15(1), pp. 22–34.</w:t>
      </w:r>
    </w:p>
    <w:p>
      <w:pPr>
        <w:pStyle w:val="22"/>
        <w:ind w:left="720"/>
        <w:jc w:val="both"/>
        <w:rPr>
          <w:rFonts w:ascii="Arial" w:cs="Arial" w:hAnsi="Arial"/>
        </w:rPr>
      </w:pPr>
    </w:p>
    <w:p>
      <w:pPr>
        <w:pStyle w:val="22"/>
        <w:ind w:left="720"/>
        <w:jc w:val="both"/>
        <w:rPr>
          <w:rFonts w:ascii="Arial" w:cs="Arial" w:hAnsi="Arial"/>
          <w:b/>
          <w:bCs/>
          <w:kern w:val="36"/>
        </w:rPr>
      </w:pPr>
      <w:r>
        <w:rPr>
          <w:rFonts w:ascii="Arial" w:cs="Arial" w:hAnsi="Arial"/>
          <w:b/>
          <w:bCs/>
          <w:kern w:val="36"/>
        </w:rPr>
        <w:t>Appendix A: Strategic Alignment of STP and Marketing Mix</w:t>
      </w:r>
    </w:p>
    <w:p>
      <w:pPr>
        <w:pStyle w:val="22"/>
        <w:ind w:left="720"/>
        <w:jc w:val="both"/>
        <w:rPr>
          <w:rFonts w:ascii="Arial" w:cs="Arial" w:hAnsi="Arial"/>
          <w:b/>
          <w:bCs/>
          <w:kern w:val="36"/>
        </w:rPr>
      </w:pPr>
      <w:r>
        <w:rPr>
          <w:rFonts w:ascii="Arial" w:cs="Arial" w:hAnsi="Arial"/>
          <w:b/>
          <w:bCs/>
          <w:kern w:val="36"/>
        </w:rPr>
        <w:t>This appendix provides a structured summary of how Tesco’s segmentation, targeting, positioning, and marketing mix strategies are aligned to support competitive advantage.</w:t>
      </w:r>
    </w:p>
    <w:p>
      <w:pPr>
        <w:pStyle w:val="22"/>
        <w:ind w:left="720"/>
        <w:jc w:val="both"/>
        <w:rPr>
          <w:rFonts w:ascii="Arial" w:cs="Arial" w:hAnsi="Arial"/>
          <w:b/>
          <w:bCs/>
          <w:kern w:val="36"/>
        </w:rPr>
      </w:pPr>
      <w:r>
        <w:rPr>
          <w:rFonts w:ascii="Arial" w:cs="Arial" w:hAnsi="Arial"/>
          <w:b/>
          <w:bCs/>
          <w:kern w:val="36"/>
        </w:rPr>
        <w:t>Table A1: Alignment of STP and Marketing Mix</w:t>
      </w:r>
    </w:p>
    <w:tbl>
      <w:tblPr>
        <w:jc w:val="left"/>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
      <w:tblGrid>
        <w:gridCol w:w="2034"/>
        <w:gridCol w:w="3667"/>
        <w:gridCol w:w="3406"/>
      </w:tblGrid>
      <w:tr>
        <w:trPr>
          <w:tblHeader/>
        </w:trPr>
        <w:tc>
          <w:tcPr>
            <w:shd w:val="clear" w:color="auto" w:fill="A5C9EB"/>
            <w:vAlign w:val="center"/>
          </w:tcPr>
          <w:p>
            <w:pPr>
              <w:pStyle w:val="22"/>
              <w:ind w:left="720"/>
              <w:jc w:val="both"/>
              <w:rPr>
                <w:rFonts w:ascii="Arial" w:cs="Arial" w:hAnsi="Arial"/>
                <w:b/>
                <w:bCs/>
                <w:kern w:val="36"/>
              </w:rPr>
            </w:pPr>
            <w:r>
              <w:rPr>
                <w:rFonts w:ascii="Arial" w:cs="Arial" w:hAnsi="Arial"/>
                <w:b/>
                <w:bCs/>
                <w:kern w:val="36"/>
              </w:rPr>
              <w:t>STP Element</w:t>
            </w:r>
          </w:p>
        </w:tc>
        <w:tc>
          <w:tcPr>
            <w:shd w:val="clear" w:color="auto" w:fill="A5C9EB"/>
            <w:vAlign w:val="center"/>
          </w:tcPr>
          <w:p>
            <w:pPr>
              <w:pStyle w:val="22"/>
              <w:ind w:left="720"/>
              <w:jc w:val="both"/>
              <w:rPr>
                <w:rFonts w:ascii="Arial" w:cs="Arial" w:hAnsi="Arial"/>
                <w:b/>
                <w:bCs/>
                <w:kern w:val="36"/>
              </w:rPr>
            </w:pPr>
            <w:r>
              <w:rPr>
                <w:rFonts w:ascii="Arial" w:cs="Arial" w:hAnsi="Arial"/>
                <w:b/>
                <w:bCs/>
                <w:kern w:val="36"/>
              </w:rPr>
              <w:t>Strategy</w:t>
            </w:r>
          </w:p>
        </w:tc>
        <w:tc>
          <w:tcPr>
            <w:shd w:val="clear" w:color="auto" w:fill="A5C9EB"/>
            <w:vAlign w:val="center"/>
          </w:tcPr>
          <w:p>
            <w:pPr>
              <w:pStyle w:val="22"/>
              <w:ind w:left="720"/>
              <w:jc w:val="both"/>
              <w:rPr>
                <w:rFonts w:ascii="Arial" w:cs="Arial" w:hAnsi="Arial"/>
                <w:b/>
                <w:bCs/>
                <w:kern w:val="36"/>
              </w:rPr>
            </w:pPr>
            <w:r>
              <w:rPr>
                <w:rFonts w:ascii="Arial" w:cs="Arial" w:hAnsi="Arial"/>
                <w:b/>
                <w:bCs/>
                <w:kern w:val="36"/>
              </w:rPr>
              <w:t>Marketing Mix Application</w:t>
            </w:r>
          </w:p>
        </w:tc>
      </w:tr>
      <w:tr>
        <w:tc>
          <w:tcPr>
            <w:vAlign w:val="center"/>
          </w:tcPr>
          <w:p>
            <w:pPr>
              <w:spacing w:line="240" w:lineRule="auto"/>
              <w:jc w:val="both"/>
              <w:rPr>
                <w:rFonts w:ascii="Arial" w:cs="Arial" w:hAnsi="Arial"/>
              </w:rPr>
            </w:pPr>
            <w:r>
              <w:rPr>
                <w:rFonts w:ascii="Arial" w:cs="Arial" w:hAnsi="Arial"/>
              </w:rPr>
              <w:t>Segmentation</w:t>
            </w:r>
          </w:p>
        </w:tc>
        <w:tc>
          <w:tcPr>
            <w:vAlign w:val="center"/>
          </w:tcPr>
          <w:p>
            <w:pPr>
              <w:pStyle w:val="22"/>
              <w:ind w:left="720"/>
              <w:jc w:val="both"/>
              <w:rPr>
                <w:rFonts w:ascii="Arial" w:cs="Arial" w:hAnsi="Arial"/>
                <w:b/>
                <w:bCs/>
                <w:kern w:val="36"/>
              </w:rPr>
            </w:pPr>
            <w:r>
              <w:rPr>
                <w:rFonts w:ascii="Arial" w:cs="Arial" w:hAnsi="Arial"/>
                <w:b/>
                <w:bCs/>
                <w:kern w:val="36"/>
              </w:rPr>
              <w:t>Multi-dimensional (demographic, geographic, behavioural)</w:t>
            </w:r>
          </w:p>
        </w:tc>
        <w:tc>
          <w:tcPr>
            <w:vAlign w:val="center"/>
          </w:tcPr>
          <w:p>
            <w:pPr>
              <w:pStyle w:val="22"/>
              <w:ind w:left="720"/>
              <w:jc w:val="both"/>
              <w:rPr>
                <w:rFonts w:ascii="Arial" w:cs="Arial" w:hAnsi="Arial"/>
                <w:b/>
                <w:bCs/>
                <w:kern w:val="36"/>
              </w:rPr>
            </w:pPr>
            <w:r>
              <w:rPr>
                <w:rFonts w:ascii="Arial" w:cs="Arial" w:hAnsi="Arial"/>
                <w:b/>
                <w:bCs/>
                <w:kern w:val="36"/>
              </w:rPr>
              <w:t>Tiered product ranges (Value, Core, Finest)</w:t>
            </w:r>
          </w:p>
        </w:tc>
      </w:tr>
      <w:tr>
        <w:tc>
          <w:tcPr>
            <w:vAlign w:val="center"/>
          </w:tcPr>
          <w:p>
            <w:pPr>
              <w:pStyle w:val="22"/>
              <w:ind w:left="720"/>
              <w:jc w:val="both"/>
              <w:rPr>
                <w:rFonts w:ascii="Arial" w:cs="Arial" w:hAnsi="Arial"/>
                <w:b/>
                <w:bCs/>
                <w:kern w:val="36"/>
              </w:rPr>
            </w:pPr>
            <w:r>
              <w:rPr>
                <w:rFonts w:ascii="Arial" w:cs="Arial" w:hAnsi="Arial"/>
                <w:b/>
                <w:bCs/>
                <w:kern w:val="36"/>
              </w:rPr>
              <w:t>Targeting</w:t>
            </w:r>
          </w:p>
        </w:tc>
        <w:tc>
          <w:tcPr>
            <w:vAlign w:val="center"/>
          </w:tcPr>
          <w:p>
            <w:pPr>
              <w:pStyle w:val="22"/>
              <w:ind w:left="720"/>
              <w:jc w:val="both"/>
              <w:rPr>
                <w:rFonts w:ascii="Arial" w:cs="Arial" w:hAnsi="Arial"/>
                <w:b/>
                <w:bCs/>
                <w:kern w:val="36"/>
              </w:rPr>
            </w:pPr>
            <w:r>
              <w:rPr>
                <w:rFonts w:ascii="Arial" w:cs="Arial" w:hAnsi="Arial"/>
                <w:b/>
                <w:bCs/>
                <w:kern w:val="36"/>
              </w:rPr>
              <w:t>Differentiated targeting across multiple segments</w:t>
            </w:r>
          </w:p>
        </w:tc>
        <w:tc>
          <w:tcPr>
            <w:vAlign w:val="center"/>
          </w:tcPr>
          <w:p>
            <w:pPr>
              <w:pStyle w:val="22"/>
              <w:ind w:left="720"/>
              <w:jc w:val="both"/>
              <w:rPr>
                <w:rFonts w:ascii="Arial" w:cs="Arial" w:hAnsi="Arial"/>
                <w:b/>
                <w:bCs/>
                <w:kern w:val="36"/>
              </w:rPr>
            </w:pPr>
            <w:r>
              <w:rPr>
                <w:rFonts w:ascii="Arial" w:cs="Arial" w:hAnsi="Arial"/>
                <w:b/>
                <w:bCs/>
                <w:kern w:val="36"/>
              </w:rPr>
              <w:t>Personalised pricing (Clubcard), multi-format retailing</w:t>
            </w:r>
          </w:p>
        </w:tc>
      </w:tr>
      <w:tr>
        <w:tc>
          <w:tcPr>
            <w:vAlign w:val="center"/>
          </w:tcPr>
          <w:p>
            <w:pPr>
              <w:pStyle w:val="22"/>
              <w:ind w:left="720"/>
              <w:jc w:val="both"/>
              <w:rPr>
                <w:rFonts w:ascii="Arial" w:cs="Arial" w:hAnsi="Arial"/>
                <w:b/>
                <w:bCs/>
                <w:kern w:val="36"/>
              </w:rPr>
            </w:pPr>
            <w:r>
              <w:rPr>
                <w:rFonts w:ascii="Arial" w:cs="Arial" w:hAnsi="Arial"/>
                <w:b/>
                <w:bCs/>
                <w:kern w:val="36"/>
              </w:rPr>
              <w:t>Positioning</w:t>
            </w:r>
          </w:p>
        </w:tc>
        <w:tc>
          <w:tcPr>
            <w:vAlign w:val="center"/>
          </w:tcPr>
          <w:p>
            <w:pPr>
              <w:pStyle w:val="22"/>
              <w:ind w:left="720"/>
              <w:jc w:val="both"/>
              <w:rPr>
                <w:rFonts w:ascii="Arial" w:cs="Arial" w:hAnsi="Arial"/>
                <w:b/>
                <w:bCs/>
                <w:kern w:val="36"/>
              </w:rPr>
            </w:pPr>
            <w:r>
              <w:rPr>
                <w:rFonts w:ascii="Arial" w:cs="Arial" w:hAnsi="Arial"/>
                <w:b/>
                <w:bCs/>
                <w:kern w:val="36"/>
              </w:rPr>
              <w:t>Value-based, convenience-focused</w:t>
            </w:r>
          </w:p>
        </w:tc>
        <w:tc>
          <w:tcPr>
            <w:vAlign w:val="center"/>
          </w:tcPr>
          <w:p>
            <w:pPr>
              <w:pStyle w:val="22"/>
              <w:ind w:left="720"/>
              <w:jc w:val="both"/>
              <w:rPr>
                <w:rFonts w:ascii="Arial" w:cs="Arial" w:hAnsi="Arial"/>
                <w:b/>
                <w:bCs/>
                <w:kern w:val="36"/>
              </w:rPr>
            </w:pPr>
            <w:r>
              <w:rPr>
                <w:rFonts w:ascii="Arial" w:cs="Arial" w:hAnsi="Arial"/>
                <w:b/>
                <w:bCs/>
                <w:kern w:val="36"/>
              </w:rPr>
              <w:t>Competitive pricing, omnichannel distribution</w:t>
            </w:r>
          </w:p>
        </w:tc>
      </w:tr>
      <w:tr>
        <w:tc>
          <w:tcPr>
            <w:vAlign w:val="center"/>
          </w:tcPr>
          <w:p>
            <w:pPr>
              <w:pStyle w:val="22"/>
              <w:ind w:left="720"/>
              <w:jc w:val="both"/>
              <w:rPr>
                <w:rFonts w:ascii="Arial" w:cs="Arial" w:hAnsi="Arial"/>
                <w:b/>
                <w:bCs/>
                <w:kern w:val="36"/>
              </w:rPr>
            </w:pPr>
            <w:r>
              <w:rPr>
                <w:rFonts w:ascii="Arial" w:cs="Arial" w:hAnsi="Arial"/>
                <w:b/>
                <w:bCs/>
                <w:kern w:val="36"/>
              </w:rPr>
              <w:t>Behavioural Focus</w:t>
            </w:r>
          </w:p>
        </w:tc>
        <w:tc>
          <w:tcPr>
            <w:vAlign w:val="center"/>
          </w:tcPr>
          <w:p>
            <w:pPr>
              <w:pStyle w:val="22"/>
              <w:ind w:left="720"/>
              <w:jc w:val="both"/>
              <w:rPr>
                <w:rFonts w:ascii="Arial" w:cs="Arial" w:hAnsi="Arial"/>
                <w:b/>
                <w:bCs/>
                <w:kern w:val="36"/>
              </w:rPr>
            </w:pPr>
            <w:r>
              <w:rPr>
                <w:rFonts w:ascii="Arial" w:cs="Arial" w:hAnsi="Arial"/>
                <w:b/>
                <w:bCs/>
                <w:kern w:val="36"/>
              </w:rPr>
              <w:t>Data-driven micro-targeting</w:t>
            </w:r>
          </w:p>
        </w:tc>
        <w:tc>
          <w:tcPr>
            <w:vAlign w:val="center"/>
          </w:tcPr>
          <w:p>
            <w:pPr>
              <w:pStyle w:val="22"/>
              <w:ind w:left="720"/>
              <w:jc w:val="both"/>
              <w:rPr>
                <w:rFonts w:ascii="Arial" w:cs="Arial" w:hAnsi="Arial"/>
                <w:b/>
                <w:bCs/>
                <w:kern w:val="36"/>
              </w:rPr>
            </w:pPr>
            <w:r>
              <w:rPr>
                <w:rFonts w:ascii="Arial" w:cs="Arial" w:hAnsi="Arial"/>
                <w:b/>
                <w:bCs/>
                <w:kern w:val="36"/>
              </w:rPr>
              <w:t>Personalised promotions and loyalty rewards</w:t>
            </w:r>
          </w:p>
        </w:tc>
      </w:tr>
    </w:tbl>
    <w:p>
      <w:pPr>
        <w:spacing w:line="360" w:lineRule="auto"/>
        <w:jc w:val="both"/>
        <w:rPr>
          <w:rFonts w:ascii="Arial" w:cs="Arial" w:hAnsi="Arial"/>
        </w:rPr>
      </w:pPr>
      <w:r>
        <w:rPr>
          <w:rFonts w:ascii="Arial" w:cs="Arial" w:hAnsi="Arial"/>
        </w:rPr>
        <w:drawing>
          <wp:anchor distT="0" distB="0" distL="114300" distR="114300" simplePos="0" relativeHeight="27" behindDoc="1" locked="0" layoutInCell="1" hidden="0" allowOverlap="1">
            <wp:simplePos x="0" y="0"/>
            <wp:positionH relativeFrom="column">
              <wp:posOffset>-152400</wp:posOffset>
            </wp:positionH>
            <wp:positionV relativeFrom="paragraph">
              <wp:posOffset>610869</wp:posOffset>
            </wp:positionV>
            <wp:extent cx="6355080" cy="8116570"/>
            <wp:effectExtent l="0" t="0" r="0" b="0"/>
            <wp:wrapTopAndBottom/>
            <wp:docPr id="28" name="Images 28"/>
            <wp:cNvGraphicFramePr>
              <a:graphicFrameLocks noChangeAspect="1"/>
            </wp:cNvGraphicFramePr>
            <a:graphic>
              <a:graphicData uri="http://schemas.openxmlformats.org/drawingml/2006/picture">
                <pic:pic>
                  <pic:nvPicPr>
                    <pic:cNvPr id="30" name="Images 30"/>
                    <pic:cNvPicPr/>
                  </pic:nvPicPr>
                  <pic:blipFill>
                    <a:blip r:embed="rId12"/>
                    <a:srcRect t="1648" b="3268" l="1" r="780"/>
                    <a:stretch>
                      <a:fillRect/>
                    </a:stretch>
                  </pic:blipFill>
                  <pic:spPr>
                    <a:xfrm rot="0">
                      <a:off x="0" y="0"/>
                      <a:ext cx="6355080" cy="8116570"/>
                    </a:xfrm>
                    <a:prstGeom prst="rect"/>
                    <a:noFill/>
                    <a:ln w="12700" cmpd="sng" cap="flat">
                      <a:noFill/>
                      <a:prstDash val="solid"/>
                      <a:round/>
                    </a:ln>
                  </pic:spPr>
                </pic:pic>
              </a:graphicData>
            </a:graphic>
          </wp:anchor>
        </w:drawing>
      </w:r>
    </w:p>
    <w:p>
      <w:pPr>
        <w:spacing w:line="360" w:lineRule="auto"/>
        <w:jc w:val="both"/>
        <w:rPr>
          <w:rFonts w:ascii="Arial" w:cs="Arial" w:hAnsi="Arial"/>
        </w:rPr>
      </w:pPr>
    </w:p>
    <w:p>
      <w:pPr>
        <w:spacing w:line="360" w:lineRule="auto"/>
        <w:jc w:val="both"/>
        <w:rPr>
          <w:rFonts w:ascii="Arial" w:cs="Arial" w:hAnsi="Arial"/>
          <w:b/>
          <w:bCs/>
        </w:rPr>
      </w:pPr>
      <w:r>
        <w:rPr>
          <w:rFonts w:ascii="Arial" w:cs="Arial" w:hAnsi="Arial"/>
          <w:b/>
          <w:bCs/>
        </w:rPr>
        <w:t>Figure 8: Strategic Alignment of STP and Marketing Mix</w:t>
      </w:r>
      <w:r>
        <w:rPr>
          <w:rFonts w:ascii="Arial" w:cs="Arial" w:hAnsi="Arial"/>
        </w:rPr>
        <w:br/>
      </w:r>
      <w:r>
        <w:rPr>
          <w:rFonts w:ascii="Arial" w:cs="Arial" w:hAnsi="Arial"/>
          <w:i/>
          <w:iCs/>
        </w:rPr>
        <w:t>Source: Author’s own illustration</w:t>
      </w:r>
    </w:p>
    <w:sectPr>
      <w:headerReference w:type="default" r:id="rId2"/>
      <w:pgSz w:w="11906" w:h="16838"/>
      <w:pgMar w:top="1440" w:right="1440" w:bottom="1440" w:left="1440" w:header="708" w:footer="708" w:gutter="0"/>
      <w:pgNumType w:start="0"/>
      <w:titlePg/>
      <w:docGrid w:linePitch="360" w:charSpace="0"/>
    </w:sectPr>
  </w:body>
</w:document>
</file>

<file path=word/fontTable.xml><?xml version="1.0" encoding="utf-8"?>
<w:fonts xmlns:w="http://schemas.openxmlformats.org/wordprocessingml/2006/main" xmlns:r="http://schemas.openxmlformats.org/officeDocument/2006/relationships">
  <w:font w:name="Arial">
    <w:panose1 w:val="020B0604020202020204"/>
    <w:charset w:val="00"/>
    <w:family w:val="swiss"/>
    <w:pitch w:val="variable"/>
    <w:sig w:usb0="E0002EFF" w:usb1="C000785B" w:usb2="00000009" w:usb3="00000000" w:csb0="000001FF" w:csb1="00000000"/>
  </w:font>
  <w:font w:name="等线 Light">
    <w:panose1 w:val="00000000000000000000"/>
    <w:charset w:val="00"/>
    <w:family w:val="auto"/>
    <w:pitch w:val="variable"/>
    <w:sig w:usb0="00000000" w:usb1="00000000" w:usb2="00000000" w:usb3="00000000" w:csb0="00000000" w:csb1="00000000"/>
  </w:font>
  <w:font w:name="Droid Sans">
    <w:panose1 w:val="00000000000000000000"/>
    <w:charset w:val="00"/>
    <w:family w:val="auto"/>
    <w:pitch w:val="variable"/>
    <w:sig w:usb0="00000000" w:usb1="00000000" w:usb2="00000000" w:usb3="00000000" w:csb0="00000000" w:csb1="00000000"/>
  </w:font>
  <w:font w:name="Times New Roman">
    <w:panose1 w:val="02020603050405020304"/>
    <w:charset w:val="00"/>
    <w:family w:val="roman"/>
    <w:pitch w:val="variable"/>
    <w:sig w:usb0="E0002EFF" w:usb1="C000785B" w:usb2="00000009" w:usb3="00000000" w:csb0="000001FF" w:csb1="00000000"/>
  </w:font>
  <w:font w:name="宋体">
    <w:panose1 w:val="00000000000000000000"/>
    <w:charset w:val="00"/>
    <w:family w:val="auto"/>
    <w:pitch w:val="variable"/>
    <w:sig w:usb0="00000000" w:usb1="00000000" w:usb2="00000000" w:usb3="00000000" w:csb0="00000000" w:csb1="00000000"/>
  </w:font>
  <w:font w:name="等线">
    <w:panose1 w:val="00000000000000000000"/>
    <w:charset w:val="00"/>
    <w:family w:val="auto"/>
    <w:pitch w:val="variable"/>
    <w:sig w:usb0="00000000" w:usb1="00000000" w:usb2="00000000" w:usb3="00000000" w:csb0="0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s>
</file>

<file path=word/header1.xml><?xml version="1.0" encoding="utf-8"?>
<w:hdr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a14="http://schemas.microsoft.com/office/drawing/2010/main" mc:Ignorable="w14">
  <w:sdt>
    <w:sdtPr>
      <w:id w:val="-373760222"/>
      <w:docPartObj>
        <w:docPartGallery/>
        <w:docPartUnique/>
      </w:docPartObj>
    </w:sdtPr>
    <w:sdtContent>
      <w:p>
        <w:pPr>
          <w:pStyle w:val="29"/>
          <w:pBdr>
            <w:bottom w:val="single" w:sz="4" w:space="1" w:color="D9D9D9"/>
          </w:pBdr>
          <w:tabs>
            <w:tab w:val="center" w:pos="4513"/>
            <w:tab w:val="right" w:pos="9026"/>
          </w:tabs>
          <w:rPr>
            <w:b/>
            <w:bCs/>
          </w:rPr>
        </w:pPr>
        <w:r>
          <w:fldChar w:fldCharType="begin"/>
        </w:r>
        <w:r>
          <w:instrText>PAGE   \* MERGEFORMAT</w:instrText>
        </w:r>
        <w:r>
          <w:fldChar w:fldCharType="separate"/>
        </w:r>
        <w:r>
          <w:rPr>
            <w:b/>
            <w:bCs/>
          </w:rPr>
          <w:t>2</w:t>
        </w:r>
        <w:r>
          <w:rPr>
            <w:b/>
            <w:bCs/>
          </w:rPr>
          <w:fldChar w:fldCharType="end"/>
        </w:r>
        <w:r>
          <w:rPr>
            <w:b/>
            <w:bCs/>
          </w:rPr>
          <w:t xml:space="preserve"> | </w:t>
        </w:r>
        <w:r>
          <w:rPr>
            <w:color w:val="7F7F7F"/>
            <w:spacing w:val="60"/>
          </w:rPr>
          <w:t>Page</w:t>
        </w:r>
      </w:p>
    </w:sdtContent>
  </w:sdt>
  <w:p>
    <w:pPr>
      <w:pStyle w:val="29"/>
      <w:tabs>
        <w:tab w:val="center" w:pos="4513"/>
        <w:tab w:val="right" w:pos="9026"/>
      </w:tabs>
    </w:pPr>
  </w:p>
</w:hdr>
</file>

<file path=word/numbering.xml><?xml version="1.0" encoding="utf-8"?>
<w:numbering xmlns:w="http://schemas.openxmlformats.org/wordprocessingml/2006/main" xmlns:o="urn:schemas-microsoft-com:office:office" xmlns:r="http://schemas.openxmlformats.org/officeDocument/2006/relationships" xmlns:m="http://schemas.openxmlformats.org/officeDocument/2006/math" xmlns:v="urn:schemas-microsoft-com:vml" xmlns:mc="http://schemas.openxmlformats.org/markup-compatibility/2006" xmlns:w14="http://schemas.microsoft.com/office/word/2010/wordml">
  <w:abstractNum w:abstractNumId="0">
    <w:multiLevelType w:val="multilevel"/>
    <w:tmpl w:val="C1E4FCDA"/>
    <w:lvl w:ilvl="0">
      <w:start w:val="1"/>
      <w:numFmt w:val="bullet"/>
      <w:lvlRestart w:val="0"/>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multiLevelType w:val="multilevel"/>
    <w:tmpl w:val="B676579C"/>
    <w:lvl w:ilvl="0">
      <w:start w:val="1"/>
      <w:numFmt w:val="bullet"/>
      <w:lvlRestart w:val="0"/>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multiLevelType w:val="multilevel"/>
    <w:tmpl w:val="E9343722"/>
    <w:lvl w:ilvl="0">
      <w:start w:val="1"/>
      <w:numFmt w:val="bullet"/>
      <w:lvlRestart w:val="0"/>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multiLevelType w:val="multilevel"/>
    <w:tmpl w:val="771CEDD4"/>
    <w:lvl w:ilvl="0">
      <w:start w:val="1"/>
      <w:numFmt w:val="bullet"/>
      <w:lvlRestart w:val="0"/>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multiLevelType w:val="multilevel"/>
    <w:tmpl w:val="095A0FB4"/>
    <w:lvl w:ilvl="0">
      <w:start w:val="1"/>
      <w:numFmt w:val="bullet"/>
      <w:lvlRestart w:val="0"/>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multiLevelType w:val="multilevel"/>
    <w:tmpl w:val="FB00D1A6"/>
    <w:lvl w:ilvl="0">
      <w:start w:val="1"/>
      <w:numFmt w:val="bullet"/>
      <w:lvlRestart w:val="0"/>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multiLevelType w:val="multilevel"/>
    <w:tmpl w:val="77CEABD2"/>
    <w:lvl w:ilvl="0">
      <w:start w:val="1"/>
      <w:numFmt w:val="bullet"/>
      <w:lvlRestart w:val="0"/>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multiLevelType w:val="hybridMultilevel"/>
    <w:tmpl w:val="2012B506"/>
    <w:lvl w:ilvl="0">
      <w:start w:val="1"/>
      <w:numFmt w:val="decimal"/>
      <w:lvlRestart w:val="0"/>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w="http://schemas.openxmlformats.org/wordprocessingml/2006/main" xmlns:o="urn:schemas-microsoft-com:office:office" xmlns:r="http://schemas.openxmlformats.org/officeDocument/2006/relationships" xmlns:m="http://schemas.openxmlformats.org/officeDocument/2006/math" xmlns:v="urn:schemas-microsoft-com:vml">
  <w:zoom w:percent="173"/>
  <w:bordersDoNotSurroundHeader/>
  <w:bordersDoNotSurroundFooter/>
  <w:defaultTabStop w:val="720"/>
  <w:drawingGridHorizontalSpacing w:val="120"/>
  <w:drawingGridVerticalSpacing w:val="163"/>
  <w:displayHorizontalDrawingGridEvery w:val="0"/>
  <w:displayVerticalDrawingGridEvery w:val="1"/>
  <w:compat>
    <w:spaceForUL/>
    <w:growAutofit/>
    <w:compatSetting w:name="compatibilityMode" w:uri="http://schemas.microsoft.com/office/word" w:val="14"/>
  </w:compat>
  <m:mathPr>
    <m:mathFont m:val="Cambria Math"/>
    <m:brkBin m:val="before"/>
    <m:brkBinSub m:val="--"/>
    <m:smallFrac/>
    <m:dispDef/>
    <m:lMargin m:val="0"/>
    <m:rMargin m:val="0"/>
    <m:defJc m:val="centerGroup"/>
    <m:wrapIndent m:val="1440"/>
    <m:intLim m:val="subSup"/>
    <m:naryLim m:val="undOvr"/>
  </m:mathPr>
</w:settings>
</file>

<file path=word/styles.xml><?xml version="1.0" encoding="utf-8"?>
<w:styles xmlns:w="http://schemas.openxmlformats.org/wordprocessingml/2006/main" xmlns:r="http://schemas.openxmlformats.org/officeDocument/2006/relationships">
  <w:docDefaults>
    <w:rPrDefault>
      <w:rPr>
        <w:rFonts w:ascii="Times New Roman" w:eastAsia="宋体" w:hAnsi="Times New Roman" w:cs="Times New Roman"/>
        <w:lang w:val="en-US" w:eastAsia="zh-CN" w:bidi="ar-SA"/>
      </w:rPr>
    </w:rPrDefault>
    <w:pPrDefault/>
  </w:docDefaults>
  <w:style w:type="paragraph" w:default="1" w:styleId="0">
    <w:name w:val="Normal"/>
    <w:pPr>
      <w:spacing w:after="160" w:line="278" w:lineRule="auto"/>
    </w:pPr>
    <w:rPr>
      <w:rFonts w:ascii="Droid Sans" w:eastAsia="Droid Sans" w:cs="Arial"/>
      <w:kern w:val="2"/>
      <w:sz w:val="24"/>
      <w:szCs w:val="24"/>
      <w:lang w:val="en-GB" w:eastAsia="en-US" w:bidi="ar-SA"/>
    </w:rPr>
  </w:style>
  <w:style w:type="paragraph" w:styleId="1">
    <w:name w:val="heading 1"/>
    <w:basedOn w:val="0"/>
    <w:next w:val="0"/>
    <w:pPr>
      <w:keepNext/>
      <w:keepLines/>
      <w:spacing w:before="360" w:after="80"/>
      <w:outlineLvl w:val="0"/>
    </w:pPr>
    <w:rPr>
      <w:rFonts w:ascii="Droid Sans" w:eastAsia="等线 Light" w:cs="Times New Roman" w:hAnsi="Droid Sans"/>
      <w:color w:val="0F4761"/>
      <w:sz w:val="40"/>
      <w:szCs w:val="40"/>
    </w:rPr>
  </w:style>
  <w:style w:type="paragraph" w:styleId="2">
    <w:name w:val="heading 2"/>
    <w:basedOn w:val="0"/>
    <w:next w:val="0"/>
    <w:pPr>
      <w:keepNext/>
      <w:keepLines/>
      <w:spacing w:before="160" w:after="80"/>
      <w:outlineLvl w:val="1"/>
    </w:pPr>
    <w:rPr>
      <w:rFonts w:ascii="Droid Sans" w:eastAsia="等线 Light" w:cs="Times New Roman" w:hAnsi="Droid Sans"/>
      <w:color w:val="0F4761"/>
      <w:sz w:val="32"/>
      <w:szCs w:val="32"/>
    </w:rPr>
  </w:style>
  <w:style w:type="paragraph" w:styleId="3">
    <w:name w:val="heading 3"/>
    <w:basedOn w:val="0"/>
    <w:next w:val="0"/>
    <w:pPr>
      <w:keepNext/>
      <w:keepLines/>
      <w:spacing w:before="160" w:after="80"/>
      <w:outlineLvl w:val="2"/>
    </w:pPr>
    <w:rPr>
      <w:rFonts w:eastAsia="等线 Light" w:cs="Times New Roman"/>
      <w:color w:val="0F4761"/>
      <w:sz w:val="28"/>
      <w:szCs w:val="28"/>
    </w:rPr>
  </w:style>
  <w:style w:type="paragraph" w:styleId="4">
    <w:name w:val="heading 4"/>
    <w:basedOn w:val="0"/>
    <w:next w:val="0"/>
    <w:pPr>
      <w:keepNext/>
      <w:keepLines/>
      <w:spacing w:before="80" w:after="40"/>
      <w:outlineLvl w:val="3"/>
    </w:pPr>
    <w:rPr>
      <w:rFonts w:eastAsia="等线 Light" w:cs="Times New Roman"/>
      <w:i/>
      <w:iCs/>
      <w:color w:val="0F4761"/>
    </w:rPr>
  </w:style>
  <w:style w:type="paragraph" w:styleId="5">
    <w:name w:val="heading 5"/>
    <w:basedOn w:val="0"/>
    <w:next w:val="0"/>
    <w:pPr>
      <w:keepNext/>
      <w:keepLines/>
      <w:spacing w:before="80" w:after="40"/>
      <w:outlineLvl w:val="4"/>
    </w:pPr>
    <w:rPr>
      <w:rFonts w:eastAsia="等线 Light" w:cs="Times New Roman"/>
      <w:color w:val="0F4761"/>
    </w:rPr>
  </w:style>
  <w:style w:type="paragraph" w:styleId="6">
    <w:name w:val="heading 6"/>
    <w:basedOn w:val="0"/>
    <w:next w:val="0"/>
    <w:pPr>
      <w:keepNext/>
      <w:keepLines/>
      <w:spacing w:before="40" w:after="0"/>
      <w:outlineLvl w:val="5"/>
    </w:pPr>
    <w:rPr>
      <w:rFonts w:eastAsia="等线 Light" w:cs="Times New Roman"/>
      <w:i/>
      <w:iCs/>
      <w:color w:val="595959"/>
    </w:rPr>
  </w:style>
  <w:style w:type="paragraph" w:styleId="7">
    <w:name w:val="heading 7"/>
    <w:basedOn w:val="0"/>
    <w:next w:val="0"/>
    <w:pPr>
      <w:keepNext/>
      <w:keepLines/>
      <w:spacing w:before="40" w:after="0"/>
      <w:outlineLvl w:val="6"/>
    </w:pPr>
    <w:rPr>
      <w:rFonts w:eastAsia="等线 Light" w:cs="Times New Roman"/>
      <w:color w:val="595959"/>
    </w:rPr>
  </w:style>
  <w:style w:type="paragraph" w:styleId="8">
    <w:name w:val="heading 8"/>
    <w:basedOn w:val="0"/>
    <w:next w:val="0"/>
    <w:pPr>
      <w:keepNext/>
      <w:keepLines/>
      <w:spacing w:after="0"/>
      <w:outlineLvl w:val="7"/>
    </w:pPr>
    <w:rPr>
      <w:rFonts w:eastAsia="等线 Light" w:cs="Times New Roman"/>
      <w:i/>
      <w:iCs/>
      <w:color w:val="272727"/>
    </w:rPr>
  </w:style>
  <w:style w:type="paragraph" w:styleId="9">
    <w:name w:val="heading 9"/>
    <w:basedOn w:val="0"/>
    <w:next w:val="0"/>
    <w:pPr>
      <w:keepNext/>
      <w:keepLines/>
      <w:spacing w:after="0"/>
      <w:outlineLvl w:val="8"/>
    </w:pPr>
    <w:rPr>
      <w:rFonts w:eastAsia="等线 Light" w:cs="Times New Roman"/>
      <w:color w:val="272727"/>
    </w:rPr>
  </w:style>
  <w:style w:type="character" w:default="1" w:styleId="10">
    <w:name w:val="Default Paragraph Font"/>
  </w:style>
  <w:style w:type="paragraph" w:styleId="15">
    <w:name w:val="Title"/>
    <w:basedOn w:val="0"/>
    <w:next w:val="0"/>
    <w:pPr>
      <w:spacing w:after="80" w:line="240" w:lineRule="auto"/>
      <w:contextualSpacing/>
    </w:pPr>
    <w:rPr>
      <w:rFonts w:ascii="Droid Sans" w:eastAsia="等线 Light" w:cs="Times New Roman" w:hAnsi="Droid Sans"/>
      <w:spacing w:val="-10"/>
      <w:kern w:val="28"/>
      <w:sz w:val="56"/>
      <w:szCs w:val="56"/>
    </w:rPr>
  </w:style>
  <w:style w:type="paragraph" w:styleId="16">
    <w:name w:val="Subtitle"/>
    <w:basedOn w:val="0"/>
    <w:next w:val="0"/>
    <w:rPr>
      <w:rFonts w:eastAsia="等线 Light" w:cs="Times New Roman"/>
      <w:color w:val="595959"/>
      <w:spacing w:val="15"/>
      <w:sz w:val="28"/>
      <w:szCs w:val="28"/>
    </w:rPr>
  </w:style>
  <w:style w:type="paragraph" w:customStyle="1" w:styleId="17">
    <w:name w:val="Quote"/>
    <w:basedOn w:val="0"/>
    <w:next w:val="0"/>
    <w:pPr>
      <w:spacing w:before="160"/>
      <w:jc w:val="center"/>
    </w:pPr>
    <w:rPr>
      <w:i/>
      <w:iCs/>
      <w:color w:val="404040"/>
    </w:rPr>
  </w:style>
  <w:style w:type="paragraph" w:customStyle="1" w:styleId="18">
    <w:name w:val="List Paragraph"/>
    <w:basedOn w:val="0"/>
    <w:pPr>
      <w:ind w:left="720"/>
      <w:contextualSpacing/>
    </w:pPr>
  </w:style>
  <w:style w:type="character" w:customStyle="1" w:styleId="19">
    <w:name w:val="Intense Emphasis"/>
    <w:basedOn w:val="10"/>
    <w:rPr>
      <w:i/>
      <w:iCs/>
      <w:color w:val="0F4761"/>
    </w:rPr>
  </w:style>
  <w:style w:type="paragraph" w:customStyle="1" w:styleId="20">
    <w:name w:val="Intense Quote"/>
    <w:basedOn w:val="0"/>
    <w:next w:val="0"/>
    <w:pPr>
      <w:pBdr>
        <w:top w:val="single" w:sz="4" w:space="10" w:color="0F4761"/>
        <w:bottom w:val="single" w:sz="4" w:space="10" w:color="0F4761"/>
      </w:pBdr>
      <w:spacing w:before="360" w:after="360"/>
      <w:ind w:left="864" w:right="864"/>
      <w:jc w:val="center"/>
    </w:pPr>
    <w:rPr>
      <w:i/>
      <w:iCs/>
      <w:color w:val="0F4761"/>
    </w:rPr>
  </w:style>
  <w:style w:type="character" w:customStyle="1" w:styleId="21">
    <w:name w:val="Intense Reference"/>
    <w:basedOn w:val="10"/>
    <w:rPr>
      <w:b/>
      <w:bCs/>
      <w:caps w:val="0"/>
      <w:smallCaps/>
      <w:color w:val="0F4761"/>
      <w:spacing w:val="5"/>
    </w:rPr>
  </w:style>
  <w:style w:type="paragraph" w:styleId="22">
    <w:name w:val="Normal (Web)"/>
    <w:basedOn w:val="0"/>
    <w:pPr>
      <w:spacing w:before="100" w:beforeAutospacing="1" w:after="100" w:afterAutospacing="1" w:line="240" w:lineRule="auto"/>
    </w:pPr>
    <w:rPr>
      <w:rFonts w:ascii="Times New Roman" w:eastAsia="Times New Roman" w:cs="Times New Roman" w:hAnsi="Times New Roman"/>
      <w:kern w:val="0"/>
      <w:lang w:eastAsia="en-GB"/>
    </w:rPr>
  </w:style>
  <w:style w:type="character" w:styleId="23">
    <w:name w:val="Emphasis"/>
    <w:basedOn w:val="10"/>
    <w:rPr>
      <w:i/>
      <w:iCs/>
    </w:rPr>
  </w:style>
  <w:style w:type="character" w:styleId="24">
    <w:name w:val="Hyperlink"/>
    <w:basedOn w:val="10"/>
    <w:rPr>
      <w:color w:val="0000FF"/>
      <w:u w:val="single"/>
    </w:rPr>
  </w:style>
  <w:style w:type="paragraph" w:customStyle="1" w:styleId="25">
    <w:name w:val="TOC Heading"/>
    <w:basedOn w:val="1"/>
    <w:next w:val="0"/>
    <w:pPr>
      <w:spacing w:before="240" w:after="0" w:line="259" w:lineRule="auto"/>
      <w:outlineLvl w:val="9"/>
    </w:pPr>
    <w:rPr>
      <w:kern w:val="0"/>
      <w:sz w:val="32"/>
      <w:szCs w:val="32"/>
      <w:lang w:eastAsia="en-GB"/>
    </w:rPr>
  </w:style>
  <w:style w:type="paragraph" w:styleId="26">
    <w:name w:val="toc 1"/>
    <w:basedOn w:val="0"/>
    <w:autoRedefine/>
    <w:next w:val="0"/>
    <w:pPr>
      <w:spacing w:after="100"/>
    </w:pPr>
  </w:style>
  <w:style w:type="paragraph" w:styleId="27">
    <w:name w:val="toc 2"/>
    <w:basedOn w:val="0"/>
    <w:autoRedefine/>
    <w:next w:val="0"/>
    <w:pPr>
      <w:spacing w:after="100"/>
      <w:ind w:left="240"/>
    </w:pPr>
  </w:style>
  <w:style w:type="paragraph" w:styleId="28">
    <w:name w:val="toc 3"/>
    <w:basedOn w:val="0"/>
    <w:autoRedefine/>
    <w:next w:val="0"/>
    <w:pPr>
      <w:spacing w:after="100"/>
      <w:ind w:left="480"/>
    </w:pPr>
  </w:style>
  <w:style w:type="paragraph" w:styleId="29">
    <w:name w:val="header"/>
    <w:basedOn w:val="0"/>
    <w:pPr>
      <w:tabs>
        <w:tab w:val="center" w:pos="4513"/>
        <w:tab w:val="right" w:pos="9026"/>
      </w:tabs>
      <w:spacing w:after="0" w:line="240" w:lineRule="auto"/>
    </w:pPr>
  </w:style>
  <w:style w:type="paragraph" w:styleId="30">
    <w:name w:val="footer"/>
    <w:basedOn w:val="0"/>
    <w:pPr>
      <w:tabs>
        <w:tab w:val="center" w:pos="4513"/>
        <w:tab w:val="right" w:pos="9026"/>
      </w:tabs>
      <w:spacing w:after="0" w:line="240" w:lineRule="auto"/>
    </w:pPr>
  </w:style>
  <w:style w:type="paragraph" w:customStyle="1" w:styleId="31">
    <w:name w:val="No Spacing"/>
    <w:pPr>
      <w:spacing w:after="0" w:line="240" w:lineRule="auto"/>
    </w:pPr>
    <w:rPr>
      <w:rFonts w:ascii="Droid Sans" w:eastAsia="等线" w:cs="Arial" w:hAnsi="Droid Sans"/>
      <w:kern w:val="0"/>
      <w:sz w:val="22"/>
      <w:szCs w:val="22"/>
      <w:lang w:val="en-GB" w:eastAsia="en-GB" w:bidi="ar-SA"/>
    </w:rPr>
  </w:style>
  <w:style w:type="character" w:styleId="32">
    <w:name w:val="Strong"/>
    <w:basedOn w:val="10"/>
    <w:rPr>
      <w:b/>
      <w:bCs/>
    </w:rPr>
  </w:style>
  <w:style w:type="character" w:customStyle="1" w:styleId="33">
    <w:name w:val="Unresolved Mention"/>
    <w:basedOn w:val="10"/>
    <w:rPr>
      <w:color w:val="605E5C"/>
      <w:shd w:val="clear" w:color="auto" w:fill="E1DFDD"/>
    </w:r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header" Target="header1.xml"/><Relationship Id="rId3" Type="http://schemas.openxmlformats.org/officeDocument/2006/relationships/image" Target="media/2.png"/><Relationship Id="rId4" Type="http://schemas.openxmlformats.org/officeDocument/2006/relationships/image" Target="media/5.png"/><Relationship Id="rId5" Type="http://schemas.openxmlformats.org/officeDocument/2006/relationships/image" Target="media/8.jpeg"/><Relationship Id="rId6" Type="http://schemas.openxmlformats.org/officeDocument/2006/relationships/image" Target="media/11.jpeg"/><Relationship Id="rId7" Type="http://schemas.openxmlformats.org/officeDocument/2006/relationships/image" Target="media/14.gif"/><Relationship Id="rId8" Type="http://schemas.openxmlformats.org/officeDocument/2006/relationships/image" Target="media/17.png"/><Relationship Id="rId9" Type="http://schemas.openxmlformats.org/officeDocument/2006/relationships/image" Target="media/20.png"/><Relationship Id="rId10" Type="http://schemas.openxmlformats.org/officeDocument/2006/relationships/image" Target="media/23.jpeg"/><Relationship Id="rId11" Type="http://schemas.openxmlformats.org/officeDocument/2006/relationships/image" Target="media/26.png"/><Relationship Id="rId12" Type="http://schemas.openxmlformats.org/officeDocument/2006/relationships/image" Target="media/29.png"/><Relationship Id="rId13" Type="http://schemas.openxmlformats.org/officeDocument/2006/relationships/styles" Target="styles.xml"/><Relationship Id="rId14" Type="http://schemas.openxmlformats.org/officeDocument/2006/relationships/numbering" Target="numbering.xml"/><Relationship Id="rId15" Type="http://schemas.openxmlformats.org/officeDocument/2006/relationships/fontTable" Target="fontTable.xml"/></Relationships>
</file>

<file path=docProps/app.xml><?xml version="1.0" encoding="utf-8"?>
<Properties xmlns="http://schemas.openxmlformats.org/officeDocument/2006/extended-properties">
  <Template>Normal.eit</Template>
  <TotalTime>0</TotalTime>
  <Application>Honor_Office</Application>
  <Pages>23</Pages>
  <Words>4289</Words>
  <Characters>28954</Characters>
  <Lines>583</Lines>
  <Paragraphs>255</Paragraphs>
  <CharactersWithSpaces>33131</CharactersWithSpaces>
</Properties>
</file>

<file path=docProps/core.xml><?xml version="1.0" encoding="utf-8"?>
<cp:coreProperties xmlns:cp="http://schemas.openxmlformats.org/package/2006/metadata/core-properties" xmlns:dc="http://purl.org/dc/elements/1.1/" xmlns:dcterms="http://purl.org/dc/terms/" xmlns:xsi="http://www.w3.org/2001/XMLSchema-instance">
  <dc:title>Strategic Marketing Analysis of Tesco PLC: A Critical Evaluation of STP and Marketing Mix Effectiveness</dc:title>
  <dc:subject>Module Title: Principles of Marketing / Module Code: LCBB5015                                                      BA (Hons) Business Management                                                                                                                  Lecturer: Ivan Rodriguez Hernandez                                                                                                     Submission Date: 29th March 2026</dc:subject>
  <dc:creator>Ateeq Rehman</dc:creator>
  <cp:lastModifiedBy>HONOR Docs</cp:lastModifiedBy>
  <cp:revision>2</cp:revision>
  <dcterms:created xsi:type="dcterms:W3CDTF">2026-03-20T21:47:00Z</dcterms:created>
  <dcterms:modified xsi:type="dcterms:W3CDTF">2026-03-26T10:15:33Z</dcterms:modified>
</cp:coreProperties>
</file>