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C5EBC2" w14:textId="50AAB5F3" w:rsidR="00690E30" w:rsidRPr="00690E30" w:rsidRDefault="00690E30" w:rsidP="00690E30">
      <w:pPr>
        <w:pBdr>
          <w:bottom w:val="single" w:sz="8" w:space="4" w:color="4F81BD" w:themeColor="accent1"/>
        </w:pBdr>
        <w:spacing w:after="300" w:line="360" w:lineRule="auto"/>
        <w:contextualSpacing/>
        <w:jc w:val="center"/>
        <w:rPr>
          <w:rFonts w:eastAsiaTheme="majorEastAsia" w:cstheme="majorBidi"/>
          <w:color w:val="000000" w:themeColor="text1"/>
          <w:spacing w:val="5"/>
          <w:kern w:val="28"/>
          <w:sz w:val="52"/>
          <w:szCs w:val="52"/>
          <w:lang w:val="en-GB"/>
        </w:rPr>
      </w:pPr>
      <w:r w:rsidRPr="00690E30">
        <w:rPr>
          <w:rFonts w:eastAsiaTheme="majorEastAsia" w:cstheme="majorBidi"/>
          <w:color w:val="000000" w:themeColor="text1"/>
          <w:spacing w:val="5"/>
          <w:kern w:val="28"/>
          <w:sz w:val="52"/>
          <w:szCs w:val="52"/>
          <w:lang w:val="en-GB"/>
        </w:rPr>
        <w:t xml:space="preserve">Evaluating Sustainability: Case Study Analysis of </w:t>
      </w:r>
      <w:proofErr w:type="spellStart"/>
      <w:r>
        <w:rPr>
          <w:rFonts w:eastAsiaTheme="majorEastAsia" w:cstheme="majorBidi"/>
          <w:color w:val="000000" w:themeColor="text1"/>
          <w:spacing w:val="5"/>
          <w:kern w:val="28"/>
          <w:sz w:val="52"/>
          <w:szCs w:val="52"/>
          <w:lang w:val="en-GB"/>
        </w:rPr>
        <w:t>Ripiena</w:t>
      </w:r>
      <w:proofErr w:type="spellEnd"/>
      <w:r>
        <w:rPr>
          <w:rFonts w:eastAsiaTheme="majorEastAsia" w:cstheme="majorBidi"/>
          <w:color w:val="000000" w:themeColor="text1"/>
          <w:spacing w:val="5"/>
          <w:kern w:val="28"/>
          <w:sz w:val="52"/>
          <w:szCs w:val="52"/>
          <w:lang w:val="en-GB"/>
        </w:rPr>
        <w:t xml:space="preserve"> Pasta Restaurant</w:t>
      </w:r>
    </w:p>
    <w:p w14:paraId="38F25A74"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r w:rsidRPr="00690E30">
        <w:rPr>
          <w:rFonts w:eastAsiaTheme="majorEastAsia" w:cstheme="majorBidi"/>
          <w:b/>
          <w:bCs/>
          <w:i/>
          <w:iCs/>
          <w:color w:val="000000" w:themeColor="text1"/>
          <w:spacing w:val="15"/>
          <w:sz w:val="24"/>
          <w:szCs w:val="24"/>
          <w:lang w:val="en-GB"/>
        </w:rPr>
        <w:t>Student Name:</w:t>
      </w:r>
      <w:r w:rsidRPr="00690E30">
        <w:rPr>
          <w:rFonts w:eastAsiaTheme="majorEastAsia" w:cstheme="majorBidi"/>
          <w:i/>
          <w:iCs/>
          <w:color w:val="000000" w:themeColor="text1"/>
          <w:spacing w:val="15"/>
          <w:sz w:val="24"/>
          <w:szCs w:val="24"/>
          <w:lang w:val="en-GB"/>
        </w:rPr>
        <w:t xml:space="preserve"> Eremia Alex Avram</w:t>
      </w:r>
      <w:r w:rsidRPr="00690E30">
        <w:rPr>
          <w:rFonts w:eastAsiaTheme="majorEastAsia" w:cstheme="majorBidi"/>
          <w:i/>
          <w:iCs/>
          <w:color w:val="000000" w:themeColor="text1"/>
          <w:spacing w:val="15"/>
          <w:sz w:val="24"/>
          <w:szCs w:val="24"/>
          <w:lang w:val="en-GB"/>
        </w:rPr>
        <w:br/>
      </w:r>
      <w:r w:rsidRPr="00690E30">
        <w:rPr>
          <w:rFonts w:eastAsiaTheme="majorEastAsia" w:cstheme="majorBidi"/>
          <w:b/>
          <w:bCs/>
          <w:i/>
          <w:iCs/>
          <w:color w:val="000000" w:themeColor="text1"/>
          <w:spacing w:val="15"/>
          <w:sz w:val="24"/>
          <w:szCs w:val="24"/>
          <w:lang w:val="en-GB"/>
        </w:rPr>
        <w:t>Student ID:</w:t>
      </w:r>
      <w:r w:rsidRPr="00690E30">
        <w:rPr>
          <w:rFonts w:eastAsiaTheme="majorEastAsia" w:cstheme="majorBidi"/>
          <w:i/>
          <w:iCs/>
          <w:color w:val="000000" w:themeColor="text1"/>
          <w:spacing w:val="15"/>
          <w:sz w:val="24"/>
          <w:szCs w:val="24"/>
          <w:lang w:val="en-GB"/>
        </w:rPr>
        <w:t xml:space="preserve"> 2130850</w:t>
      </w:r>
      <w:r w:rsidRPr="00690E30">
        <w:rPr>
          <w:rFonts w:eastAsiaTheme="majorEastAsia" w:cstheme="majorBidi"/>
          <w:i/>
          <w:iCs/>
          <w:color w:val="000000" w:themeColor="text1"/>
          <w:spacing w:val="15"/>
          <w:sz w:val="24"/>
          <w:szCs w:val="24"/>
          <w:lang w:val="en-GB"/>
        </w:rPr>
        <w:br/>
      </w:r>
      <w:r w:rsidRPr="00690E30">
        <w:rPr>
          <w:rFonts w:eastAsiaTheme="majorEastAsia" w:cstheme="majorBidi"/>
          <w:b/>
          <w:bCs/>
          <w:i/>
          <w:iCs/>
          <w:color w:val="000000" w:themeColor="text1"/>
          <w:spacing w:val="15"/>
          <w:sz w:val="24"/>
          <w:szCs w:val="24"/>
          <w:lang w:val="en-GB"/>
        </w:rPr>
        <w:t>Module Title and Number:</w:t>
      </w:r>
      <w:r w:rsidRPr="00690E30">
        <w:rPr>
          <w:rFonts w:eastAsiaTheme="majorEastAsia" w:cstheme="majorBidi"/>
          <w:i/>
          <w:iCs/>
          <w:color w:val="000000" w:themeColor="text1"/>
          <w:spacing w:val="15"/>
          <w:sz w:val="24"/>
          <w:szCs w:val="24"/>
          <w:lang w:val="en-GB"/>
        </w:rPr>
        <w:t xml:space="preserve"> Embedding Sustainability within Organisations-BMGM5000</w:t>
      </w:r>
    </w:p>
    <w:p w14:paraId="344526BF"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0E593D14"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6F234585"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1CA0D605"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532A1B33"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02280D5E"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6619CAC5"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2EC5BB67"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5D7430D3"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0CF76D7B"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43650BF6"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1424F38D"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63F4156F"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333BED8B"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421035D4"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36DAD2CA" w14:textId="77777777" w:rsidR="00690E30" w:rsidRDefault="00690E30" w:rsidP="00690E30">
      <w:pPr>
        <w:numPr>
          <w:ilvl w:val="1"/>
          <w:numId w:val="0"/>
        </w:numPr>
        <w:spacing w:after="160" w:line="360" w:lineRule="auto"/>
        <w:jc w:val="center"/>
        <w:rPr>
          <w:rFonts w:eastAsiaTheme="majorEastAsia" w:cstheme="majorBidi"/>
          <w:i/>
          <w:iCs/>
          <w:color w:val="000000" w:themeColor="text1"/>
          <w:spacing w:val="15"/>
          <w:sz w:val="24"/>
          <w:szCs w:val="24"/>
          <w:lang w:val="en-GB"/>
        </w:rPr>
      </w:pPr>
    </w:p>
    <w:p w14:paraId="3C5C683C" w14:textId="67986406" w:rsidR="00690E30" w:rsidRPr="001E1F48" w:rsidRDefault="00690E30" w:rsidP="001E1F48">
      <w:pPr>
        <w:pStyle w:val="Titlu1"/>
        <w:spacing w:line="360" w:lineRule="auto"/>
        <w:rPr>
          <w:rFonts w:ascii="Times New Roman" w:eastAsia="Times New Roman" w:hAnsi="Times New Roman" w:cs="Times New Roman"/>
        </w:rPr>
      </w:pPr>
      <w:r w:rsidRPr="001E1F48">
        <w:rPr>
          <w:rFonts w:ascii="Times New Roman" w:eastAsia="Times New Roman" w:hAnsi="Times New Roman" w:cs="Times New Roman"/>
        </w:rPr>
        <w:lastRenderedPageBreak/>
        <w:t>Introduction</w:t>
      </w:r>
    </w:p>
    <w:p w14:paraId="10B1D7D8" w14:textId="47D5151D" w:rsidR="00690E30" w:rsidRPr="001E1F48" w:rsidRDefault="00690E30" w:rsidP="001E1F48">
      <w:pPr>
        <w:spacing w:line="360" w:lineRule="auto"/>
        <w:rPr>
          <w:rFonts w:ascii="Times New Roman" w:hAnsi="Times New Roman" w:cs="Times New Roman"/>
        </w:rPr>
      </w:pPr>
      <w:r w:rsidRPr="00690E30">
        <w:rPr>
          <w:rFonts w:ascii="Times New Roman" w:hAnsi="Times New Roman" w:cs="Times New Roman"/>
        </w:rPr>
        <w:t xml:space="preserve">In recent years, the concept of sustainability has gained considerable momentum across various sectors, including the restaurant industry (Raj, 2020). This paper investigates the changing role of sustainability in the restaurant business by analyzing the three fundamental aspects of sustainability—environmental, social, and economic—and highlighting contemporary trends in sustainable restaurant management. Key factors driving this transition, such as regulatory policies, corporate social responsibility (CSR), ethical considerations, operational expenses, and evolving consumer preferences, will be evaluated (Baldwin &amp; Mah, 2022). Furthermore, based on personal experiences at Pasta </w:t>
      </w:r>
      <w:proofErr w:type="spellStart"/>
      <w:r w:rsidRPr="00690E30">
        <w:rPr>
          <w:rFonts w:ascii="Times New Roman" w:hAnsi="Times New Roman" w:cs="Times New Roman"/>
        </w:rPr>
        <w:t>Ripiena</w:t>
      </w:r>
      <w:proofErr w:type="spellEnd"/>
      <w:r w:rsidRPr="00690E30">
        <w:rPr>
          <w:rFonts w:ascii="Times New Roman" w:hAnsi="Times New Roman" w:cs="Times New Roman"/>
        </w:rPr>
        <w:t xml:space="preserve"> (see: Pasta </w:t>
      </w:r>
      <w:proofErr w:type="spellStart"/>
      <w:r w:rsidRPr="00690E30">
        <w:rPr>
          <w:rFonts w:ascii="Times New Roman" w:hAnsi="Times New Roman" w:cs="Times New Roman"/>
        </w:rPr>
        <w:t>Ripiena</w:t>
      </w:r>
      <w:proofErr w:type="spellEnd"/>
      <w:r w:rsidRPr="00690E30">
        <w:rPr>
          <w:rFonts w:ascii="Times New Roman" w:hAnsi="Times New Roman" w:cs="Times New Roman"/>
        </w:rPr>
        <w:t>, n.d.), the discussion will include examples of effective and ineffective sustainable practices, illustrating how these elements and motivations are reflected at the operational level. Consequently, this essay aims to provide a thorough and critical examination of how sustainability is being incorporated into the restaurant industry and assess the effectiveness of these initiatives. The structure includes an Introduction to set the context and clarify essential concepts; the Main Body to explore literature, theories, practical examples, and trends related to sustainability in the restaurant sector; and a Conclusion that recaps the findings, highlighting the advantages and future implications of sustainability in this domain.</w:t>
      </w:r>
    </w:p>
    <w:p w14:paraId="61700DE8" w14:textId="234F399A" w:rsidR="00690E30" w:rsidRPr="001E1F48" w:rsidRDefault="00690E30" w:rsidP="001E1F48">
      <w:pPr>
        <w:pStyle w:val="Titlu1"/>
        <w:spacing w:line="360" w:lineRule="auto"/>
        <w:rPr>
          <w:rFonts w:ascii="Times New Roman" w:eastAsia="Times New Roman" w:hAnsi="Times New Roman" w:cs="Times New Roman"/>
        </w:rPr>
      </w:pPr>
      <w:r w:rsidRPr="001E1F48">
        <w:rPr>
          <w:rFonts w:ascii="Times New Roman" w:eastAsia="Times New Roman" w:hAnsi="Times New Roman" w:cs="Times New Roman"/>
        </w:rPr>
        <w:t xml:space="preserve">Main Body </w:t>
      </w:r>
    </w:p>
    <w:p w14:paraId="22D26249" w14:textId="77777777" w:rsidR="00690E30" w:rsidRPr="001E1F48" w:rsidRDefault="00690E30" w:rsidP="001E1F48">
      <w:pPr>
        <w:pStyle w:val="Titlu2"/>
        <w:spacing w:line="360" w:lineRule="auto"/>
        <w:rPr>
          <w:rFonts w:ascii="Times New Roman" w:eastAsia="Times New Roman" w:hAnsi="Times New Roman" w:cs="Times New Roman"/>
        </w:rPr>
      </w:pPr>
      <w:r w:rsidRPr="001E1F48">
        <w:rPr>
          <w:rFonts w:ascii="Times New Roman" w:eastAsia="Times New Roman" w:hAnsi="Times New Roman" w:cs="Times New Roman"/>
        </w:rPr>
        <w:t>1. Defining Sustainability and the Triple Bottom Line</w:t>
      </w:r>
    </w:p>
    <w:p w14:paraId="0D15D5B4"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Sustainability, in a broad sense, refers to the ability to satisfy current needs without jeopardizing the capacity of future generations to fulfill theirs (World Commission on Environment and Development, 1987). Within the restaurant industry, this concept entails balancing economic success, ecological stewardship, and social welfare (Elkington, 1997). This tripartite approach is commonly known as the Triple Bottom Line (TBL):</w:t>
      </w:r>
    </w:p>
    <w:p w14:paraId="19B41510"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1. </w:t>
      </w:r>
      <w:r w:rsidRPr="00690E30">
        <w:rPr>
          <w:rFonts w:ascii="Times New Roman" w:eastAsia="Times New Roman" w:hAnsi="Times New Roman" w:cs="Times New Roman"/>
          <w:b/>
          <w:bCs/>
          <w:sz w:val="24"/>
          <w:szCs w:val="24"/>
        </w:rPr>
        <w:t>Environmental Pillar</w:t>
      </w:r>
      <w:r w:rsidRPr="00690E30">
        <w:rPr>
          <w:rFonts w:ascii="Times New Roman" w:eastAsia="Times New Roman" w:hAnsi="Times New Roman" w:cs="Times New Roman"/>
          <w:sz w:val="24"/>
          <w:szCs w:val="24"/>
        </w:rPr>
        <w:t>: This aspect emphasizes the reduction of adverse environmental effects, including waste production, energy use, and carbon emissions (Johnson &amp; Harrington, 2019). Restaurants play a role in greenhouse gas emissions through the sourcing, transportation, and preparation of food (FAO, 2019). Strategies such as sourcing ingredients locally, implementing energy-efficient cooking practices, and reducing single-use plastics are integral to this pillar (Jones et al., 2016).</w:t>
      </w:r>
    </w:p>
    <w:p w14:paraId="2C98C2E8"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2. </w:t>
      </w:r>
      <w:r w:rsidRPr="00690E30">
        <w:rPr>
          <w:rFonts w:ascii="Times New Roman" w:eastAsia="Times New Roman" w:hAnsi="Times New Roman" w:cs="Times New Roman"/>
          <w:b/>
          <w:bCs/>
          <w:sz w:val="24"/>
          <w:szCs w:val="24"/>
        </w:rPr>
        <w:t>Social Pillar</w:t>
      </w:r>
      <w:r w:rsidRPr="00690E30">
        <w:rPr>
          <w:rFonts w:ascii="Times New Roman" w:eastAsia="Times New Roman" w:hAnsi="Times New Roman" w:cs="Times New Roman"/>
          <w:sz w:val="24"/>
          <w:szCs w:val="24"/>
        </w:rPr>
        <w:t xml:space="preserve">: This element focuses on supporting local communities and ensuring the well-being of stakeholders, including employees, customers, and suppliers. In the restaurant sector, significant concerns include fair labor practices, equal opportunities, safe working environments, </w:t>
      </w:r>
      <w:r w:rsidRPr="00690E30">
        <w:rPr>
          <w:rFonts w:ascii="Times New Roman" w:eastAsia="Times New Roman" w:hAnsi="Times New Roman" w:cs="Times New Roman"/>
          <w:sz w:val="24"/>
          <w:szCs w:val="24"/>
        </w:rPr>
        <w:lastRenderedPageBreak/>
        <w:t>and community involvement (</w:t>
      </w:r>
      <w:proofErr w:type="spellStart"/>
      <w:r w:rsidRPr="00690E30">
        <w:rPr>
          <w:rFonts w:ascii="Times New Roman" w:eastAsia="Times New Roman" w:hAnsi="Times New Roman" w:cs="Times New Roman"/>
          <w:sz w:val="24"/>
          <w:szCs w:val="24"/>
        </w:rPr>
        <w:t>Kruesi</w:t>
      </w:r>
      <w:proofErr w:type="spellEnd"/>
      <w:r w:rsidRPr="00690E30">
        <w:rPr>
          <w:rFonts w:ascii="Times New Roman" w:eastAsia="Times New Roman" w:hAnsi="Times New Roman" w:cs="Times New Roman"/>
          <w:sz w:val="24"/>
          <w:szCs w:val="24"/>
        </w:rPr>
        <w:t xml:space="preserve"> &amp; </w:t>
      </w:r>
      <w:proofErr w:type="spellStart"/>
      <w:r w:rsidRPr="00690E30">
        <w:rPr>
          <w:rFonts w:ascii="Times New Roman" w:eastAsia="Times New Roman" w:hAnsi="Times New Roman" w:cs="Times New Roman"/>
          <w:sz w:val="24"/>
          <w:szCs w:val="24"/>
        </w:rPr>
        <w:t>Yurchisin</w:t>
      </w:r>
      <w:proofErr w:type="spellEnd"/>
      <w:r w:rsidRPr="00690E30">
        <w:rPr>
          <w:rFonts w:ascii="Times New Roman" w:eastAsia="Times New Roman" w:hAnsi="Times New Roman" w:cs="Times New Roman"/>
          <w:sz w:val="24"/>
          <w:szCs w:val="24"/>
        </w:rPr>
        <w:t>, 2021). Incorporating cultural and social aspects—such as offering menus that celebrate local traditions—can strengthen community ties and improve a restaurant’s image.</w:t>
      </w:r>
    </w:p>
    <w:p w14:paraId="7B7A0BAE"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3. </w:t>
      </w:r>
      <w:r w:rsidRPr="00690E30">
        <w:rPr>
          <w:rFonts w:ascii="Times New Roman" w:eastAsia="Times New Roman" w:hAnsi="Times New Roman" w:cs="Times New Roman"/>
          <w:b/>
          <w:bCs/>
          <w:sz w:val="24"/>
          <w:szCs w:val="24"/>
        </w:rPr>
        <w:t>Economic Pillar</w:t>
      </w:r>
      <w:r w:rsidRPr="00690E30">
        <w:rPr>
          <w:rFonts w:ascii="Times New Roman" w:eastAsia="Times New Roman" w:hAnsi="Times New Roman" w:cs="Times New Roman"/>
          <w:sz w:val="24"/>
          <w:szCs w:val="24"/>
        </w:rPr>
        <w:t>: This dimension seeks sustainable profitability while making a positive contribution to both local and global economies. Economic strategies that promote sustainability concentrate on cost management (by minimizing waste and enhancing operational efficiencies) and investments that boost brand reputation (Baldwin &amp; Mah, 2022). Beyond mere profitability, restaurants that prioritize long-term sustainability often experience greater customer loyalty and distinct market positioning (Hahn &amp; Bolch, 2020).</w:t>
      </w:r>
    </w:p>
    <w:p w14:paraId="19EE31B2" w14:textId="64F99703"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These three pillars are interconnected; achieving success in one area can lead to positive outcomes in another. For instance, a restaurant with strong environmental practices may enhance its financial health through decreased resource usage while attracting customers who are socially conscious (Johnson &amp; Harrington, 2019).</w:t>
      </w:r>
    </w:p>
    <w:p w14:paraId="61F5383A" w14:textId="77777777" w:rsidR="00690E30" w:rsidRPr="001E1F48" w:rsidRDefault="00690E30" w:rsidP="001E1F48">
      <w:pPr>
        <w:pStyle w:val="Titlu2"/>
        <w:spacing w:line="360" w:lineRule="auto"/>
        <w:rPr>
          <w:rFonts w:ascii="Times New Roman" w:eastAsia="Times New Roman" w:hAnsi="Times New Roman" w:cs="Times New Roman"/>
        </w:rPr>
      </w:pPr>
      <w:r w:rsidRPr="001E1F48">
        <w:rPr>
          <w:rFonts w:ascii="Times New Roman" w:eastAsia="Times New Roman" w:hAnsi="Times New Roman" w:cs="Times New Roman"/>
        </w:rPr>
        <w:t>2. Trends in Sustainable Restaurant Management</w:t>
      </w:r>
    </w:p>
    <w:p w14:paraId="5EEEB24A" w14:textId="77777777" w:rsidR="00690E30" w:rsidRPr="001E1F48" w:rsidRDefault="00690E30" w:rsidP="001E1F48">
      <w:pPr>
        <w:spacing w:after="0" w:line="360" w:lineRule="auto"/>
        <w:rPr>
          <w:rFonts w:ascii="Times New Roman" w:eastAsia="Times New Roman" w:hAnsi="Times New Roman" w:cs="Times New Roman"/>
          <w:sz w:val="24"/>
          <w:szCs w:val="24"/>
        </w:rPr>
      </w:pPr>
    </w:p>
    <w:p w14:paraId="0E53B418"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1. </w:t>
      </w:r>
      <w:r w:rsidRPr="00690E30">
        <w:rPr>
          <w:rFonts w:ascii="Times New Roman" w:eastAsia="Times New Roman" w:hAnsi="Times New Roman" w:cs="Times New Roman"/>
          <w:b/>
          <w:bCs/>
          <w:sz w:val="24"/>
          <w:szCs w:val="24"/>
        </w:rPr>
        <w:t>Local and Seasonal Sourcing</w:t>
      </w:r>
      <w:r w:rsidRPr="00690E30">
        <w:rPr>
          <w:rFonts w:ascii="Times New Roman" w:eastAsia="Times New Roman" w:hAnsi="Times New Roman" w:cs="Times New Roman"/>
          <w:sz w:val="24"/>
          <w:szCs w:val="24"/>
        </w:rPr>
        <w:t xml:space="preserve"> </w:t>
      </w:r>
    </w:p>
    <w:p w14:paraId="3C30B058"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Establishments are increasingly emphasizing the use of locally sourced and seasonal produce to minimize carbon footprints and support regional economies (Ramanathan et al., 2022). By shortening supply chains and choosing ingredients at their peak freshness, they can lessen environmental effects while providing fresher dishes, catering to consumer desires for “farm-to-table” experiences (Edwards, 2021).</w:t>
      </w:r>
    </w:p>
    <w:p w14:paraId="32E9FF94"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2. </w:t>
      </w:r>
      <w:r w:rsidRPr="00690E30">
        <w:rPr>
          <w:rFonts w:ascii="Times New Roman" w:eastAsia="Times New Roman" w:hAnsi="Times New Roman" w:cs="Times New Roman"/>
          <w:b/>
          <w:bCs/>
          <w:sz w:val="24"/>
          <w:szCs w:val="24"/>
        </w:rPr>
        <w:t>Plant-Based and Alternative Proteins</w:t>
      </w:r>
      <w:r w:rsidRPr="00690E30">
        <w:rPr>
          <w:rFonts w:ascii="Times New Roman" w:eastAsia="Times New Roman" w:hAnsi="Times New Roman" w:cs="Times New Roman"/>
          <w:sz w:val="24"/>
          <w:szCs w:val="24"/>
        </w:rPr>
        <w:t xml:space="preserve"> </w:t>
      </w:r>
    </w:p>
    <w:p w14:paraId="55FEA1E9"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A significant transition towards plant-centric menus and alternative protein sources—like tofu, tempeh, jackfruit, and lab-cultivated meats—is becoming more prominent. These choices typically use less water and land and generate fewer greenhouse gas emissions compared to conventional meat products (Clark &amp; Tilman, 2017). An increasing number of patrons are becoming health-conscious and environmentally aware, thereby boosting the demand for these options (Song et al., 2022).</w:t>
      </w:r>
    </w:p>
    <w:p w14:paraId="24965CFC"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3. </w:t>
      </w:r>
      <w:r w:rsidRPr="00690E30">
        <w:rPr>
          <w:rFonts w:ascii="Times New Roman" w:eastAsia="Times New Roman" w:hAnsi="Times New Roman" w:cs="Times New Roman"/>
          <w:b/>
          <w:bCs/>
          <w:sz w:val="24"/>
          <w:szCs w:val="24"/>
        </w:rPr>
        <w:t>Zero-Waste and Circular Economy Approaches</w:t>
      </w:r>
      <w:r w:rsidRPr="00690E30">
        <w:rPr>
          <w:rFonts w:ascii="Times New Roman" w:eastAsia="Times New Roman" w:hAnsi="Times New Roman" w:cs="Times New Roman"/>
          <w:sz w:val="24"/>
          <w:szCs w:val="24"/>
        </w:rPr>
        <w:t xml:space="preserve"> </w:t>
      </w:r>
    </w:p>
    <w:p w14:paraId="3779F442"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Food waste remains a critical challenge in the dining industry. Strategies focused on zero-waste cooking and circular economy principles aim to </w:t>
      </w:r>
      <w:proofErr w:type="gramStart"/>
      <w:r w:rsidRPr="00690E30">
        <w:rPr>
          <w:rFonts w:ascii="Times New Roman" w:eastAsia="Times New Roman" w:hAnsi="Times New Roman" w:cs="Times New Roman"/>
          <w:sz w:val="24"/>
          <w:szCs w:val="24"/>
        </w:rPr>
        <w:t>reutilize</w:t>
      </w:r>
      <w:proofErr w:type="gramEnd"/>
      <w:r w:rsidRPr="00690E30">
        <w:rPr>
          <w:rFonts w:ascii="Times New Roman" w:eastAsia="Times New Roman" w:hAnsi="Times New Roman" w:cs="Times New Roman"/>
          <w:sz w:val="24"/>
          <w:szCs w:val="24"/>
        </w:rPr>
        <w:t xml:space="preserve"> leftovers and byproducts. For example, </w:t>
      </w:r>
      <w:r w:rsidRPr="00690E30">
        <w:rPr>
          <w:rFonts w:ascii="Times New Roman" w:eastAsia="Times New Roman" w:hAnsi="Times New Roman" w:cs="Times New Roman"/>
          <w:sz w:val="24"/>
          <w:szCs w:val="24"/>
        </w:rPr>
        <w:lastRenderedPageBreak/>
        <w:t>surplus vegetable trimmings can be transformed into stocks or compost (</w:t>
      </w:r>
      <w:proofErr w:type="spellStart"/>
      <w:r w:rsidRPr="00690E30">
        <w:rPr>
          <w:rFonts w:ascii="Times New Roman" w:eastAsia="Times New Roman" w:hAnsi="Times New Roman" w:cs="Times New Roman"/>
          <w:sz w:val="24"/>
          <w:szCs w:val="24"/>
        </w:rPr>
        <w:t>Papargyropoulou</w:t>
      </w:r>
      <w:proofErr w:type="spellEnd"/>
      <w:r w:rsidRPr="00690E30">
        <w:rPr>
          <w:rFonts w:ascii="Times New Roman" w:eastAsia="Times New Roman" w:hAnsi="Times New Roman" w:cs="Times New Roman"/>
          <w:sz w:val="24"/>
          <w:szCs w:val="24"/>
        </w:rPr>
        <w:t xml:space="preserve"> et al., 2019). Additionally, restaurants are adopting advanced inventory management systems to better predict demand, thus reducing excessive purchasing (Betz et al., 2015).</w:t>
      </w:r>
    </w:p>
    <w:p w14:paraId="5C9C511B"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4. </w:t>
      </w:r>
      <w:r w:rsidRPr="00690E30">
        <w:rPr>
          <w:rFonts w:ascii="Times New Roman" w:eastAsia="Times New Roman" w:hAnsi="Times New Roman" w:cs="Times New Roman"/>
          <w:b/>
          <w:bCs/>
          <w:sz w:val="24"/>
          <w:szCs w:val="24"/>
        </w:rPr>
        <w:t>Energy-Efficient Equipment and Green Design</w:t>
      </w:r>
      <w:r w:rsidRPr="00690E30">
        <w:rPr>
          <w:rFonts w:ascii="Times New Roman" w:eastAsia="Times New Roman" w:hAnsi="Times New Roman" w:cs="Times New Roman"/>
          <w:sz w:val="24"/>
          <w:szCs w:val="24"/>
        </w:rPr>
        <w:t xml:space="preserve"> </w:t>
      </w:r>
    </w:p>
    <w:p w14:paraId="73E05D6F"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Dining establishments are modernizing their operations to incorporate energy-saving appliances, renewable energy options, and sustainable building materials (Baldwin &amp; Mah, 2022). They are implementing LED lighting, efficient heating and cooling systems, and enhancing thermal insulation to cut operational expenses and carbon emissions. Moreover, the idea of “green restaurants” includes utilizing biodegradable or compostable packaging to help alleviate plastic waste (Hu et al., 2019).</w:t>
      </w:r>
    </w:p>
    <w:p w14:paraId="016D695C"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5. </w:t>
      </w:r>
      <w:r w:rsidRPr="00690E30">
        <w:rPr>
          <w:rFonts w:ascii="Times New Roman" w:eastAsia="Times New Roman" w:hAnsi="Times New Roman" w:cs="Times New Roman"/>
          <w:b/>
          <w:bCs/>
          <w:sz w:val="24"/>
          <w:szCs w:val="24"/>
        </w:rPr>
        <w:t>Fair Labor and Ethical Sourcing</w:t>
      </w:r>
      <w:r w:rsidRPr="00690E30">
        <w:rPr>
          <w:rFonts w:ascii="Times New Roman" w:eastAsia="Times New Roman" w:hAnsi="Times New Roman" w:cs="Times New Roman"/>
          <w:sz w:val="24"/>
          <w:szCs w:val="24"/>
        </w:rPr>
        <w:t xml:space="preserve"> </w:t>
      </w:r>
    </w:p>
    <w:p w14:paraId="470AF5FA" w14:textId="7C074DD2"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In addition to environmental factors, there is an increasing emphasis on the ethical procurement of ingredients, ensuring that suppliers comply with fair labor standards (</w:t>
      </w:r>
      <w:proofErr w:type="spellStart"/>
      <w:r w:rsidRPr="00690E30">
        <w:rPr>
          <w:rFonts w:ascii="Times New Roman" w:eastAsia="Times New Roman" w:hAnsi="Times New Roman" w:cs="Times New Roman"/>
          <w:sz w:val="24"/>
          <w:szCs w:val="24"/>
        </w:rPr>
        <w:t>Kruesi</w:t>
      </w:r>
      <w:proofErr w:type="spellEnd"/>
      <w:r w:rsidRPr="00690E30">
        <w:rPr>
          <w:rFonts w:ascii="Times New Roman" w:eastAsia="Times New Roman" w:hAnsi="Times New Roman" w:cs="Times New Roman"/>
          <w:sz w:val="24"/>
          <w:szCs w:val="24"/>
        </w:rPr>
        <w:t xml:space="preserve"> &amp; </w:t>
      </w:r>
      <w:proofErr w:type="spellStart"/>
      <w:r w:rsidRPr="00690E30">
        <w:rPr>
          <w:rFonts w:ascii="Times New Roman" w:eastAsia="Times New Roman" w:hAnsi="Times New Roman" w:cs="Times New Roman"/>
          <w:sz w:val="24"/>
          <w:szCs w:val="24"/>
        </w:rPr>
        <w:t>Yurchisin</w:t>
      </w:r>
      <w:proofErr w:type="spellEnd"/>
      <w:r w:rsidRPr="00690E30">
        <w:rPr>
          <w:rFonts w:ascii="Times New Roman" w:eastAsia="Times New Roman" w:hAnsi="Times New Roman" w:cs="Times New Roman"/>
          <w:sz w:val="24"/>
          <w:szCs w:val="24"/>
        </w:rPr>
        <w:t>, 2021). Some establishments promote transparent supply chains, compensating local farmers and producers fairly. This approach resonates with consumers who are ethically conscious and wish to support responsible businesses (Harrison et al., 2021).</w:t>
      </w:r>
    </w:p>
    <w:p w14:paraId="0A8B6226" w14:textId="77777777" w:rsidR="00690E30" w:rsidRPr="001E1F48" w:rsidRDefault="00690E30" w:rsidP="001E1F48">
      <w:pPr>
        <w:pStyle w:val="Titlu2"/>
        <w:spacing w:line="360" w:lineRule="auto"/>
        <w:rPr>
          <w:rFonts w:ascii="Times New Roman" w:eastAsia="Times New Roman" w:hAnsi="Times New Roman" w:cs="Times New Roman"/>
        </w:rPr>
      </w:pPr>
      <w:r w:rsidRPr="001E1F48">
        <w:rPr>
          <w:rFonts w:ascii="Times New Roman" w:eastAsia="Times New Roman" w:hAnsi="Times New Roman" w:cs="Times New Roman"/>
        </w:rPr>
        <w:t>3. Drivers for Sustainability in the Restaurant Sector</w:t>
      </w:r>
    </w:p>
    <w:p w14:paraId="4EDD58E9"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3.1 Regulations and Policies Various levels of government have enacted rules to promote or require sustainability. For instance, the European Union’s prohibition on certain single-use plastics has forced numerous restaurants to transition to biodegradable options (European Commission, 2019). Likewise, municipal regulations may mandate that eateries segregate food waste or implement specific energy-saving practices (Winn, 2020). Noncompliance can result in penalties or the revocation of licenses, providing a significant regulatory impetus for sustainability.</w:t>
      </w:r>
    </w:p>
    <w:p w14:paraId="1CA8B764"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3.2 Ethics and Corporate Social Responsibility (CSR) Ethical factors and CSR initiatives motivate restaurants to consider more than just basic profit indicators (Hahn &amp; Bolch, 2020). Establishments frequently release sustainability reports or pledge to industry accreditations like the Green Restaurant Association in the United States or the Sustainable Restaurant Association in the UK, both of which evaluate environmental and social performance. A commitment to CSR can enhance brand image, foster community goodwill, and attract customers with ethical considerations (Jones et al., 2016).</w:t>
      </w:r>
    </w:p>
    <w:p w14:paraId="0F903B84"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lastRenderedPageBreak/>
        <w:t xml:space="preserve">3.3 Cost Savings and Operational Efficiency Contrary to the belief that sustainability incurs high costs, many eco-friendly practices can </w:t>
      </w:r>
      <w:proofErr w:type="gramStart"/>
      <w:r w:rsidRPr="00690E30">
        <w:rPr>
          <w:rFonts w:ascii="Times New Roman" w:eastAsia="Times New Roman" w:hAnsi="Times New Roman" w:cs="Times New Roman"/>
          <w:sz w:val="24"/>
          <w:szCs w:val="24"/>
        </w:rPr>
        <w:t>actually lower</w:t>
      </w:r>
      <w:proofErr w:type="gramEnd"/>
      <w:r w:rsidRPr="00690E30">
        <w:rPr>
          <w:rFonts w:ascii="Times New Roman" w:eastAsia="Times New Roman" w:hAnsi="Times New Roman" w:cs="Times New Roman"/>
          <w:sz w:val="24"/>
          <w:szCs w:val="24"/>
        </w:rPr>
        <w:t xml:space="preserve"> operational expenses over time (Johnson &amp; Harrington, 2019). By reducing food waste, restaurants can cut costs associated with purchasing surplus inventory and waste disposal. Energy-efficient appliances and lighting can decrease utility expenses. In the long run, investments in sustainable infrastructure can yield financial savings and safeguard profitability, creating a mutually beneficial situation (Baldwin &amp; Mah, 2022).</w:t>
      </w:r>
    </w:p>
    <w:p w14:paraId="46291C28" w14:textId="648B1C91"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3.4 Customer Demand and Market Differentiation A significant motivating factor is the increasing consumer awareness and demand for sustainable options. Contemporary patrons often seek out restaurants that resonate with their personal values, including the intent to lessen environmental impact (Clark &amp; Tilman, 2017). Offering clear information—such as labeling local, organic, or </w:t>
      </w:r>
      <w:proofErr w:type="gramStart"/>
      <w:r w:rsidRPr="00690E30">
        <w:rPr>
          <w:rFonts w:ascii="Times New Roman" w:eastAsia="Times New Roman" w:hAnsi="Times New Roman" w:cs="Times New Roman"/>
          <w:sz w:val="24"/>
          <w:szCs w:val="24"/>
        </w:rPr>
        <w:t>Fair Trade</w:t>
      </w:r>
      <w:proofErr w:type="gramEnd"/>
      <w:r w:rsidRPr="00690E30">
        <w:rPr>
          <w:rFonts w:ascii="Times New Roman" w:eastAsia="Times New Roman" w:hAnsi="Times New Roman" w:cs="Times New Roman"/>
          <w:sz w:val="24"/>
          <w:szCs w:val="24"/>
        </w:rPr>
        <w:t xml:space="preserve"> items—fosters trust and loyalty. This differentiation in the market can result in premium pricing, enhanced brand allegiance, and a competitive advantage (</w:t>
      </w:r>
      <w:proofErr w:type="spellStart"/>
      <w:r w:rsidRPr="00690E30">
        <w:rPr>
          <w:rFonts w:ascii="Times New Roman" w:eastAsia="Times New Roman" w:hAnsi="Times New Roman" w:cs="Times New Roman"/>
          <w:sz w:val="24"/>
          <w:szCs w:val="24"/>
        </w:rPr>
        <w:t>Kruesi</w:t>
      </w:r>
      <w:proofErr w:type="spellEnd"/>
      <w:r w:rsidRPr="00690E30">
        <w:rPr>
          <w:rFonts w:ascii="Times New Roman" w:eastAsia="Times New Roman" w:hAnsi="Times New Roman" w:cs="Times New Roman"/>
          <w:sz w:val="24"/>
          <w:szCs w:val="24"/>
        </w:rPr>
        <w:t xml:space="preserve"> &amp; </w:t>
      </w:r>
      <w:proofErr w:type="spellStart"/>
      <w:r w:rsidRPr="00690E30">
        <w:rPr>
          <w:rFonts w:ascii="Times New Roman" w:eastAsia="Times New Roman" w:hAnsi="Times New Roman" w:cs="Times New Roman"/>
          <w:sz w:val="24"/>
          <w:szCs w:val="24"/>
        </w:rPr>
        <w:t>Yurchisin</w:t>
      </w:r>
      <w:proofErr w:type="spellEnd"/>
      <w:r w:rsidRPr="00690E30">
        <w:rPr>
          <w:rFonts w:ascii="Times New Roman" w:eastAsia="Times New Roman" w:hAnsi="Times New Roman" w:cs="Times New Roman"/>
          <w:sz w:val="24"/>
          <w:szCs w:val="24"/>
        </w:rPr>
        <w:t>, 2021).</w:t>
      </w:r>
    </w:p>
    <w:p w14:paraId="3229F469" w14:textId="77777777" w:rsidR="00690E30" w:rsidRPr="001E1F48" w:rsidRDefault="00690E30" w:rsidP="001E1F48">
      <w:pPr>
        <w:pStyle w:val="Titlu2"/>
        <w:spacing w:line="360" w:lineRule="auto"/>
        <w:rPr>
          <w:rFonts w:ascii="Times New Roman" w:eastAsia="Times New Roman" w:hAnsi="Times New Roman" w:cs="Times New Roman"/>
        </w:rPr>
      </w:pPr>
      <w:r w:rsidRPr="001E1F48">
        <w:rPr>
          <w:rFonts w:ascii="Times New Roman" w:eastAsia="Times New Roman" w:hAnsi="Times New Roman" w:cs="Times New Roman"/>
        </w:rPr>
        <w:t xml:space="preserve">4. Examples from Placement: Pasta </w:t>
      </w:r>
      <w:proofErr w:type="spellStart"/>
      <w:r w:rsidRPr="001E1F48">
        <w:rPr>
          <w:rFonts w:ascii="Times New Roman" w:eastAsia="Times New Roman" w:hAnsi="Times New Roman" w:cs="Times New Roman"/>
        </w:rPr>
        <w:t>Ripiena</w:t>
      </w:r>
      <w:proofErr w:type="spellEnd"/>
    </w:p>
    <w:p w14:paraId="4B1B07F1"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During my internship at Pasta </w:t>
      </w:r>
      <w:proofErr w:type="spellStart"/>
      <w:r w:rsidRPr="00690E30">
        <w:rPr>
          <w:rFonts w:ascii="Times New Roman" w:eastAsia="Times New Roman" w:hAnsi="Times New Roman" w:cs="Times New Roman"/>
          <w:sz w:val="24"/>
          <w:szCs w:val="24"/>
        </w:rPr>
        <w:t>Ripiena</w:t>
      </w:r>
      <w:proofErr w:type="spellEnd"/>
      <w:r w:rsidRPr="00690E30">
        <w:rPr>
          <w:rFonts w:ascii="Times New Roman" w:eastAsia="Times New Roman" w:hAnsi="Times New Roman" w:cs="Times New Roman"/>
          <w:sz w:val="24"/>
          <w:szCs w:val="24"/>
        </w:rPr>
        <w:t xml:space="preserve">, I had the chance to witness the practical implementation of sustainable practices directly. Pasta </w:t>
      </w:r>
      <w:proofErr w:type="spellStart"/>
      <w:r w:rsidRPr="00690E30">
        <w:rPr>
          <w:rFonts w:ascii="Times New Roman" w:eastAsia="Times New Roman" w:hAnsi="Times New Roman" w:cs="Times New Roman"/>
          <w:sz w:val="24"/>
          <w:szCs w:val="24"/>
        </w:rPr>
        <w:t>Ripiena</w:t>
      </w:r>
      <w:proofErr w:type="spellEnd"/>
      <w:r w:rsidRPr="00690E30">
        <w:rPr>
          <w:rFonts w:ascii="Times New Roman" w:eastAsia="Times New Roman" w:hAnsi="Times New Roman" w:cs="Times New Roman"/>
          <w:sz w:val="24"/>
          <w:szCs w:val="24"/>
        </w:rPr>
        <w:t xml:space="preserve"> emphasizes fresh, handcrafted pasta and has demonstrated awareness of specific sustainability elements, yet, </w:t>
      </w:r>
      <w:proofErr w:type="gramStart"/>
      <w:r w:rsidRPr="00690E30">
        <w:rPr>
          <w:rFonts w:ascii="Times New Roman" w:eastAsia="Times New Roman" w:hAnsi="Times New Roman" w:cs="Times New Roman"/>
          <w:sz w:val="24"/>
          <w:szCs w:val="24"/>
        </w:rPr>
        <w:t>similar to</w:t>
      </w:r>
      <w:proofErr w:type="gramEnd"/>
      <w:r w:rsidRPr="00690E30">
        <w:rPr>
          <w:rFonts w:ascii="Times New Roman" w:eastAsia="Times New Roman" w:hAnsi="Times New Roman" w:cs="Times New Roman"/>
          <w:sz w:val="24"/>
          <w:szCs w:val="24"/>
        </w:rPr>
        <w:t xml:space="preserve"> many establishments, there is potential for enhancement.</w:t>
      </w:r>
    </w:p>
    <w:p w14:paraId="670C92B9" w14:textId="77777777" w:rsidR="00690E30" w:rsidRPr="00690E30" w:rsidRDefault="00690E30" w:rsidP="001E1F48">
      <w:pPr>
        <w:spacing w:after="0" w:line="360" w:lineRule="auto"/>
        <w:rPr>
          <w:rFonts w:ascii="Times New Roman" w:eastAsia="Times New Roman" w:hAnsi="Times New Roman" w:cs="Times New Roman"/>
          <w:b/>
          <w:bCs/>
          <w:sz w:val="24"/>
          <w:szCs w:val="24"/>
        </w:rPr>
      </w:pPr>
      <w:r w:rsidRPr="00690E30">
        <w:rPr>
          <w:rFonts w:ascii="Times New Roman" w:eastAsia="Times New Roman" w:hAnsi="Times New Roman" w:cs="Times New Roman"/>
          <w:b/>
          <w:bCs/>
          <w:sz w:val="24"/>
          <w:szCs w:val="24"/>
        </w:rPr>
        <w:t xml:space="preserve">4.1 Positive Practices Noted </w:t>
      </w:r>
    </w:p>
    <w:p w14:paraId="6865ABCE"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1. Local Ingredient Sourcing </w:t>
      </w:r>
    </w:p>
    <w:p w14:paraId="1F7CED8E"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Pasta </w:t>
      </w:r>
      <w:proofErr w:type="spellStart"/>
      <w:r w:rsidRPr="00690E30">
        <w:rPr>
          <w:rFonts w:ascii="Times New Roman" w:eastAsia="Times New Roman" w:hAnsi="Times New Roman" w:cs="Times New Roman"/>
          <w:sz w:val="24"/>
          <w:szCs w:val="24"/>
        </w:rPr>
        <w:t>Ripiena</w:t>
      </w:r>
      <w:proofErr w:type="spellEnd"/>
      <w:r w:rsidRPr="00690E30">
        <w:rPr>
          <w:rFonts w:ascii="Times New Roman" w:eastAsia="Times New Roman" w:hAnsi="Times New Roman" w:cs="Times New Roman"/>
          <w:sz w:val="24"/>
          <w:szCs w:val="24"/>
        </w:rPr>
        <w:t xml:space="preserve"> obtains some of its vegetables and artisanal cheeses from nearby suppliers, which lowers transportation expenses and emissions. This approach also bolsters the local economy and guarantees fresh, high-quality products for patrons. The shorter supply chain allows for greater transparency and builds trust with both suppliers and customers (Edwards, 2021). </w:t>
      </w:r>
    </w:p>
    <w:p w14:paraId="16B233C2"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2. Seasonal Menu Adjustments </w:t>
      </w:r>
    </w:p>
    <w:p w14:paraId="4D7864C7"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The restaurant regularly modifies its menu based on what is seasonally available, thereby reducing the necessity for imported items that have larger carbon footprints. Seasonal menus can also boost creativity, encouraging chefs to experiment with new dishes and ingredients that are at their best (Song et al., 2022). </w:t>
      </w:r>
    </w:p>
    <w:p w14:paraId="1EBF1530"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3. Employee Welfare </w:t>
      </w:r>
    </w:p>
    <w:p w14:paraId="239CA5AF"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lastRenderedPageBreak/>
        <w:t xml:space="preserve">Staff at Pasta </w:t>
      </w:r>
      <w:proofErr w:type="spellStart"/>
      <w:r w:rsidRPr="00690E30">
        <w:rPr>
          <w:rFonts w:ascii="Times New Roman" w:eastAsia="Times New Roman" w:hAnsi="Times New Roman" w:cs="Times New Roman"/>
          <w:sz w:val="24"/>
          <w:szCs w:val="24"/>
        </w:rPr>
        <w:t>Ripiena</w:t>
      </w:r>
      <w:proofErr w:type="spellEnd"/>
      <w:r w:rsidRPr="00690E30">
        <w:rPr>
          <w:rFonts w:ascii="Times New Roman" w:eastAsia="Times New Roman" w:hAnsi="Times New Roman" w:cs="Times New Roman"/>
          <w:sz w:val="24"/>
          <w:szCs w:val="24"/>
        </w:rPr>
        <w:t xml:space="preserve"> generally reported favorable working conditions and equitable scheduling practices. The management showed consideration for employee morale, which is vital to the social aspect of sustainability (</w:t>
      </w:r>
      <w:proofErr w:type="spellStart"/>
      <w:r w:rsidRPr="00690E30">
        <w:rPr>
          <w:rFonts w:ascii="Times New Roman" w:eastAsia="Times New Roman" w:hAnsi="Times New Roman" w:cs="Times New Roman"/>
          <w:sz w:val="24"/>
          <w:szCs w:val="24"/>
        </w:rPr>
        <w:t>Kruesi</w:t>
      </w:r>
      <w:proofErr w:type="spellEnd"/>
      <w:r w:rsidRPr="00690E30">
        <w:rPr>
          <w:rFonts w:ascii="Times New Roman" w:eastAsia="Times New Roman" w:hAnsi="Times New Roman" w:cs="Times New Roman"/>
          <w:sz w:val="24"/>
          <w:szCs w:val="24"/>
        </w:rPr>
        <w:t xml:space="preserve"> &amp; </w:t>
      </w:r>
      <w:proofErr w:type="spellStart"/>
      <w:r w:rsidRPr="00690E30">
        <w:rPr>
          <w:rFonts w:ascii="Times New Roman" w:eastAsia="Times New Roman" w:hAnsi="Times New Roman" w:cs="Times New Roman"/>
          <w:sz w:val="24"/>
          <w:szCs w:val="24"/>
        </w:rPr>
        <w:t>Yurchisin</w:t>
      </w:r>
      <w:proofErr w:type="spellEnd"/>
      <w:r w:rsidRPr="00690E30">
        <w:rPr>
          <w:rFonts w:ascii="Times New Roman" w:eastAsia="Times New Roman" w:hAnsi="Times New Roman" w:cs="Times New Roman"/>
          <w:sz w:val="24"/>
          <w:szCs w:val="24"/>
        </w:rPr>
        <w:t xml:space="preserve">, 2021). Training sessions on the significance of consistent portion control were provided, assisting staff in minimizing food waste in the kitchen. </w:t>
      </w:r>
    </w:p>
    <w:p w14:paraId="4B8CFCD8" w14:textId="77777777" w:rsidR="00690E30" w:rsidRPr="00690E30" w:rsidRDefault="00690E30" w:rsidP="001E1F48">
      <w:pPr>
        <w:spacing w:after="0" w:line="360" w:lineRule="auto"/>
        <w:rPr>
          <w:rFonts w:ascii="Times New Roman" w:eastAsia="Times New Roman" w:hAnsi="Times New Roman" w:cs="Times New Roman"/>
          <w:b/>
          <w:bCs/>
          <w:sz w:val="24"/>
          <w:szCs w:val="24"/>
        </w:rPr>
      </w:pPr>
      <w:r w:rsidRPr="00690E30">
        <w:rPr>
          <w:rFonts w:ascii="Times New Roman" w:eastAsia="Times New Roman" w:hAnsi="Times New Roman" w:cs="Times New Roman"/>
          <w:b/>
          <w:bCs/>
          <w:sz w:val="24"/>
          <w:szCs w:val="24"/>
        </w:rPr>
        <w:t xml:space="preserve">4.2 Opportunities for Enhancement </w:t>
      </w:r>
    </w:p>
    <w:p w14:paraId="7ACCD53D"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1. Food Waste Management </w:t>
      </w:r>
    </w:p>
    <w:p w14:paraId="1F1D7F25"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Although there are some efforts at portion control, surplus food is not systematically repurposed or donated (Betz et al., 2015). Establishing a more comprehensive system for collecting and redistributing leftover meals or composting waste could greatly lessen environmental impact. </w:t>
      </w:r>
    </w:p>
    <w:p w14:paraId="49A37D31"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2. Energy and Resource Efficiency </w:t>
      </w:r>
    </w:p>
    <w:p w14:paraId="200696F8"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Despite the restaurant utilizing modern kitchen equipment, there is no clear strategy in place to monitor or manage energy consumption. Simple actions—such as tracking monthly energy usage, investing in smart metering, or identifying peak energy demand periods—could help pinpoint areas for savings (Baldwin &amp; Mah, 2022). </w:t>
      </w:r>
    </w:p>
    <w:p w14:paraId="37DA7D96"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3. Packaging and Takeaway Materials </w:t>
      </w:r>
    </w:p>
    <w:p w14:paraId="5410C6FF"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The reliance on plastic takeaway containers and non-biodegradable cutlery continues to be a challenge. Transitioning to compostable or recyclable alternatives would improve the restaurant’s environmental standing (Hu et al., 2019). </w:t>
      </w:r>
    </w:p>
    <w:p w14:paraId="22AF06DF"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4. Formal Sustainability Policy </w:t>
      </w:r>
    </w:p>
    <w:p w14:paraId="2FA75182" w14:textId="77777777"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While initiatives regarding local sourcing and employee welfare exist, these actions are not recorded in a formal sustainability policy. Establishing a clear framework and offering regular sustainability training could help integrate sustainable principles throughout all operational levels (Harrison et al., 2021). </w:t>
      </w:r>
    </w:p>
    <w:p w14:paraId="43EEA439" w14:textId="40467860" w:rsidR="00690E30" w:rsidRPr="00690E30" w:rsidRDefault="00690E30" w:rsidP="001E1F48">
      <w:pPr>
        <w:spacing w:after="0" w:line="360" w:lineRule="auto"/>
        <w:rPr>
          <w:rFonts w:ascii="Times New Roman" w:eastAsia="Times New Roman" w:hAnsi="Times New Roman" w:cs="Times New Roman"/>
          <w:sz w:val="24"/>
          <w:szCs w:val="24"/>
        </w:rPr>
      </w:pPr>
      <w:r w:rsidRPr="00690E30">
        <w:rPr>
          <w:rFonts w:ascii="Times New Roman" w:eastAsia="Times New Roman" w:hAnsi="Times New Roman" w:cs="Times New Roman"/>
          <w:sz w:val="24"/>
          <w:szCs w:val="24"/>
        </w:rPr>
        <w:t xml:space="preserve">Overall, the experience at Pasta </w:t>
      </w:r>
      <w:proofErr w:type="spellStart"/>
      <w:r w:rsidRPr="00690E30">
        <w:rPr>
          <w:rFonts w:ascii="Times New Roman" w:eastAsia="Times New Roman" w:hAnsi="Times New Roman" w:cs="Times New Roman"/>
          <w:sz w:val="24"/>
          <w:szCs w:val="24"/>
        </w:rPr>
        <w:t>Ripiena</w:t>
      </w:r>
      <w:proofErr w:type="spellEnd"/>
      <w:r w:rsidRPr="00690E30">
        <w:rPr>
          <w:rFonts w:ascii="Times New Roman" w:eastAsia="Times New Roman" w:hAnsi="Times New Roman" w:cs="Times New Roman"/>
          <w:sz w:val="24"/>
          <w:szCs w:val="24"/>
        </w:rPr>
        <w:t xml:space="preserve"> highlights the delicate balance of upholding quality, profitability, and ethical considerations in a fiercely competitive industry. Minor adjustments in operational practices could lead to substantial sustainability improvements, emphasizing that sustainability should be woven into both strategic and operational frameworks (Ramanathan et al., 2022).</w:t>
      </w:r>
    </w:p>
    <w:p w14:paraId="351F0117" w14:textId="77777777" w:rsidR="00690E30" w:rsidRPr="001E1F48" w:rsidRDefault="00690E30" w:rsidP="001E1F48">
      <w:pPr>
        <w:pStyle w:val="Titlu2"/>
        <w:spacing w:line="360" w:lineRule="auto"/>
        <w:rPr>
          <w:rFonts w:ascii="Times New Roman" w:eastAsia="Times New Roman" w:hAnsi="Times New Roman" w:cs="Times New Roman"/>
        </w:rPr>
      </w:pPr>
      <w:r w:rsidRPr="001E1F48">
        <w:rPr>
          <w:rFonts w:ascii="Times New Roman" w:eastAsia="Times New Roman" w:hAnsi="Times New Roman" w:cs="Times New Roman"/>
        </w:rPr>
        <w:t>5. Critical Evaluation of Sustainability in the Restaurant Sector</w:t>
      </w:r>
    </w:p>
    <w:p w14:paraId="732A2149" w14:textId="77777777" w:rsidR="00690E30" w:rsidRPr="001E1F48" w:rsidRDefault="00690E30" w:rsidP="001E1F48">
      <w:pPr>
        <w:spacing w:line="360" w:lineRule="auto"/>
        <w:rPr>
          <w:rFonts w:ascii="Times New Roman" w:eastAsia="Times New Roman" w:hAnsi="Times New Roman" w:cs="Times New Roman"/>
          <w:b/>
          <w:bCs/>
          <w:sz w:val="24"/>
          <w:szCs w:val="24"/>
        </w:rPr>
      </w:pPr>
      <w:r w:rsidRPr="001E1F48">
        <w:rPr>
          <w:rFonts w:ascii="Times New Roman" w:eastAsia="Times New Roman" w:hAnsi="Times New Roman" w:cs="Times New Roman"/>
          <w:b/>
          <w:bCs/>
          <w:sz w:val="24"/>
          <w:szCs w:val="24"/>
        </w:rPr>
        <w:t>5.1 Challenges to Implementation</w:t>
      </w:r>
    </w:p>
    <w:p w14:paraId="324BDDEA" w14:textId="77777777" w:rsidR="00690E30" w:rsidRPr="001E1F48" w:rsidRDefault="00690E30" w:rsidP="001E1F48">
      <w:pPr>
        <w:spacing w:line="360" w:lineRule="auto"/>
        <w:rPr>
          <w:rFonts w:ascii="Times New Roman" w:eastAsia="Times New Roman" w:hAnsi="Times New Roman" w:cs="Times New Roman"/>
          <w:sz w:val="24"/>
          <w:szCs w:val="24"/>
        </w:rPr>
      </w:pPr>
      <w:r w:rsidRPr="001E1F48">
        <w:rPr>
          <w:rFonts w:ascii="Times New Roman" w:eastAsia="Times New Roman" w:hAnsi="Times New Roman" w:cs="Times New Roman"/>
          <w:sz w:val="24"/>
          <w:szCs w:val="24"/>
        </w:rPr>
        <w:lastRenderedPageBreak/>
        <w:t>Despite widespread recognition of sustainability’s significance, obstacles persist. Small, independent eateries may encounter financial limitations, hindering investments in costly, sustainable technologies. Moreover, the absence of standardized guidelines can create uncertainty regarding which certifications or initiatives to prioritize (</w:t>
      </w:r>
      <w:proofErr w:type="spellStart"/>
      <w:r w:rsidRPr="001E1F48">
        <w:rPr>
          <w:rFonts w:ascii="Times New Roman" w:eastAsia="Times New Roman" w:hAnsi="Times New Roman" w:cs="Times New Roman"/>
          <w:sz w:val="24"/>
          <w:szCs w:val="24"/>
        </w:rPr>
        <w:t>Papargyropoulou</w:t>
      </w:r>
      <w:proofErr w:type="spellEnd"/>
      <w:r w:rsidRPr="001E1F48">
        <w:rPr>
          <w:rFonts w:ascii="Times New Roman" w:eastAsia="Times New Roman" w:hAnsi="Times New Roman" w:cs="Times New Roman"/>
          <w:sz w:val="24"/>
          <w:szCs w:val="24"/>
        </w:rPr>
        <w:t xml:space="preserve"> et al., 2019). High employee turnover in the hospitality sector poses another hurdle for consistent training and policy execution (</w:t>
      </w:r>
      <w:proofErr w:type="spellStart"/>
      <w:r w:rsidRPr="001E1F48">
        <w:rPr>
          <w:rFonts w:ascii="Times New Roman" w:eastAsia="Times New Roman" w:hAnsi="Times New Roman" w:cs="Times New Roman"/>
          <w:sz w:val="24"/>
          <w:szCs w:val="24"/>
        </w:rPr>
        <w:t>Kruesi</w:t>
      </w:r>
      <w:proofErr w:type="spellEnd"/>
      <w:r w:rsidRPr="001E1F48">
        <w:rPr>
          <w:rFonts w:ascii="Times New Roman" w:eastAsia="Times New Roman" w:hAnsi="Times New Roman" w:cs="Times New Roman"/>
          <w:sz w:val="24"/>
          <w:szCs w:val="24"/>
        </w:rPr>
        <w:t xml:space="preserve"> &amp; </w:t>
      </w:r>
      <w:proofErr w:type="spellStart"/>
      <w:r w:rsidRPr="001E1F48">
        <w:rPr>
          <w:rFonts w:ascii="Times New Roman" w:eastAsia="Times New Roman" w:hAnsi="Times New Roman" w:cs="Times New Roman"/>
          <w:sz w:val="24"/>
          <w:szCs w:val="24"/>
        </w:rPr>
        <w:t>Yurchisin</w:t>
      </w:r>
      <w:proofErr w:type="spellEnd"/>
      <w:r w:rsidRPr="001E1F48">
        <w:rPr>
          <w:rFonts w:ascii="Times New Roman" w:eastAsia="Times New Roman" w:hAnsi="Times New Roman" w:cs="Times New Roman"/>
          <w:sz w:val="24"/>
          <w:szCs w:val="24"/>
        </w:rPr>
        <w:t>, 2021). Some critics contend that greenwashing—the act of pretending to be sustainable mainly for promotional purposes—remains widespread. Restaurants might market their eco-friendliness superficially while ignoring other critical ethical and environmental issues (Winn, 2020). This undermines authentic sustainability efforts, and consumers are becoming more discerning in verifying such claims (Song et al., 2022).</w:t>
      </w:r>
    </w:p>
    <w:p w14:paraId="238D1F2B" w14:textId="77777777" w:rsidR="00690E30" w:rsidRPr="001E1F48" w:rsidRDefault="00690E30" w:rsidP="001E1F48">
      <w:pPr>
        <w:spacing w:line="360" w:lineRule="auto"/>
        <w:rPr>
          <w:rFonts w:ascii="Times New Roman" w:eastAsia="Times New Roman" w:hAnsi="Times New Roman" w:cs="Times New Roman"/>
          <w:b/>
          <w:bCs/>
          <w:sz w:val="24"/>
          <w:szCs w:val="24"/>
        </w:rPr>
      </w:pPr>
      <w:r w:rsidRPr="001E1F48">
        <w:rPr>
          <w:rFonts w:ascii="Times New Roman" w:eastAsia="Times New Roman" w:hAnsi="Times New Roman" w:cs="Times New Roman"/>
          <w:b/>
          <w:bCs/>
          <w:sz w:val="24"/>
          <w:szCs w:val="24"/>
        </w:rPr>
        <w:t>5.2 Overcoming the Barriers</w:t>
      </w:r>
    </w:p>
    <w:p w14:paraId="77F18132" w14:textId="77777777" w:rsidR="00690E30" w:rsidRPr="001E1F48" w:rsidRDefault="00690E30" w:rsidP="001E1F48">
      <w:pPr>
        <w:spacing w:line="360" w:lineRule="auto"/>
        <w:rPr>
          <w:rFonts w:ascii="Times New Roman" w:eastAsia="Times New Roman" w:hAnsi="Times New Roman" w:cs="Times New Roman"/>
          <w:sz w:val="24"/>
          <w:szCs w:val="24"/>
        </w:rPr>
      </w:pPr>
      <w:r w:rsidRPr="001E1F48">
        <w:rPr>
          <w:rFonts w:ascii="Times New Roman" w:eastAsia="Times New Roman" w:hAnsi="Times New Roman" w:cs="Times New Roman"/>
          <w:sz w:val="24"/>
          <w:szCs w:val="24"/>
        </w:rPr>
        <w:t xml:space="preserve">For sustainability to be genuinely integrated into the restaurant industry, a comprehensive approach is necessary: </w:t>
      </w:r>
    </w:p>
    <w:p w14:paraId="06F64D6F" w14:textId="77777777" w:rsidR="00690E30" w:rsidRPr="001E1F48" w:rsidRDefault="00690E30" w:rsidP="001E1F48">
      <w:pPr>
        <w:spacing w:line="360" w:lineRule="auto"/>
        <w:rPr>
          <w:rFonts w:ascii="Times New Roman" w:eastAsia="Times New Roman" w:hAnsi="Times New Roman" w:cs="Times New Roman"/>
          <w:sz w:val="24"/>
          <w:szCs w:val="24"/>
        </w:rPr>
      </w:pPr>
      <w:r w:rsidRPr="001E1F48">
        <w:rPr>
          <w:rFonts w:ascii="Times New Roman" w:eastAsia="Times New Roman" w:hAnsi="Times New Roman" w:cs="Times New Roman"/>
          <w:sz w:val="24"/>
          <w:szCs w:val="24"/>
        </w:rPr>
        <w:t xml:space="preserve">1. Policy and Regulation Enforcement </w:t>
      </w:r>
    </w:p>
    <w:p w14:paraId="32054EF3" w14:textId="77777777" w:rsidR="00690E30" w:rsidRPr="001E1F48" w:rsidRDefault="00690E30" w:rsidP="001E1F48">
      <w:pPr>
        <w:spacing w:line="360" w:lineRule="auto"/>
        <w:rPr>
          <w:rFonts w:ascii="Times New Roman" w:eastAsia="Times New Roman" w:hAnsi="Times New Roman" w:cs="Times New Roman"/>
          <w:sz w:val="24"/>
          <w:szCs w:val="24"/>
        </w:rPr>
      </w:pPr>
      <w:r w:rsidRPr="001E1F48">
        <w:rPr>
          <w:rFonts w:ascii="Times New Roman" w:eastAsia="Times New Roman" w:hAnsi="Times New Roman" w:cs="Times New Roman"/>
          <w:sz w:val="24"/>
          <w:szCs w:val="24"/>
        </w:rPr>
        <w:t>Clear directives and enforcement can guarantee minimum standards are achieved, creating a level playing field. For example, obligatory food waste reporting or carbon-labeling on menus could encourage accountability (European Commission, 2019).</w:t>
      </w:r>
    </w:p>
    <w:p w14:paraId="10B29FE4" w14:textId="77777777" w:rsidR="00690E30" w:rsidRPr="001E1F48" w:rsidRDefault="00690E30" w:rsidP="001E1F48">
      <w:pPr>
        <w:spacing w:line="360" w:lineRule="auto"/>
        <w:rPr>
          <w:rFonts w:ascii="Times New Roman" w:eastAsia="Times New Roman" w:hAnsi="Times New Roman" w:cs="Times New Roman"/>
          <w:sz w:val="24"/>
          <w:szCs w:val="24"/>
        </w:rPr>
      </w:pPr>
      <w:r w:rsidRPr="001E1F48">
        <w:rPr>
          <w:rFonts w:ascii="Times New Roman" w:eastAsia="Times New Roman" w:hAnsi="Times New Roman" w:cs="Times New Roman"/>
          <w:sz w:val="24"/>
          <w:szCs w:val="24"/>
        </w:rPr>
        <w:t xml:space="preserve">2. Collaborations and Partnerships </w:t>
      </w:r>
    </w:p>
    <w:p w14:paraId="2FAC989D" w14:textId="77777777" w:rsidR="00690E30" w:rsidRPr="001E1F48" w:rsidRDefault="00690E30" w:rsidP="001E1F48">
      <w:pPr>
        <w:spacing w:line="360" w:lineRule="auto"/>
        <w:rPr>
          <w:rFonts w:ascii="Times New Roman" w:eastAsia="Times New Roman" w:hAnsi="Times New Roman" w:cs="Times New Roman"/>
          <w:sz w:val="24"/>
          <w:szCs w:val="24"/>
        </w:rPr>
      </w:pPr>
      <w:r w:rsidRPr="001E1F48">
        <w:rPr>
          <w:rFonts w:ascii="Times New Roman" w:eastAsia="Times New Roman" w:hAnsi="Times New Roman" w:cs="Times New Roman"/>
          <w:sz w:val="24"/>
          <w:szCs w:val="24"/>
        </w:rPr>
        <w:t>Restaurants can collaborate with local farmers, non-profit organizations, or food rescue initiatives to minimize waste and bolster community development. Collaborative strategies can also distribute costs and risks, making sustainability more financially viable (Ramanathan et al., 2022).</w:t>
      </w:r>
    </w:p>
    <w:p w14:paraId="0B678E03" w14:textId="77777777" w:rsidR="00690E30" w:rsidRPr="001E1F48" w:rsidRDefault="00690E30" w:rsidP="001E1F48">
      <w:pPr>
        <w:spacing w:line="360" w:lineRule="auto"/>
        <w:rPr>
          <w:rFonts w:ascii="Times New Roman" w:eastAsia="Times New Roman" w:hAnsi="Times New Roman" w:cs="Times New Roman"/>
          <w:sz w:val="24"/>
          <w:szCs w:val="24"/>
        </w:rPr>
      </w:pPr>
      <w:r w:rsidRPr="001E1F48">
        <w:rPr>
          <w:rFonts w:ascii="Times New Roman" w:eastAsia="Times New Roman" w:hAnsi="Times New Roman" w:cs="Times New Roman"/>
          <w:sz w:val="24"/>
          <w:szCs w:val="24"/>
        </w:rPr>
        <w:t xml:space="preserve">3. Staff Training and Engagement </w:t>
      </w:r>
    </w:p>
    <w:p w14:paraId="1EBFCDCD" w14:textId="77777777" w:rsidR="00690E30" w:rsidRPr="001E1F48" w:rsidRDefault="00690E30" w:rsidP="001E1F48">
      <w:pPr>
        <w:spacing w:line="360" w:lineRule="auto"/>
        <w:rPr>
          <w:rFonts w:ascii="Times New Roman" w:eastAsia="Times New Roman" w:hAnsi="Times New Roman" w:cs="Times New Roman"/>
          <w:sz w:val="24"/>
          <w:szCs w:val="24"/>
        </w:rPr>
      </w:pPr>
      <w:r w:rsidRPr="001E1F48">
        <w:rPr>
          <w:rFonts w:ascii="Times New Roman" w:eastAsia="Times New Roman" w:hAnsi="Times New Roman" w:cs="Times New Roman"/>
          <w:sz w:val="24"/>
          <w:szCs w:val="24"/>
        </w:rPr>
        <w:t>Continuous staff training promotes enduring cultural shifts within an organization. Employees should be motivated to suggest innovative ideas, fostering collective responsibility for achieving sustainability goals (Harrison et al., 2021).</w:t>
      </w:r>
    </w:p>
    <w:p w14:paraId="3F46FA9A" w14:textId="77777777" w:rsidR="00690E30" w:rsidRPr="001E1F48" w:rsidRDefault="00690E30" w:rsidP="001E1F48">
      <w:pPr>
        <w:spacing w:line="360" w:lineRule="auto"/>
        <w:rPr>
          <w:rFonts w:ascii="Times New Roman" w:eastAsia="Times New Roman" w:hAnsi="Times New Roman" w:cs="Times New Roman"/>
          <w:sz w:val="24"/>
          <w:szCs w:val="24"/>
        </w:rPr>
      </w:pPr>
      <w:r w:rsidRPr="001E1F48">
        <w:rPr>
          <w:rFonts w:ascii="Times New Roman" w:eastAsia="Times New Roman" w:hAnsi="Times New Roman" w:cs="Times New Roman"/>
          <w:sz w:val="24"/>
          <w:szCs w:val="24"/>
        </w:rPr>
        <w:lastRenderedPageBreak/>
        <w:t xml:space="preserve">4. Consumer Awareness Campaigns </w:t>
      </w:r>
    </w:p>
    <w:p w14:paraId="2108CA94" w14:textId="77777777" w:rsidR="00690E30" w:rsidRPr="001E1F48" w:rsidRDefault="00690E30" w:rsidP="001E1F48">
      <w:pPr>
        <w:spacing w:line="360" w:lineRule="auto"/>
        <w:rPr>
          <w:rFonts w:ascii="Times New Roman" w:eastAsia="Times New Roman" w:hAnsi="Times New Roman" w:cs="Times New Roman"/>
          <w:sz w:val="24"/>
          <w:szCs w:val="24"/>
        </w:rPr>
      </w:pPr>
      <w:r w:rsidRPr="001E1F48">
        <w:rPr>
          <w:rFonts w:ascii="Times New Roman" w:eastAsia="Times New Roman" w:hAnsi="Times New Roman" w:cs="Times New Roman"/>
          <w:sz w:val="24"/>
          <w:szCs w:val="24"/>
        </w:rPr>
        <w:t xml:space="preserve">By effectively informing consumers about the concrete advantages of sustainable dining—healthier food, diminished environmental impact, community </w:t>
      </w:r>
      <w:proofErr w:type="gramStart"/>
      <w:r w:rsidRPr="001E1F48">
        <w:rPr>
          <w:rFonts w:ascii="Times New Roman" w:eastAsia="Times New Roman" w:hAnsi="Times New Roman" w:cs="Times New Roman"/>
          <w:sz w:val="24"/>
          <w:szCs w:val="24"/>
        </w:rPr>
        <w:t>support—restaurants</w:t>
      </w:r>
      <w:proofErr w:type="gramEnd"/>
      <w:r w:rsidRPr="001E1F48">
        <w:rPr>
          <w:rFonts w:ascii="Times New Roman" w:eastAsia="Times New Roman" w:hAnsi="Times New Roman" w:cs="Times New Roman"/>
          <w:sz w:val="24"/>
          <w:szCs w:val="24"/>
        </w:rPr>
        <w:t xml:space="preserve"> can gain consumer support and rationalize any slight price increases. Engaging consumers through social media, menu labeling, and transparent reporting can drive positive change (Johnson &amp; Harrington, 2019).</w:t>
      </w:r>
    </w:p>
    <w:p w14:paraId="69504111" w14:textId="77777777" w:rsidR="00690E30" w:rsidRPr="001E1F48" w:rsidRDefault="00690E30" w:rsidP="001E1F48">
      <w:pPr>
        <w:spacing w:line="360" w:lineRule="auto"/>
        <w:rPr>
          <w:rFonts w:ascii="Times New Roman" w:eastAsia="Times New Roman" w:hAnsi="Times New Roman" w:cs="Times New Roman"/>
          <w:b/>
          <w:bCs/>
          <w:sz w:val="24"/>
          <w:szCs w:val="24"/>
        </w:rPr>
      </w:pPr>
      <w:r w:rsidRPr="001E1F48">
        <w:rPr>
          <w:rFonts w:ascii="Times New Roman" w:eastAsia="Times New Roman" w:hAnsi="Times New Roman" w:cs="Times New Roman"/>
          <w:b/>
          <w:bCs/>
          <w:sz w:val="24"/>
          <w:szCs w:val="24"/>
        </w:rPr>
        <w:t>5.3 Future Outlook</w:t>
      </w:r>
    </w:p>
    <w:p w14:paraId="7A378FA5" w14:textId="779382A3" w:rsidR="00690E30" w:rsidRPr="00690E30" w:rsidRDefault="00690E30" w:rsidP="001E1F48">
      <w:pPr>
        <w:spacing w:line="360" w:lineRule="auto"/>
        <w:rPr>
          <w:rFonts w:ascii="Times New Roman" w:eastAsia="Times New Roman" w:hAnsi="Times New Roman" w:cs="Times New Roman"/>
          <w:sz w:val="24"/>
          <w:szCs w:val="24"/>
        </w:rPr>
      </w:pPr>
      <w:r w:rsidRPr="001E1F48">
        <w:rPr>
          <w:rFonts w:ascii="Times New Roman" w:eastAsia="Times New Roman" w:hAnsi="Times New Roman" w:cs="Times New Roman"/>
          <w:sz w:val="24"/>
          <w:szCs w:val="24"/>
        </w:rPr>
        <w:t>The trajectory of sustainability in the restaurant sector is expected to be influenced by technological advancements (e.g., sophisticated data analytics for waste management, carbon-tracking software), policy changes, and evolving consumer behaviors (Clark &amp; Tilman, 2017). As climate change intensifies, there will be increasing pressure for restaurants to adapt or risk losing their social license to operate (Hu et al., 2019). Additionally, aligning the hospitality industry with the United Nations Sustainable Development Goals (UN SDGs), particularly Goal 12 (Responsible Consumption and Production) and Goal 13 (Climate Action), will compel restaurants to refine their sustainability strategies (UN, 2020).</w:t>
      </w:r>
    </w:p>
    <w:p w14:paraId="408E9CA9" w14:textId="522C9443" w:rsidR="00690E30" w:rsidRPr="001E1F48" w:rsidRDefault="00690E30" w:rsidP="001E1F48">
      <w:pPr>
        <w:pStyle w:val="Titlu1"/>
        <w:spacing w:line="360" w:lineRule="auto"/>
        <w:rPr>
          <w:rFonts w:ascii="Times New Roman" w:eastAsia="Times New Roman" w:hAnsi="Times New Roman" w:cs="Times New Roman"/>
        </w:rPr>
      </w:pPr>
      <w:r w:rsidRPr="001E1F48">
        <w:rPr>
          <w:rFonts w:ascii="Times New Roman" w:eastAsia="Times New Roman" w:hAnsi="Times New Roman" w:cs="Times New Roman"/>
        </w:rPr>
        <w:t xml:space="preserve">Conclusion </w:t>
      </w:r>
    </w:p>
    <w:p w14:paraId="27EF91C2" w14:textId="02544305" w:rsidR="001E1F48" w:rsidRPr="001E1F48" w:rsidRDefault="001E1F48" w:rsidP="001E1F48">
      <w:pPr>
        <w:spacing w:line="360" w:lineRule="auto"/>
        <w:rPr>
          <w:rFonts w:ascii="Times New Roman" w:hAnsi="Times New Roman" w:cs="Times New Roman"/>
        </w:rPr>
      </w:pPr>
      <w:r w:rsidRPr="001E1F48">
        <w:rPr>
          <w:rFonts w:ascii="Times New Roman" w:hAnsi="Times New Roman" w:cs="Times New Roman"/>
        </w:rPr>
        <w:t xml:space="preserve">Sustainability has evolved from being a minor issue to a fundamental necessity in the dining industry. Driven by the three foundational aspects—environmental, social, and economic—restaurants globally are embracing emerging practices such as sourcing locally, offering plant-based options, implementing zero-waste initiatives, and utilizing energy-efficient technologies. Major factors influencing these shifts include government regulations, ethical obligations, cost reductions, and changing consumer demands. Insights from Pasta </w:t>
      </w:r>
      <w:proofErr w:type="spellStart"/>
      <w:r w:rsidRPr="001E1F48">
        <w:rPr>
          <w:rFonts w:ascii="Times New Roman" w:hAnsi="Times New Roman" w:cs="Times New Roman"/>
        </w:rPr>
        <w:t>Ripiena</w:t>
      </w:r>
      <w:proofErr w:type="spellEnd"/>
      <w:r w:rsidRPr="001E1F48">
        <w:rPr>
          <w:rFonts w:ascii="Times New Roman" w:hAnsi="Times New Roman" w:cs="Times New Roman"/>
        </w:rPr>
        <w:t xml:space="preserve"> demonstrate that even smaller venues can adopt sustainable methods like seasonal offerings and local procurement. Nevertheless, there are additional possibilities to minimize food waste, use eco-friendly packaging, and establish comprehensive sustainability frameworks. Addressing challenges linked to financial limitations, adherence to regulations, and employee turnover requires a collaborative approach involving multiple stakeholders. Cooperation throughout the supply chain, ongoing training, consumer awareness, and clear reporting are crucial for enduring success. Ultimately, integrating sustainability brings numerous advantages, including environmental conservation, social accountability, and long-term financial gain. In a market that increasingly values ethical and </w:t>
      </w:r>
      <w:r w:rsidRPr="001E1F48">
        <w:rPr>
          <w:rFonts w:ascii="Times New Roman" w:hAnsi="Times New Roman" w:cs="Times New Roman"/>
        </w:rPr>
        <w:lastRenderedPageBreak/>
        <w:t>environmentally friendly</w:t>
      </w:r>
      <w:r w:rsidRPr="001E1F48">
        <w:rPr>
          <w:rFonts w:ascii="Times New Roman" w:hAnsi="Times New Roman" w:cs="Times New Roman"/>
        </w:rPr>
        <w:t xml:space="preserve"> practices, restaurants that take the initiative to embrace sustainability are likely to achieve a competitive edge while fostering a healthier planet and society.</w:t>
      </w:r>
    </w:p>
    <w:p w14:paraId="4B81A415" w14:textId="1F7F74F6" w:rsidR="00690E30" w:rsidRPr="00690E30" w:rsidRDefault="00690E30" w:rsidP="001E1F48">
      <w:pPr>
        <w:pStyle w:val="Titlu1"/>
        <w:rPr>
          <w:rFonts w:eastAsia="Times New Roman"/>
        </w:rPr>
      </w:pPr>
      <w:r w:rsidRPr="00690E30">
        <w:rPr>
          <w:rFonts w:eastAsia="Times New Roman"/>
        </w:rPr>
        <w:t>Reference List</w:t>
      </w:r>
    </w:p>
    <w:p w14:paraId="297B41B8"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Baldwin, C. and Mah, J.</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2022) ‘</w:t>
      </w:r>
      <w:proofErr w:type="gramEnd"/>
      <w:r w:rsidRPr="00690E30">
        <w:rPr>
          <w:rFonts w:ascii="Times New Roman" w:eastAsia="Times New Roman" w:hAnsi="Times New Roman" w:cs="Times New Roman"/>
          <w:sz w:val="24"/>
          <w:szCs w:val="24"/>
        </w:rPr>
        <w:t xml:space="preserve">Going green in the restaurant industry: A review of sustainability trends and practices.’ </w:t>
      </w:r>
      <w:r w:rsidRPr="00690E30">
        <w:rPr>
          <w:rFonts w:ascii="Times New Roman" w:eastAsia="Times New Roman" w:hAnsi="Times New Roman" w:cs="Times New Roman"/>
          <w:i/>
          <w:iCs/>
          <w:sz w:val="24"/>
          <w:szCs w:val="24"/>
        </w:rPr>
        <w:t>Journal of Hospitality and Tourism Management</w:t>
      </w:r>
      <w:r w:rsidRPr="00690E30">
        <w:rPr>
          <w:rFonts w:ascii="Times New Roman" w:eastAsia="Times New Roman" w:hAnsi="Times New Roman" w:cs="Times New Roman"/>
          <w:sz w:val="24"/>
          <w:szCs w:val="24"/>
        </w:rPr>
        <w:t>, 52, pp. 44–56.</w:t>
      </w:r>
    </w:p>
    <w:p w14:paraId="7894E976"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Betz, A., Buchli, J., Gobel, C. and Muller, C.</w:t>
      </w:r>
      <w:r w:rsidRPr="00690E30">
        <w:rPr>
          <w:rFonts w:ascii="Times New Roman" w:eastAsia="Times New Roman" w:hAnsi="Times New Roman" w:cs="Times New Roman"/>
          <w:sz w:val="24"/>
          <w:szCs w:val="24"/>
        </w:rPr>
        <w:t xml:space="preserve"> (2015) ‘Food waste in the Swiss food service industry – Magnitude and potential for reduction.’ </w:t>
      </w:r>
      <w:r w:rsidRPr="00690E30">
        <w:rPr>
          <w:rFonts w:ascii="Times New Roman" w:eastAsia="Times New Roman" w:hAnsi="Times New Roman" w:cs="Times New Roman"/>
          <w:i/>
          <w:iCs/>
          <w:sz w:val="24"/>
          <w:szCs w:val="24"/>
        </w:rPr>
        <w:t>Waste Management</w:t>
      </w:r>
      <w:r w:rsidRPr="00690E30">
        <w:rPr>
          <w:rFonts w:ascii="Times New Roman" w:eastAsia="Times New Roman" w:hAnsi="Times New Roman" w:cs="Times New Roman"/>
          <w:sz w:val="24"/>
          <w:szCs w:val="24"/>
        </w:rPr>
        <w:t>, 35, pp. 218–226.</w:t>
      </w:r>
    </w:p>
    <w:p w14:paraId="03CD47DC"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Clark, M. and Tilman, D.</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2017) ‘</w:t>
      </w:r>
      <w:proofErr w:type="gramEnd"/>
      <w:r w:rsidRPr="00690E30">
        <w:rPr>
          <w:rFonts w:ascii="Times New Roman" w:eastAsia="Times New Roman" w:hAnsi="Times New Roman" w:cs="Times New Roman"/>
          <w:sz w:val="24"/>
          <w:szCs w:val="24"/>
        </w:rPr>
        <w:t xml:space="preserve">Comparative analysis of environmental impacts of agricultural production systems, agricultural input efficiency, and food choice.’ </w:t>
      </w:r>
      <w:r w:rsidRPr="00690E30">
        <w:rPr>
          <w:rFonts w:ascii="Times New Roman" w:eastAsia="Times New Roman" w:hAnsi="Times New Roman" w:cs="Times New Roman"/>
          <w:i/>
          <w:iCs/>
          <w:sz w:val="24"/>
          <w:szCs w:val="24"/>
        </w:rPr>
        <w:t>Environmental Research Letters</w:t>
      </w:r>
      <w:r w:rsidRPr="00690E30">
        <w:rPr>
          <w:rFonts w:ascii="Times New Roman" w:eastAsia="Times New Roman" w:hAnsi="Times New Roman" w:cs="Times New Roman"/>
          <w:sz w:val="24"/>
          <w:szCs w:val="24"/>
        </w:rPr>
        <w:t>, 12(6), p. 064016.</w:t>
      </w:r>
    </w:p>
    <w:p w14:paraId="754A7D4A"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Edwards, J.</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2021) ‘</w:t>
      </w:r>
      <w:proofErr w:type="gramEnd"/>
      <w:r w:rsidRPr="00690E30">
        <w:rPr>
          <w:rFonts w:ascii="Times New Roman" w:eastAsia="Times New Roman" w:hAnsi="Times New Roman" w:cs="Times New Roman"/>
          <w:sz w:val="24"/>
          <w:szCs w:val="24"/>
        </w:rPr>
        <w:t xml:space="preserve">Farm-to-table 2.0: How restaurants are evolving sustainable sourcing strategies.’ </w:t>
      </w:r>
      <w:r w:rsidRPr="00690E30">
        <w:rPr>
          <w:rFonts w:ascii="Times New Roman" w:eastAsia="Times New Roman" w:hAnsi="Times New Roman" w:cs="Times New Roman"/>
          <w:i/>
          <w:iCs/>
          <w:sz w:val="24"/>
          <w:szCs w:val="24"/>
        </w:rPr>
        <w:t>International Journal of Contemporary Hospitality Management</w:t>
      </w:r>
      <w:r w:rsidRPr="00690E30">
        <w:rPr>
          <w:rFonts w:ascii="Times New Roman" w:eastAsia="Times New Roman" w:hAnsi="Times New Roman" w:cs="Times New Roman"/>
          <w:sz w:val="24"/>
          <w:szCs w:val="24"/>
        </w:rPr>
        <w:t>, 33(10), pp. 311–327.</w:t>
      </w:r>
    </w:p>
    <w:p w14:paraId="45B56CD4"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Elkington, J.</w:t>
      </w:r>
      <w:r w:rsidRPr="00690E30">
        <w:rPr>
          <w:rFonts w:ascii="Times New Roman" w:eastAsia="Times New Roman" w:hAnsi="Times New Roman" w:cs="Times New Roman"/>
          <w:sz w:val="24"/>
          <w:szCs w:val="24"/>
        </w:rPr>
        <w:t xml:space="preserve"> (1997) </w:t>
      </w:r>
      <w:r w:rsidRPr="00690E30">
        <w:rPr>
          <w:rFonts w:ascii="Times New Roman" w:eastAsia="Times New Roman" w:hAnsi="Times New Roman" w:cs="Times New Roman"/>
          <w:i/>
          <w:iCs/>
          <w:sz w:val="24"/>
          <w:szCs w:val="24"/>
        </w:rPr>
        <w:t>Cannibals with Forks: The Triple Bottom Line of 21st Century Business</w:t>
      </w:r>
      <w:r w:rsidRPr="00690E30">
        <w:rPr>
          <w:rFonts w:ascii="Times New Roman" w:eastAsia="Times New Roman" w:hAnsi="Times New Roman" w:cs="Times New Roman"/>
          <w:sz w:val="24"/>
          <w:szCs w:val="24"/>
        </w:rPr>
        <w:t>. Oxford: Capstone.</w:t>
      </w:r>
    </w:p>
    <w:p w14:paraId="5C1CDF0D"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European Commission</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2019) ‘</w:t>
      </w:r>
      <w:proofErr w:type="gramEnd"/>
      <w:r w:rsidRPr="00690E30">
        <w:rPr>
          <w:rFonts w:ascii="Times New Roman" w:eastAsia="Times New Roman" w:hAnsi="Times New Roman" w:cs="Times New Roman"/>
          <w:sz w:val="24"/>
          <w:szCs w:val="24"/>
        </w:rPr>
        <w:t xml:space="preserve">Single-use plastics: New rules to reduce marine litter.’ Available at: </w:t>
      </w:r>
      <w:hyperlink r:id="rId5" w:tgtFrame="_new" w:history="1">
        <w:r w:rsidRPr="00690E30">
          <w:rPr>
            <w:rFonts w:ascii="Times New Roman" w:eastAsia="Times New Roman" w:hAnsi="Times New Roman" w:cs="Times New Roman"/>
            <w:color w:val="0000FF"/>
            <w:sz w:val="24"/>
            <w:szCs w:val="24"/>
            <w:u w:val="single"/>
          </w:rPr>
          <w:t>https://ec.europa.eu/environment/topics/plastics/single-use-plastics_en</w:t>
        </w:r>
      </w:hyperlink>
      <w:r w:rsidRPr="00690E30">
        <w:rPr>
          <w:rFonts w:ascii="Times New Roman" w:eastAsia="Times New Roman" w:hAnsi="Times New Roman" w:cs="Times New Roman"/>
          <w:sz w:val="24"/>
          <w:szCs w:val="24"/>
        </w:rPr>
        <w:t xml:space="preserve"> (Accessed: 10 January 2025).</w:t>
      </w:r>
    </w:p>
    <w:p w14:paraId="5AA5CDFD"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FAO</w:t>
      </w:r>
      <w:r w:rsidRPr="00690E30">
        <w:rPr>
          <w:rFonts w:ascii="Times New Roman" w:eastAsia="Times New Roman" w:hAnsi="Times New Roman" w:cs="Times New Roman"/>
          <w:sz w:val="24"/>
          <w:szCs w:val="24"/>
        </w:rPr>
        <w:t xml:space="preserve"> (2019) </w:t>
      </w:r>
      <w:r w:rsidRPr="00690E30">
        <w:rPr>
          <w:rFonts w:ascii="Times New Roman" w:eastAsia="Times New Roman" w:hAnsi="Times New Roman" w:cs="Times New Roman"/>
          <w:i/>
          <w:iCs/>
          <w:sz w:val="24"/>
          <w:szCs w:val="24"/>
        </w:rPr>
        <w:t>The State of Food and Agriculture 2019: Moving Forward on Food Loss and Waste Reduction</w:t>
      </w:r>
      <w:r w:rsidRPr="00690E30">
        <w:rPr>
          <w:rFonts w:ascii="Times New Roman" w:eastAsia="Times New Roman" w:hAnsi="Times New Roman" w:cs="Times New Roman"/>
          <w:sz w:val="24"/>
          <w:szCs w:val="24"/>
        </w:rPr>
        <w:t>. Rome: FAO.</w:t>
      </w:r>
    </w:p>
    <w:p w14:paraId="25DC3BB4"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Hahn, R. and Bolch, D.</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2020) ‘</w:t>
      </w:r>
      <w:proofErr w:type="gramEnd"/>
      <w:r w:rsidRPr="00690E30">
        <w:rPr>
          <w:rFonts w:ascii="Times New Roman" w:eastAsia="Times New Roman" w:hAnsi="Times New Roman" w:cs="Times New Roman"/>
          <w:sz w:val="24"/>
          <w:szCs w:val="24"/>
        </w:rPr>
        <w:t xml:space="preserve">The contribution of sustainability initiatives to the triple bottom line: A conceptual framework and empirical analysis in the restaurant sector.’ </w:t>
      </w:r>
      <w:r w:rsidRPr="00690E30">
        <w:rPr>
          <w:rFonts w:ascii="Times New Roman" w:eastAsia="Times New Roman" w:hAnsi="Times New Roman" w:cs="Times New Roman"/>
          <w:i/>
          <w:iCs/>
          <w:sz w:val="24"/>
          <w:szCs w:val="24"/>
        </w:rPr>
        <w:t>Sustainability</w:t>
      </w:r>
      <w:r w:rsidRPr="00690E30">
        <w:rPr>
          <w:rFonts w:ascii="Times New Roman" w:eastAsia="Times New Roman" w:hAnsi="Times New Roman" w:cs="Times New Roman"/>
          <w:sz w:val="24"/>
          <w:szCs w:val="24"/>
        </w:rPr>
        <w:t>, 12(22), p. 9380.</w:t>
      </w:r>
    </w:p>
    <w:p w14:paraId="0CEB253C"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Harrison, C., Davies, M. and Bose, A.</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2021) ‘</w:t>
      </w:r>
      <w:proofErr w:type="gramEnd"/>
      <w:r w:rsidRPr="00690E30">
        <w:rPr>
          <w:rFonts w:ascii="Times New Roman" w:eastAsia="Times New Roman" w:hAnsi="Times New Roman" w:cs="Times New Roman"/>
          <w:sz w:val="24"/>
          <w:szCs w:val="24"/>
        </w:rPr>
        <w:t xml:space="preserve">Supply chain transparency and sustainability in small to medium-sized hospitality enterprises.’ </w:t>
      </w:r>
      <w:r w:rsidRPr="00690E30">
        <w:rPr>
          <w:rFonts w:ascii="Times New Roman" w:eastAsia="Times New Roman" w:hAnsi="Times New Roman" w:cs="Times New Roman"/>
          <w:i/>
          <w:iCs/>
          <w:sz w:val="24"/>
          <w:szCs w:val="24"/>
        </w:rPr>
        <w:t>Journal of Sustainable Tourism</w:t>
      </w:r>
      <w:r w:rsidRPr="00690E30">
        <w:rPr>
          <w:rFonts w:ascii="Times New Roman" w:eastAsia="Times New Roman" w:hAnsi="Times New Roman" w:cs="Times New Roman"/>
          <w:sz w:val="24"/>
          <w:szCs w:val="24"/>
        </w:rPr>
        <w:t>, 29(8), pp. 1336–1353.</w:t>
      </w:r>
    </w:p>
    <w:p w14:paraId="34003528"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Hu, H., Horng, J., Teng, C. and Chou, S.</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2019) ‘</w:t>
      </w:r>
      <w:proofErr w:type="gramEnd"/>
      <w:r w:rsidRPr="00690E30">
        <w:rPr>
          <w:rFonts w:ascii="Times New Roman" w:eastAsia="Times New Roman" w:hAnsi="Times New Roman" w:cs="Times New Roman"/>
          <w:sz w:val="24"/>
          <w:szCs w:val="24"/>
        </w:rPr>
        <w:t xml:space="preserve">A criteria model of restaurant energy conservation and carbon reduction in Taiwan: From the perspective of the hospitality industry.’ </w:t>
      </w:r>
      <w:r w:rsidRPr="00690E30">
        <w:rPr>
          <w:rFonts w:ascii="Times New Roman" w:eastAsia="Times New Roman" w:hAnsi="Times New Roman" w:cs="Times New Roman"/>
          <w:i/>
          <w:iCs/>
          <w:sz w:val="24"/>
          <w:szCs w:val="24"/>
        </w:rPr>
        <w:t>Journal of Cleaner Production</w:t>
      </w:r>
      <w:r w:rsidRPr="00690E30">
        <w:rPr>
          <w:rFonts w:ascii="Times New Roman" w:eastAsia="Times New Roman" w:hAnsi="Times New Roman" w:cs="Times New Roman"/>
          <w:sz w:val="24"/>
          <w:szCs w:val="24"/>
        </w:rPr>
        <w:t>, 226, pp. 89–100.</w:t>
      </w:r>
    </w:p>
    <w:p w14:paraId="07040884"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Johnson, R. and Harrington, R.</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2019) ‘</w:t>
      </w:r>
      <w:proofErr w:type="gramEnd"/>
      <w:r w:rsidRPr="00690E30">
        <w:rPr>
          <w:rFonts w:ascii="Times New Roman" w:eastAsia="Times New Roman" w:hAnsi="Times New Roman" w:cs="Times New Roman"/>
          <w:sz w:val="24"/>
          <w:szCs w:val="24"/>
        </w:rPr>
        <w:t xml:space="preserve">Sustainability management and hotel performance: The role of tangible and intangible resources.’ </w:t>
      </w:r>
      <w:r w:rsidRPr="00690E30">
        <w:rPr>
          <w:rFonts w:ascii="Times New Roman" w:eastAsia="Times New Roman" w:hAnsi="Times New Roman" w:cs="Times New Roman"/>
          <w:i/>
          <w:iCs/>
          <w:sz w:val="24"/>
          <w:szCs w:val="24"/>
        </w:rPr>
        <w:t>International Journal of Hospitality Management</w:t>
      </w:r>
      <w:r w:rsidRPr="00690E30">
        <w:rPr>
          <w:rFonts w:ascii="Times New Roman" w:eastAsia="Times New Roman" w:hAnsi="Times New Roman" w:cs="Times New Roman"/>
          <w:sz w:val="24"/>
          <w:szCs w:val="24"/>
        </w:rPr>
        <w:t>, 76, pp. 162–171.</w:t>
      </w:r>
    </w:p>
    <w:p w14:paraId="40C76048"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Jones, P., Hillier, D. and Comfort, D.</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2016) ‘</w:t>
      </w:r>
      <w:proofErr w:type="gramEnd"/>
      <w:r w:rsidRPr="00690E30">
        <w:rPr>
          <w:rFonts w:ascii="Times New Roman" w:eastAsia="Times New Roman" w:hAnsi="Times New Roman" w:cs="Times New Roman"/>
          <w:sz w:val="24"/>
          <w:szCs w:val="24"/>
        </w:rPr>
        <w:t xml:space="preserve">Sustainability in the global hotel industry.’ </w:t>
      </w:r>
      <w:r w:rsidRPr="00690E30">
        <w:rPr>
          <w:rFonts w:ascii="Times New Roman" w:eastAsia="Times New Roman" w:hAnsi="Times New Roman" w:cs="Times New Roman"/>
          <w:i/>
          <w:iCs/>
          <w:sz w:val="24"/>
          <w:szCs w:val="24"/>
        </w:rPr>
        <w:t>International Journal of Contemporary Hospitality Management</w:t>
      </w:r>
      <w:r w:rsidRPr="00690E30">
        <w:rPr>
          <w:rFonts w:ascii="Times New Roman" w:eastAsia="Times New Roman" w:hAnsi="Times New Roman" w:cs="Times New Roman"/>
          <w:sz w:val="24"/>
          <w:szCs w:val="24"/>
        </w:rPr>
        <w:t>, 28(1), pp. 36–67.</w:t>
      </w:r>
    </w:p>
    <w:p w14:paraId="3BC58A11"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proofErr w:type="spellStart"/>
      <w:r w:rsidRPr="00690E30">
        <w:rPr>
          <w:rFonts w:ascii="Times New Roman" w:eastAsia="Times New Roman" w:hAnsi="Times New Roman" w:cs="Times New Roman"/>
          <w:b/>
          <w:bCs/>
          <w:sz w:val="24"/>
          <w:szCs w:val="24"/>
        </w:rPr>
        <w:t>Kruesi</w:t>
      </w:r>
      <w:proofErr w:type="spellEnd"/>
      <w:r w:rsidRPr="00690E30">
        <w:rPr>
          <w:rFonts w:ascii="Times New Roman" w:eastAsia="Times New Roman" w:hAnsi="Times New Roman" w:cs="Times New Roman"/>
          <w:b/>
          <w:bCs/>
          <w:sz w:val="24"/>
          <w:szCs w:val="24"/>
        </w:rPr>
        <w:t xml:space="preserve">, M. and </w:t>
      </w:r>
      <w:proofErr w:type="spellStart"/>
      <w:r w:rsidRPr="00690E30">
        <w:rPr>
          <w:rFonts w:ascii="Times New Roman" w:eastAsia="Times New Roman" w:hAnsi="Times New Roman" w:cs="Times New Roman"/>
          <w:b/>
          <w:bCs/>
          <w:sz w:val="24"/>
          <w:szCs w:val="24"/>
        </w:rPr>
        <w:t>Yurchisin</w:t>
      </w:r>
      <w:proofErr w:type="spellEnd"/>
      <w:r w:rsidRPr="00690E30">
        <w:rPr>
          <w:rFonts w:ascii="Times New Roman" w:eastAsia="Times New Roman" w:hAnsi="Times New Roman" w:cs="Times New Roman"/>
          <w:b/>
          <w:bCs/>
          <w:sz w:val="24"/>
          <w:szCs w:val="24"/>
        </w:rPr>
        <w:t>, J.</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2021) ‘</w:t>
      </w:r>
      <w:proofErr w:type="gramEnd"/>
      <w:r w:rsidRPr="00690E30">
        <w:rPr>
          <w:rFonts w:ascii="Times New Roman" w:eastAsia="Times New Roman" w:hAnsi="Times New Roman" w:cs="Times New Roman"/>
          <w:sz w:val="24"/>
          <w:szCs w:val="24"/>
        </w:rPr>
        <w:t xml:space="preserve">Employee perceptions of CSR in restaurants: Effects on commitment and well-being.’ </w:t>
      </w:r>
      <w:r w:rsidRPr="00690E30">
        <w:rPr>
          <w:rFonts w:ascii="Times New Roman" w:eastAsia="Times New Roman" w:hAnsi="Times New Roman" w:cs="Times New Roman"/>
          <w:i/>
          <w:iCs/>
          <w:sz w:val="24"/>
          <w:szCs w:val="24"/>
        </w:rPr>
        <w:t>Journal of Foodservice Business Research</w:t>
      </w:r>
      <w:r w:rsidRPr="00690E30">
        <w:rPr>
          <w:rFonts w:ascii="Times New Roman" w:eastAsia="Times New Roman" w:hAnsi="Times New Roman" w:cs="Times New Roman"/>
          <w:sz w:val="24"/>
          <w:szCs w:val="24"/>
        </w:rPr>
        <w:t>, 24(5), pp. 472–488.</w:t>
      </w:r>
    </w:p>
    <w:p w14:paraId="244E74D6"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proofErr w:type="spellStart"/>
      <w:r w:rsidRPr="00690E30">
        <w:rPr>
          <w:rFonts w:ascii="Times New Roman" w:eastAsia="Times New Roman" w:hAnsi="Times New Roman" w:cs="Times New Roman"/>
          <w:b/>
          <w:bCs/>
          <w:sz w:val="24"/>
          <w:szCs w:val="24"/>
        </w:rPr>
        <w:t>Papargyropoulou</w:t>
      </w:r>
      <w:proofErr w:type="spellEnd"/>
      <w:r w:rsidRPr="00690E30">
        <w:rPr>
          <w:rFonts w:ascii="Times New Roman" w:eastAsia="Times New Roman" w:hAnsi="Times New Roman" w:cs="Times New Roman"/>
          <w:b/>
          <w:bCs/>
          <w:sz w:val="24"/>
          <w:szCs w:val="24"/>
        </w:rPr>
        <w:t>, E., Wright, N., Lozano, R. and Steinberger, J.</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2019) ‘</w:t>
      </w:r>
      <w:proofErr w:type="gramEnd"/>
      <w:r w:rsidRPr="00690E30">
        <w:rPr>
          <w:rFonts w:ascii="Times New Roman" w:eastAsia="Times New Roman" w:hAnsi="Times New Roman" w:cs="Times New Roman"/>
          <w:sz w:val="24"/>
          <w:szCs w:val="24"/>
        </w:rPr>
        <w:t xml:space="preserve">The food waste hierarchy as a framework for the management of food surplus and food waste.’ </w:t>
      </w:r>
      <w:r w:rsidRPr="00690E30">
        <w:rPr>
          <w:rFonts w:ascii="Times New Roman" w:eastAsia="Times New Roman" w:hAnsi="Times New Roman" w:cs="Times New Roman"/>
          <w:i/>
          <w:iCs/>
          <w:sz w:val="24"/>
          <w:szCs w:val="24"/>
        </w:rPr>
        <w:t>Journal of Cleaner Production</w:t>
      </w:r>
      <w:r w:rsidRPr="00690E30">
        <w:rPr>
          <w:rFonts w:ascii="Times New Roman" w:eastAsia="Times New Roman" w:hAnsi="Times New Roman" w:cs="Times New Roman"/>
          <w:sz w:val="24"/>
          <w:szCs w:val="24"/>
        </w:rPr>
        <w:t>, 183, pp. 105–114.</w:t>
      </w:r>
    </w:p>
    <w:p w14:paraId="70E4F43B"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lastRenderedPageBreak/>
        <w:t xml:space="preserve">Pasta </w:t>
      </w:r>
      <w:proofErr w:type="spellStart"/>
      <w:r w:rsidRPr="00690E30">
        <w:rPr>
          <w:rFonts w:ascii="Times New Roman" w:eastAsia="Times New Roman" w:hAnsi="Times New Roman" w:cs="Times New Roman"/>
          <w:b/>
          <w:bCs/>
          <w:sz w:val="24"/>
          <w:szCs w:val="24"/>
        </w:rPr>
        <w:t>Ripiena</w:t>
      </w:r>
      <w:proofErr w:type="spellEnd"/>
      <w:r w:rsidRPr="00690E30">
        <w:rPr>
          <w:rFonts w:ascii="Times New Roman" w:eastAsia="Times New Roman" w:hAnsi="Times New Roman" w:cs="Times New Roman"/>
          <w:sz w:val="24"/>
          <w:szCs w:val="24"/>
        </w:rPr>
        <w:t xml:space="preserve"> (n.d.) </w:t>
      </w:r>
      <w:r w:rsidRPr="00690E30">
        <w:rPr>
          <w:rFonts w:ascii="Times New Roman" w:eastAsia="Times New Roman" w:hAnsi="Times New Roman" w:cs="Times New Roman"/>
          <w:i/>
          <w:iCs/>
          <w:sz w:val="24"/>
          <w:szCs w:val="24"/>
        </w:rPr>
        <w:t>About Us</w:t>
      </w:r>
      <w:r w:rsidRPr="00690E30">
        <w:rPr>
          <w:rFonts w:ascii="Times New Roman" w:eastAsia="Times New Roman" w:hAnsi="Times New Roman" w:cs="Times New Roman"/>
          <w:sz w:val="24"/>
          <w:szCs w:val="24"/>
        </w:rPr>
        <w:t xml:space="preserve">. Available at: </w:t>
      </w:r>
      <w:hyperlink r:id="rId6" w:tgtFrame="_new" w:history="1">
        <w:r w:rsidRPr="00690E30">
          <w:rPr>
            <w:rFonts w:ascii="Times New Roman" w:eastAsia="Times New Roman" w:hAnsi="Times New Roman" w:cs="Times New Roman"/>
            <w:color w:val="0000FF"/>
            <w:sz w:val="24"/>
            <w:szCs w:val="24"/>
            <w:u w:val="single"/>
          </w:rPr>
          <w:t>https://www.pastaripiena.co.uk/about-us</w:t>
        </w:r>
      </w:hyperlink>
      <w:r w:rsidRPr="00690E30">
        <w:rPr>
          <w:rFonts w:ascii="Times New Roman" w:eastAsia="Times New Roman" w:hAnsi="Times New Roman" w:cs="Times New Roman"/>
          <w:sz w:val="24"/>
          <w:szCs w:val="24"/>
        </w:rPr>
        <w:t xml:space="preserve"> (Accessed: 10 January 2025).</w:t>
      </w:r>
    </w:p>
    <w:p w14:paraId="1A7A6802"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Raj, J.</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2020) ‘</w:t>
      </w:r>
      <w:proofErr w:type="gramEnd"/>
      <w:r w:rsidRPr="00690E30">
        <w:rPr>
          <w:rFonts w:ascii="Times New Roman" w:eastAsia="Times New Roman" w:hAnsi="Times New Roman" w:cs="Times New Roman"/>
          <w:sz w:val="24"/>
          <w:szCs w:val="24"/>
        </w:rPr>
        <w:t xml:space="preserve">Sustainability in hospitality: Emerging perspectives and challenges.’ </w:t>
      </w:r>
      <w:r w:rsidRPr="00690E30">
        <w:rPr>
          <w:rFonts w:ascii="Times New Roman" w:eastAsia="Times New Roman" w:hAnsi="Times New Roman" w:cs="Times New Roman"/>
          <w:i/>
          <w:iCs/>
          <w:sz w:val="24"/>
          <w:szCs w:val="24"/>
        </w:rPr>
        <w:t>Journal of Tourism and Hospitality Management</w:t>
      </w:r>
      <w:r w:rsidRPr="00690E30">
        <w:rPr>
          <w:rFonts w:ascii="Times New Roman" w:eastAsia="Times New Roman" w:hAnsi="Times New Roman" w:cs="Times New Roman"/>
          <w:sz w:val="24"/>
          <w:szCs w:val="24"/>
        </w:rPr>
        <w:t>, 8(3), pp. 65–76.</w:t>
      </w:r>
    </w:p>
    <w:p w14:paraId="64F4CFD8"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Ramanathan, U., Subramanian, N., Yu, W. and Ning, K.</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2022) ‘</w:t>
      </w:r>
      <w:proofErr w:type="gramEnd"/>
      <w:r w:rsidRPr="00690E30">
        <w:rPr>
          <w:rFonts w:ascii="Times New Roman" w:eastAsia="Times New Roman" w:hAnsi="Times New Roman" w:cs="Times New Roman"/>
          <w:sz w:val="24"/>
          <w:szCs w:val="24"/>
        </w:rPr>
        <w:t xml:space="preserve">Sustainable supply chain management practices and performance in the restaurant industry: A review.’ </w:t>
      </w:r>
      <w:r w:rsidRPr="00690E30">
        <w:rPr>
          <w:rFonts w:ascii="Times New Roman" w:eastAsia="Times New Roman" w:hAnsi="Times New Roman" w:cs="Times New Roman"/>
          <w:i/>
          <w:iCs/>
          <w:sz w:val="24"/>
          <w:szCs w:val="24"/>
        </w:rPr>
        <w:t>Supply Chain Management: An International Journal</w:t>
      </w:r>
      <w:r w:rsidRPr="00690E30">
        <w:rPr>
          <w:rFonts w:ascii="Times New Roman" w:eastAsia="Times New Roman" w:hAnsi="Times New Roman" w:cs="Times New Roman"/>
          <w:sz w:val="24"/>
          <w:szCs w:val="24"/>
        </w:rPr>
        <w:t>, 27(5), pp. 55–72.</w:t>
      </w:r>
    </w:p>
    <w:p w14:paraId="1ED67760"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Song, H., Ye, B. and Li, T.</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2022) ‘</w:t>
      </w:r>
      <w:proofErr w:type="gramEnd"/>
      <w:r w:rsidRPr="00690E30">
        <w:rPr>
          <w:rFonts w:ascii="Times New Roman" w:eastAsia="Times New Roman" w:hAnsi="Times New Roman" w:cs="Times New Roman"/>
          <w:sz w:val="24"/>
          <w:szCs w:val="24"/>
        </w:rPr>
        <w:t xml:space="preserve">Consumer behavior toward plant-based alternatives: The interplay between environmental concern and taste preferences.’ </w:t>
      </w:r>
      <w:r w:rsidRPr="00690E30">
        <w:rPr>
          <w:rFonts w:ascii="Times New Roman" w:eastAsia="Times New Roman" w:hAnsi="Times New Roman" w:cs="Times New Roman"/>
          <w:i/>
          <w:iCs/>
          <w:sz w:val="24"/>
          <w:szCs w:val="24"/>
        </w:rPr>
        <w:t>British Food Journal</w:t>
      </w:r>
      <w:r w:rsidRPr="00690E30">
        <w:rPr>
          <w:rFonts w:ascii="Times New Roman" w:eastAsia="Times New Roman" w:hAnsi="Times New Roman" w:cs="Times New Roman"/>
          <w:sz w:val="24"/>
          <w:szCs w:val="24"/>
        </w:rPr>
        <w:t>, 124(4), pp. 1141–1157.</w:t>
      </w:r>
    </w:p>
    <w:p w14:paraId="24AE528D"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UN</w:t>
      </w:r>
      <w:r w:rsidRPr="00690E30">
        <w:rPr>
          <w:rFonts w:ascii="Times New Roman" w:eastAsia="Times New Roman" w:hAnsi="Times New Roman" w:cs="Times New Roman"/>
          <w:sz w:val="24"/>
          <w:szCs w:val="24"/>
        </w:rPr>
        <w:t xml:space="preserve"> (2020) </w:t>
      </w:r>
      <w:r w:rsidRPr="00690E30">
        <w:rPr>
          <w:rFonts w:ascii="Times New Roman" w:eastAsia="Times New Roman" w:hAnsi="Times New Roman" w:cs="Times New Roman"/>
          <w:i/>
          <w:iCs/>
          <w:sz w:val="24"/>
          <w:szCs w:val="24"/>
        </w:rPr>
        <w:t>Sustainable Development Goals</w:t>
      </w:r>
      <w:r w:rsidRPr="00690E30">
        <w:rPr>
          <w:rFonts w:ascii="Times New Roman" w:eastAsia="Times New Roman" w:hAnsi="Times New Roman" w:cs="Times New Roman"/>
          <w:sz w:val="24"/>
          <w:szCs w:val="24"/>
        </w:rPr>
        <w:t xml:space="preserve">. Available at: </w:t>
      </w:r>
      <w:hyperlink r:id="rId7" w:tgtFrame="_new" w:history="1">
        <w:r w:rsidRPr="00690E30">
          <w:rPr>
            <w:rFonts w:ascii="Times New Roman" w:eastAsia="Times New Roman" w:hAnsi="Times New Roman" w:cs="Times New Roman"/>
            <w:color w:val="0000FF"/>
            <w:sz w:val="24"/>
            <w:szCs w:val="24"/>
            <w:u w:val="single"/>
          </w:rPr>
          <w:t>https://sdgs.un.org/</w:t>
        </w:r>
      </w:hyperlink>
      <w:r w:rsidRPr="00690E30">
        <w:rPr>
          <w:rFonts w:ascii="Times New Roman" w:eastAsia="Times New Roman" w:hAnsi="Times New Roman" w:cs="Times New Roman"/>
          <w:sz w:val="24"/>
          <w:szCs w:val="24"/>
        </w:rPr>
        <w:t xml:space="preserve"> (Accessed: 8 January 2025).</w:t>
      </w:r>
    </w:p>
    <w:p w14:paraId="4EA1B94C"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Winn, M.</w:t>
      </w:r>
      <w:r w:rsidRPr="00690E30">
        <w:rPr>
          <w:rFonts w:ascii="Times New Roman" w:eastAsia="Times New Roman" w:hAnsi="Times New Roman" w:cs="Times New Roman"/>
          <w:sz w:val="24"/>
          <w:szCs w:val="24"/>
        </w:rPr>
        <w:t xml:space="preserve"> (</w:t>
      </w:r>
      <w:proofErr w:type="gramStart"/>
      <w:r w:rsidRPr="00690E30">
        <w:rPr>
          <w:rFonts w:ascii="Times New Roman" w:eastAsia="Times New Roman" w:hAnsi="Times New Roman" w:cs="Times New Roman"/>
          <w:sz w:val="24"/>
          <w:szCs w:val="24"/>
        </w:rPr>
        <w:t>2020) ‘</w:t>
      </w:r>
      <w:proofErr w:type="gramEnd"/>
      <w:r w:rsidRPr="00690E30">
        <w:rPr>
          <w:rFonts w:ascii="Times New Roman" w:eastAsia="Times New Roman" w:hAnsi="Times New Roman" w:cs="Times New Roman"/>
          <w:sz w:val="24"/>
          <w:szCs w:val="24"/>
        </w:rPr>
        <w:t xml:space="preserve">Regulatory compliance and competitive advantage: The case of energy management in restaurants.’ </w:t>
      </w:r>
      <w:r w:rsidRPr="00690E30">
        <w:rPr>
          <w:rFonts w:ascii="Times New Roman" w:eastAsia="Times New Roman" w:hAnsi="Times New Roman" w:cs="Times New Roman"/>
          <w:i/>
          <w:iCs/>
          <w:sz w:val="24"/>
          <w:szCs w:val="24"/>
        </w:rPr>
        <w:t>Business Strategy and the Environment</w:t>
      </w:r>
      <w:r w:rsidRPr="00690E30">
        <w:rPr>
          <w:rFonts w:ascii="Times New Roman" w:eastAsia="Times New Roman" w:hAnsi="Times New Roman" w:cs="Times New Roman"/>
          <w:sz w:val="24"/>
          <w:szCs w:val="24"/>
        </w:rPr>
        <w:t>, 29(5), pp. 1679–1690.</w:t>
      </w:r>
    </w:p>
    <w:p w14:paraId="2D4E7CCA" w14:textId="77777777" w:rsidR="00690E30" w:rsidRPr="00690E30" w:rsidRDefault="00690E30" w:rsidP="00690E30">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690E30">
        <w:rPr>
          <w:rFonts w:ascii="Times New Roman" w:eastAsia="Times New Roman" w:hAnsi="Times New Roman" w:cs="Times New Roman"/>
          <w:b/>
          <w:bCs/>
          <w:sz w:val="24"/>
          <w:szCs w:val="24"/>
        </w:rPr>
        <w:t>World Commission on Environment and Development</w:t>
      </w:r>
      <w:r w:rsidRPr="00690E30">
        <w:rPr>
          <w:rFonts w:ascii="Times New Roman" w:eastAsia="Times New Roman" w:hAnsi="Times New Roman" w:cs="Times New Roman"/>
          <w:sz w:val="24"/>
          <w:szCs w:val="24"/>
        </w:rPr>
        <w:t xml:space="preserve"> (1987) </w:t>
      </w:r>
      <w:r w:rsidRPr="00690E30">
        <w:rPr>
          <w:rFonts w:ascii="Times New Roman" w:eastAsia="Times New Roman" w:hAnsi="Times New Roman" w:cs="Times New Roman"/>
          <w:i/>
          <w:iCs/>
          <w:sz w:val="24"/>
          <w:szCs w:val="24"/>
        </w:rPr>
        <w:t>Our Common Future (The Brundtland Report)</w:t>
      </w:r>
      <w:r w:rsidRPr="00690E30">
        <w:rPr>
          <w:rFonts w:ascii="Times New Roman" w:eastAsia="Times New Roman" w:hAnsi="Times New Roman" w:cs="Times New Roman"/>
          <w:sz w:val="24"/>
          <w:szCs w:val="24"/>
        </w:rPr>
        <w:t>. Oxford: Oxford University Press.</w:t>
      </w:r>
    </w:p>
    <w:p w14:paraId="2CA5A7B8" w14:textId="77777777" w:rsidR="00690E30" w:rsidRPr="00690E30" w:rsidRDefault="00690E30" w:rsidP="00690E30">
      <w:pPr>
        <w:numPr>
          <w:ilvl w:val="1"/>
          <w:numId w:val="0"/>
        </w:numPr>
        <w:spacing w:after="160" w:line="360" w:lineRule="auto"/>
        <w:rPr>
          <w:rFonts w:eastAsiaTheme="majorEastAsia" w:cstheme="majorBidi"/>
          <w:color w:val="000000" w:themeColor="text1"/>
          <w:spacing w:val="15"/>
          <w:sz w:val="24"/>
          <w:szCs w:val="24"/>
          <w:lang w:val="en-GB"/>
        </w:rPr>
      </w:pPr>
    </w:p>
    <w:p w14:paraId="7C6ED9CC" w14:textId="77777777" w:rsidR="00E353BF" w:rsidRDefault="00E353BF"/>
    <w:sectPr w:rsidR="00E353B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994764"/>
    <w:multiLevelType w:val="multilevel"/>
    <w:tmpl w:val="203E7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726784"/>
    <w:multiLevelType w:val="multilevel"/>
    <w:tmpl w:val="0F30E2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6F347B"/>
    <w:multiLevelType w:val="multilevel"/>
    <w:tmpl w:val="21D07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2080BB6"/>
    <w:multiLevelType w:val="multilevel"/>
    <w:tmpl w:val="CBE81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390FB5"/>
    <w:multiLevelType w:val="multilevel"/>
    <w:tmpl w:val="8C668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E44811"/>
    <w:multiLevelType w:val="multilevel"/>
    <w:tmpl w:val="F50A1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074114">
    <w:abstractNumId w:val="5"/>
  </w:num>
  <w:num w:numId="2" w16cid:durableId="709955752">
    <w:abstractNumId w:val="2"/>
  </w:num>
  <w:num w:numId="3" w16cid:durableId="461000917">
    <w:abstractNumId w:val="1"/>
  </w:num>
  <w:num w:numId="4" w16cid:durableId="414279866">
    <w:abstractNumId w:val="0"/>
  </w:num>
  <w:num w:numId="5" w16cid:durableId="907880274">
    <w:abstractNumId w:val="3"/>
  </w:num>
  <w:num w:numId="6" w16cid:durableId="9360591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90E30"/>
    <w:rsid w:val="00027EBE"/>
    <w:rsid w:val="0003748C"/>
    <w:rsid w:val="000E5126"/>
    <w:rsid w:val="00115563"/>
    <w:rsid w:val="00136546"/>
    <w:rsid w:val="001906AC"/>
    <w:rsid w:val="001E1F48"/>
    <w:rsid w:val="00250C94"/>
    <w:rsid w:val="00290165"/>
    <w:rsid w:val="002F24AE"/>
    <w:rsid w:val="002F3BAA"/>
    <w:rsid w:val="00316B6F"/>
    <w:rsid w:val="003269B4"/>
    <w:rsid w:val="003401CD"/>
    <w:rsid w:val="003E1F75"/>
    <w:rsid w:val="004136B7"/>
    <w:rsid w:val="004B1261"/>
    <w:rsid w:val="004C42DC"/>
    <w:rsid w:val="00514831"/>
    <w:rsid w:val="0051532B"/>
    <w:rsid w:val="005B26F2"/>
    <w:rsid w:val="005C36F2"/>
    <w:rsid w:val="005F14C2"/>
    <w:rsid w:val="00622B4F"/>
    <w:rsid w:val="00690E30"/>
    <w:rsid w:val="00694008"/>
    <w:rsid w:val="006B249D"/>
    <w:rsid w:val="00737F42"/>
    <w:rsid w:val="007623A1"/>
    <w:rsid w:val="00763F11"/>
    <w:rsid w:val="007826F5"/>
    <w:rsid w:val="00783E85"/>
    <w:rsid w:val="007875FC"/>
    <w:rsid w:val="007A428F"/>
    <w:rsid w:val="007A5473"/>
    <w:rsid w:val="007A6530"/>
    <w:rsid w:val="007F3116"/>
    <w:rsid w:val="008015C5"/>
    <w:rsid w:val="00830303"/>
    <w:rsid w:val="0089754B"/>
    <w:rsid w:val="008B35B8"/>
    <w:rsid w:val="008C28C0"/>
    <w:rsid w:val="008D7E62"/>
    <w:rsid w:val="008E13DF"/>
    <w:rsid w:val="00907264"/>
    <w:rsid w:val="00972179"/>
    <w:rsid w:val="0099460F"/>
    <w:rsid w:val="009C6718"/>
    <w:rsid w:val="009D7378"/>
    <w:rsid w:val="009F4202"/>
    <w:rsid w:val="00A251FB"/>
    <w:rsid w:val="00A368C7"/>
    <w:rsid w:val="00A97579"/>
    <w:rsid w:val="00AB2575"/>
    <w:rsid w:val="00AE6E83"/>
    <w:rsid w:val="00B000E7"/>
    <w:rsid w:val="00B263F2"/>
    <w:rsid w:val="00B349B1"/>
    <w:rsid w:val="00BB1C52"/>
    <w:rsid w:val="00C15F59"/>
    <w:rsid w:val="00C64CD7"/>
    <w:rsid w:val="00CC7329"/>
    <w:rsid w:val="00D15F6E"/>
    <w:rsid w:val="00D8350A"/>
    <w:rsid w:val="00DC0C53"/>
    <w:rsid w:val="00DE2336"/>
    <w:rsid w:val="00E353BF"/>
    <w:rsid w:val="00E6150C"/>
    <w:rsid w:val="00EA3672"/>
    <w:rsid w:val="00EA65FC"/>
    <w:rsid w:val="00EE637F"/>
    <w:rsid w:val="00F9615F"/>
    <w:rsid w:val="00F963DF"/>
    <w:rsid w:val="00FB698C"/>
    <w:rsid w:val="00FC42CB"/>
    <w:rsid w:val="00FF20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C72F8"/>
  <w15:chartTrackingRefBased/>
  <w15:docId w15:val="{A019B80F-0FFA-4122-833F-01F84DC99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0E7"/>
    <w:rPr>
      <w:rFonts w:ascii="Arial" w:eastAsiaTheme="minorEastAsia" w:hAnsi="Arial"/>
    </w:rPr>
  </w:style>
  <w:style w:type="paragraph" w:styleId="Titlu1">
    <w:name w:val="heading 1"/>
    <w:basedOn w:val="Normal"/>
    <w:next w:val="Normal"/>
    <w:link w:val="Titlu1Caracter"/>
    <w:autoRedefine/>
    <w:uiPriority w:val="9"/>
    <w:qFormat/>
    <w:rsid w:val="00B000E7"/>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autoRedefine/>
    <w:uiPriority w:val="9"/>
    <w:unhideWhenUsed/>
    <w:qFormat/>
    <w:rsid w:val="00B000E7"/>
    <w:pPr>
      <w:keepNext/>
      <w:keepLines/>
      <w:spacing w:before="200" w:after="0"/>
      <w:outlineLvl w:val="1"/>
    </w:pPr>
    <w:rPr>
      <w:rFonts w:eastAsiaTheme="majorEastAsia" w:cstheme="majorBidi"/>
      <w:b/>
      <w:bCs/>
      <w:szCs w:val="26"/>
    </w:rPr>
  </w:style>
  <w:style w:type="paragraph" w:styleId="Titlu3">
    <w:name w:val="heading 3"/>
    <w:basedOn w:val="Normal"/>
    <w:next w:val="Normal"/>
    <w:link w:val="Titlu3Caracter"/>
    <w:autoRedefine/>
    <w:uiPriority w:val="9"/>
    <w:unhideWhenUsed/>
    <w:qFormat/>
    <w:rsid w:val="00136546"/>
    <w:pPr>
      <w:keepNext/>
      <w:keepLines/>
      <w:spacing w:before="200" w:after="0"/>
      <w:outlineLvl w:val="2"/>
    </w:pPr>
    <w:rPr>
      <w:rFonts w:eastAsiaTheme="majorEastAsia" w:cstheme="majorBidi"/>
      <w:b/>
      <w:bCs/>
      <w:sz w:val="20"/>
    </w:rPr>
  </w:style>
  <w:style w:type="paragraph" w:styleId="Titlu4">
    <w:name w:val="heading 4"/>
    <w:basedOn w:val="Normal"/>
    <w:next w:val="Normal"/>
    <w:link w:val="Titlu4Caracter"/>
    <w:uiPriority w:val="9"/>
    <w:semiHidden/>
    <w:unhideWhenUsed/>
    <w:qFormat/>
    <w:rsid w:val="00690E30"/>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Titlu5">
    <w:name w:val="heading 5"/>
    <w:basedOn w:val="Normal"/>
    <w:next w:val="Normal"/>
    <w:link w:val="Titlu5Caracter"/>
    <w:uiPriority w:val="9"/>
    <w:semiHidden/>
    <w:unhideWhenUsed/>
    <w:qFormat/>
    <w:rsid w:val="00690E30"/>
    <w:pPr>
      <w:keepNext/>
      <w:keepLines/>
      <w:spacing w:before="80" w:after="40"/>
      <w:outlineLvl w:val="4"/>
    </w:pPr>
    <w:rPr>
      <w:rFonts w:asciiTheme="minorHAnsi" w:eastAsiaTheme="majorEastAsia" w:hAnsiTheme="minorHAnsi" w:cstheme="majorBidi"/>
      <w:color w:val="365F91" w:themeColor="accent1" w:themeShade="BF"/>
    </w:rPr>
  </w:style>
  <w:style w:type="paragraph" w:styleId="Titlu6">
    <w:name w:val="heading 6"/>
    <w:basedOn w:val="Normal"/>
    <w:next w:val="Normal"/>
    <w:link w:val="Titlu6Caracter"/>
    <w:uiPriority w:val="9"/>
    <w:semiHidden/>
    <w:unhideWhenUsed/>
    <w:qFormat/>
    <w:rsid w:val="00690E30"/>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690E30"/>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690E30"/>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690E30"/>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autoRedefine/>
    <w:uiPriority w:val="10"/>
    <w:qFormat/>
    <w:rsid w:val="00B000E7"/>
    <w:pPr>
      <w:pBdr>
        <w:bottom w:val="single" w:sz="8" w:space="4" w:color="4F81BD" w:themeColor="accent1"/>
      </w:pBdr>
      <w:spacing w:after="300" w:line="240" w:lineRule="auto"/>
      <w:contextualSpacing/>
    </w:pPr>
    <w:rPr>
      <w:rFonts w:eastAsiaTheme="majorEastAsia" w:cstheme="majorBidi"/>
      <w:b/>
      <w:spacing w:val="5"/>
      <w:kern w:val="28"/>
      <w:sz w:val="32"/>
      <w:szCs w:val="52"/>
    </w:rPr>
  </w:style>
  <w:style w:type="character" w:customStyle="1" w:styleId="TitluCaracter">
    <w:name w:val="Titlu Caracter"/>
    <w:basedOn w:val="Fontdeparagrafimplicit"/>
    <w:link w:val="Titlu"/>
    <w:uiPriority w:val="10"/>
    <w:rsid w:val="00B000E7"/>
    <w:rPr>
      <w:rFonts w:ascii="Arial" w:eastAsiaTheme="majorEastAsia" w:hAnsi="Arial" w:cstheme="majorBidi"/>
      <w:b/>
      <w:spacing w:val="5"/>
      <w:kern w:val="28"/>
      <w:sz w:val="32"/>
      <w:szCs w:val="52"/>
    </w:rPr>
  </w:style>
  <w:style w:type="paragraph" w:styleId="Subtitlu">
    <w:name w:val="Subtitle"/>
    <w:basedOn w:val="Normal"/>
    <w:next w:val="Normal"/>
    <w:link w:val="SubtitluCaracter"/>
    <w:autoRedefine/>
    <w:uiPriority w:val="11"/>
    <w:qFormat/>
    <w:rsid w:val="00830303"/>
    <w:pPr>
      <w:numPr>
        <w:ilvl w:val="1"/>
      </w:numPr>
    </w:pPr>
    <w:rPr>
      <w:rFonts w:eastAsiaTheme="majorEastAsia" w:cstheme="majorBidi"/>
      <w:b/>
      <w:i/>
      <w:iCs/>
      <w:spacing w:val="15"/>
      <w:szCs w:val="24"/>
    </w:rPr>
  </w:style>
  <w:style w:type="character" w:customStyle="1" w:styleId="SubtitluCaracter">
    <w:name w:val="Subtitlu Caracter"/>
    <w:basedOn w:val="Fontdeparagrafimplicit"/>
    <w:link w:val="Subtitlu"/>
    <w:uiPriority w:val="11"/>
    <w:rsid w:val="00830303"/>
    <w:rPr>
      <w:rFonts w:ascii="Arial" w:eastAsiaTheme="majorEastAsia" w:hAnsi="Arial" w:cstheme="majorBidi"/>
      <w:b/>
      <w:i/>
      <w:iCs/>
      <w:spacing w:val="15"/>
      <w:szCs w:val="24"/>
    </w:rPr>
  </w:style>
  <w:style w:type="character" w:customStyle="1" w:styleId="Titlu1Caracter">
    <w:name w:val="Titlu 1 Caracter"/>
    <w:basedOn w:val="Fontdeparagrafimplicit"/>
    <w:link w:val="Titlu1"/>
    <w:uiPriority w:val="9"/>
    <w:rsid w:val="00B000E7"/>
    <w:rPr>
      <w:rFonts w:ascii="Arial" w:eastAsiaTheme="majorEastAsia" w:hAnsi="Arial" w:cstheme="majorBidi"/>
      <w:b/>
      <w:bCs/>
      <w:sz w:val="24"/>
      <w:szCs w:val="28"/>
    </w:rPr>
  </w:style>
  <w:style w:type="character" w:customStyle="1" w:styleId="Titlu2Caracter">
    <w:name w:val="Titlu 2 Caracter"/>
    <w:basedOn w:val="Fontdeparagrafimplicit"/>
    <w:link w:val="Titlu2"/>
    <w:uiPriority w:val="9"/>
    <w:rsid w:val="00B000E7"/>
    <w:rPr>
      <w:rFonts w:ascii="Arial" w:eastAsiaTheme="majorEastAsia" w:hAnsi="Arial" w:cstheme="majorBidi"/>
      <w:b/>
      <w:bCs/>
      <w:szCs w:val="26"/>
    </w:rPr>
  </w:style>
  <w:style w:type="character" w:customStyle="1" w:styleId="Titlu3Caracter">
    <w:name w:val="Titlu 3 Caracter"/>
    <w:basedOn w:val="Fontdeparagrafimplicit"/>
    <w:link w:val="Titlu3"/>
    <w:uiPriority w:val="9"/>
    <w:rsid w:val="00136546"/>
    <w:rPr>
      <w:rFonts w:ascii="Arial" w:eastAsiaTheme="majorEastAsia" w:hAnsi="Arial" w:cstheme="majorBidi"/>
      <w:b/>
      <w:bCs/>
      <w:sz w:val="20"/>
    </w:rPr>
  </w:style>
  <w:style w:type="character" w:customStyle="1" w:styleId="Titlu4Caracter">
    <w:name w:val="Titlu 4 Caracter"/>
    <w:basedOn w:val="Fontdeparagrafimplicit"/>
    <w:link w:val="Titlu4"/>
    <w:uiPriority w:val="9"/>
    <w:semiHidden/>
    <w:rsid w:val="00690E30"/>
    <w:rPr>
      <w:rFonts w:eastAsiaTheme="majorEastAsia" w:cstheme="majorBidi"/>
      <w:i/>
      <w:iCs/>
      <w:color w:val="365F91" w:themeColor="accent1" w:themeShade="BF"/>
    </w:rPr>
  </w:style>
  <w:style w:type="character" w:customStyle="1" w:styleId="Titlu5Caracter">
    <w:name w:val="Titlu 5 Caracter"/>
    <w:basedOn w:val="Fontdeparagrafimplicit"/>
    <w:link w:val="Titlu5"/>
    <w:uiPriority w:val="9"/>
    <w:semiHidden/>
    <w:rsid w:val="00690E30"/>
    <w:rPr>
      <w:rFonts w:eastAsiaTheme="majorEastAsia" w:cstheme="majorBidi"/>
      <w:color w:val="365F91" w:themeColor="accent1" w:themeShade="BF"/>
    </w:rPr>
  </w:style>
  <w:style w:type="character" w:customStyle="1" w:styleId="Titlu6Caracter">
    <w:name w:val="Titlu 6 Caracter"/>
    <w:basedOn w:val="Fontdeparagrafimplicit"/>
    <w:link w:val="Titlu6"/>
    <w:uiPriority w:val="9"/>
    <w:semiHidden/>
    <w:rsid w:val="00690E30"/>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690E30"/>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690E30"/>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690E30"/>
    <w:rPr>
      <w:rFonts w:eastAsiaTheme="majorEastAsia" w:cstheme="majorBidi"/>
      <w:color w:val="272727" w:themeColor="text1" w:themeTint="D8"/>
    </w:rPr>
  </w:style>
  <w:style w:type="paragraph" w:styleId="Citat">
    <w:name w:val="Quote"/>
    <w:basedOn w:val="Normal"/>
    <w:next w:val="Normal"/>
    <w:link w:val="CitatCaracter"/>
    <w:uiPriority w:val="29"/>
    <w:qFormat/>
    <w:rsid w:val="00690E30"/>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690E30"/>
    <w:rPr>
      <w:rFonts w:ascii="Arial" w:eastAsiaTheme="minorEastAsia" w:hAnsi="Arial"/>
      <w:i/>
      <w:iCs/>
      <w:color w:val="404040" w:themeColor="text1" w:themeTint="BF"/>
    </w:rPr>
  </w:style>
  <w:style w:type="paragraph" w:styleId="Listparagraf">
    <w:name w:val="List Paragraph"/>
    <w:basedOn w:val="Normal"/>
    <w:uiPriority w:val="34"/>
    <w:qFormat/>
    <w:rsid w:val="00690E30"/>
    <w:pPr>
      <w:ind w:left="720"/>
      <w:contextualSpacing/>
    </w:pPr>
  </w:style>
  <w:style w:type="character" w:styleId="Accentuareintens">
    <w:name w:val="Intense Emphasis"/>
    <w:basedOn w:val="Fontdeparagrafimplicit"/>
    <w:uiPriority w:val="21"/>
    <w:qFormat/>
    <w:rsid w:val="00690E30"/>
    <w:rPr>
      <w:i/>
      <w:iCs/>
      <w:color w:val="365F91" w:themeColor="accent1" w:themeShade="BF"/>
    </w:rPr>
  </w:style>
  <w:style w:type="paragraph" w:styleId="Citatintens">
    <w:name w:val="Intense Quote"/>
    <w:basedOn w:val="Normal"/>
    <w:next w:val="Normal"/>
    <w:link w:val="CitatintensCaracter"/>
    <w:uiPriority w:val="30"/>
    <w:qFormat/>
    <w:rsid w:val="00690E3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CitatintensCaracter">
    <w:name w:val="Citat intens Caracter"/>
    <w:basedOn w:val="Fontdeparagrafimplicit"/>
    <w:link w:val="Citatintens"/>
    <w:uiPriority w:val="30"/>
    <w:rsid w:val="00690E30"/>
    <w:rPr>
      <w:rFonts w:ascii="Arial" w:eastAsiaTheme="minorEastAsia" w:hAnsi="Arial"/>
      <w:i/>
      <w:iCs/>
      <w:color w:val="365F91" w:themeColor="accent1" w:themeShade="BF"/>
    </w:rPr>
  </w:style>
  <w:style w:type="character" w:styleId="Referireintens">
    <w:name w:val="Intense Reference"/>
    <w:basedOn w:val="Fontdeparagrafimplicit"/>
    <w:uiPriority w:val="32"/>
    <w:qFormat/>
    <w:rsid w:val="00690E30"/>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05060">
      <w:bodyDiv w:val="1"/>
      <w:marLeft w:val="0"/>
      <w:marRight w:val="0"/>
      <w:marTop w:val="0"/>
      <w:marBottom w:val="0"/>
      <w:divBdr>
        <w:top w:val="none" w:sz="0" w:space="0" w:color="auto"/>
        <w:left w:val="none" w:sz="0" w:space="0" w:color="auto"/>
        <w:bottom w:val="none" w:sz="0" w:space="0" w:color="auto"/>
        <w:right w:val="none" w:sz="0" w:space="0" w:color="auto"/>
      </w:divBdr>
    </w:div>
    <w:div w:id="251284823">
      <w:bodyDiv w:val="1"/>
      <w:marLeft w:val="0"/>
      <w:marRight w:val="0"/>
      <w:marTop w:val="0"/>
      <w:marBottom w:val="0"/>
      <w:divBdr>
        <w:top w:val="none" w:sz="0" w:space="0" w:color="auto"/>
        <w:left w:val="none" w:sz="0" w:space="0" w:color="auto"/>
        <w:bottom w:val="none" w:sz="0" w:space="0" w:color="auto"/>
        <w:right w:val="none" w:sz="0" w:space="0" w:color="auto"/>
      </w:divBdr>
    </w:div>
    <w:div w:id="1373729191">
      <w:bodyDiv w:val="1"/>
      <w:marLeft w:val="0"/>
      <w:marRight w:val="0"/>
      <w:marTop w:val="0"/>
      <w:marBottom w:val="0"/>
      <w:divBdr>
        <w:top w:val="none" w:sz="0" w:space="0" w:color="auto"/>
        <w:left w:val="none" w:sz="0" w:space="0" w:color="auto"/>
        <w:bottom w:val="none" w:sz="0" w:space="0" w:color="auto"/>
        <w:right w:val="none" w:sz="0" w:space="0" w:color="auto"/>
      </w:divBdr>
    </w:div>
    <w:div w:id="1555892966">
      <w:bodyDiv w:val="1"/>
      <w:marLeft w:val="0"/>
      <w:marRight w:val="0"/>
      <w:marTop w:val="0"/>
      <w:marBottom w:val="0"/>
      <w:divBdr>
        <w:top w:val="none" w:sz="0" w:space="0" w:color="auto"/>
        <w:left w:val="none" w:sz="0" w:space="0" w:color="auto"/>
        <w:bottom w:val="none" w:sz="0" w:space="0" w:color="auto"/>
        <w:right w:val="none" w:sz="0" w:space="0" w:color="auto"/>
      </w:divBdr>
      <w:divsChild>
        <w:div w:id="10091363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5204028">
      <w:bodyDiv w:val="1"/>
      <w:marLeft w:val="0"/>
      <w:marRight w:val="0"/>
      <w:marTop w:val="0"/>
      <w:marBottom w:val="0"/>
      <w:divBdr>
        <w:top w:val="none" w:sz="0" w:space="0" w:color="auto"/>
        <w:left w:val="none" w:sz="0" w:space="0" w:color="auto"/>
        <w:bottom w:val="none" w:sz="0" w:space="0" w:color="auto"/>
        <w:right w:val="none" w:sz="0" w:space="0" w:color="auto"/>
      </w:divBdr>
    </w:div>
    <w:div w:id="1737051349">
      <w:bodyDiv w:val="1"/>
      <w:marLeft w:val="0"/>
      <w:marRight w:val="0"/>
      <w:marTop w:val="0"/>
      <w:marBottom w:val="0"/>
      <w:divBdr>
        <w:top w:val="none" w:sz="0" w:space="0" w:color="auto"/>
        <w:left w:val="none" w:sz="0" w:space="0" w:color="auto"/>
        <w:bottom w:val="none" w:sz="0" w:space="0" w:color="auto"/>
        <w:right w:val="none" w:sz="0" w:space="0" w:color="auto"/>
      </w:divBdr>
    </w:div>
    <w:div w:id="2003846841">
      <w:bodyDiv w:val="1"/>
      <w:marLeft w:val="0"/>
      <w:marRight w:val="0"/>
      <w:marTop w:val="0"/>
      <w:marBottom w:val="0"/>
      <w:divBdr>
        <w:top w:val="none" w:sz="0" w:space="0" w:color="auto"/>
        <w:left w:val="none" w:sz="0" w:space="0" w:color="auto"/>
        <w:bottom w:val="none" w:sz="0" w:space="0" w:color="auto"/>
        <w:right w:val="none" w:sz="0" w:space="0" w:color="auto"/>
      </w:divBdr>
    </w:div>
    <w:div w:id="2086339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dgs.un.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astaripiena.co.uk/about-us" TargetMode="External"/><Relationship Id="rId5" Type="http://schemas.openxmlformats.org/officeDocument/2006/relationships/hyperlink" Target="https://ec.europa.eu/environment/topics/plastics/single-use-plastics_e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10</Pages>
  <Words>3105</Words>
  <Characters>17703</Characters>
  <Application>Microsoft Office Word</Application>
  <DocSecurity>0</DocSecurity>
  <Lines>147</Lines>
  <Paragraphs>41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T</dc:creator>
  <cp:keywords/>
  <dc:description/>
  <cp:lastModifiedBy>M T</cp:lastModifiedBy>
  <cp:revision>1</cp:revision>
  <dcterms:created xsi:type="dcterms:W3CDTF">2025-01-14T09:09:00Z</dcterms:created>
  <dcterms:modified xsi:type="dcterms:W3CDTF">2025-01-14T09:23:00Z</dcterms:modified>
</cp:coreProperties>
</file>