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C90BF" w14:textId="58FCF10A" w:rsidR="00492AF1" w:rsidRDefault="00CF1887">
      <w:r>
        <w:rPr>
          <w:noProof/>
        </w:rPr>
        <w:drawing>
          <wp:inline distT="0" distB="0" distL="0" distR="0" wp14:anchorId="7AB7E545" wp14:editId="7BE383B2">
            <wp:extent cx="1924050" cy="676275"/>
            <wp:effectExtent l="0" t="0" r="0" b="9525"/>
            <wp:docPr id="533033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33015" name=""/>
                    <pic:cNvPicPr/>
                  </pic:nvPicPr>
                  <pic:blipFill>
                    <a:blip r:embed="rId7"/>
                    <a:stretch>
                      <a:fillRect/>
                    </a:stretch>
                  </pic:blipFill>
                  <pic:spPr>
                    <a:xfrm>
                      <a:off x="0" y="0"/>
                      <a:ext cx="1924050" cy="676275"/>
                    </a:xfrm>
                    <a:prstGeom prst="rect">
                      <a:avLst/>
                    </a:prstGeom>
                  </pic:spPr>
                </pic:pic>
              </a:graphicData>
            </a:graphic>
          </wp:inline>
        </w:drawing>
      </w:r>
    </w:p>
    <w:p w14:paraId="0F0792A4" w14:textId="77777777" w:rsidR="00CF1887" w:rsidRDefault="00CF1887" w:rsidP="00CF1887">
      <w:pPr>
        <w:jc w:val="center"/>
      </w:pPr>
    </w:p>
    <w:p w14:paraId="0012C2AD" w14:textId="77777777" w:rsidR="00CF1887" w:rsidRDefault="00CF1887" w:rsidP="00CF1887">
      <w:pPr>
        <w:jc w:val="center"/>
        <w:rPr>
          <w:b/>
          <w:bCs/>
          <w:sz w:val="32"/>
          <w:szCs w:val="28"/>
        </w:rPr>
      </w:pPr>
    </w:p>
    <w:p w14:paraId="54CF0089" w14:textId="601AD2B8" w:rsidR="00CF1887" w:rsidRPr="00CF1887" w:rsidRDefault="00CF1887" w:rsidP="00CF1887">
      <w:pPr>
        <w:pStyle w:val="IntenseQuote"/>
        <w:rPr>
          <w:b/>
          <w:bCs/>
          <w:sz w:val="28"/>
          <w:szCs w:val="24"/>
        </w:rPr>
      </w:pPr>
      <w:r w:rsidRPr="00CF1887">
        <w:rPr>
          <w:b/>
          <w:bCs/>
          <w:sz w:val="28"/>
          <w:szCs w:val="24"/>
        </w:rPr>
        <w:t>Module: Legal Process</w:t>
      </w:r>
    </w:p>
    <w:p w14:paraId="522174C8" w14:textId="4A0C9772" w:rsidR="00CF1887" w:rsidRDefault="00CF1887" w:rsidP="00CF1887">
      <w:pPr>
        <w:jc w:val="center"/>
        <w:rPr>
          <w:b/>
          <w:bCs/>
          <w:sz w:val="36"/>
          <w:szCs w:val="32"/>
        </w:rPr>
      </w:pPr>
      <w:r w:rsidRPr="00CF1887">
        <w:rPr>
          <w:b/>
          <w:bCs/>
          <w:sz w:val="36"/>
          <w:szCs w:val="32"/>
        </w:rPr>
        <w:t>Assignment Title: Common Law</w:t>
      </w:r>
    </w:p>
    <w:p w14:paraId="3D9D45A5" w14:textId="77777777" w:rsidR="00CF1887" w:rsidRDefault="00CF1887" w:rsidP="00CF1887">
      <w:pPr>
        <w:jc w:val="center"/>
        <w:rPr>
          <w:b/>
          <w:bCs/>
          <w:sz w:val="36"/>
          <w:szCs w:val="32"/>
        </w:rPr>
      </w:pPr>
    </w:p>
    <w:p w14:paraId="01DBCC2C" w14:textId="77777777" w:rsidR="00CF1887" w:rsidRDefault="00CF1887" w:rsidP="00CF1887">
      <w:pPr>
        <w:jc w:val="center"/>
        <w:rPr>
          <w:b/>
          <w:bCs/>
          <w:sz w:val="36"/>
          <w:szCs w:val="32"/>
        </w:rPr>
      </w:pPr>
    </w:p>
    <w:p w14:paraId="3A782DD0" w14:textId="77777777" w:rsidR="00CF1887" w:rsidRDefault="00CF1887" w:rsidP="00CF1887">
      <w:pPr>
        <w:jc w:val="center"/>
        <w:rPr>
          <w:b/>
          <w:bCs/>
          <w:sz w:val="36"/>
          <w:szCs w:val="32"/>
        </w:rPr>
      </w:pPr>
    </w:p>
    <w:p w14:paraId="37BCE378" w14:textId="77777777" w:rsidR="00CF1887" w:rsidRDefault="00CF1887" w:rsidP="00CF1887">
      <w:pPr>
        <w:jc w:val="center"/>
        <w:rPr>
          <w:b/>
          <w:bCs/>
          <w:sz w:val="36"/>
          <w:szCs w:val="32"/>
        </w:rPr>
      </w:pPr>
    </w:p>
    <w:p w14:paraId="1CB7514B" w14:textId="77777777" w:rsidR="00CF1887" w:rsidRDefault="00CF1887" w:rsidP="00CF1887">
      <w:pPr>
        <w:jc w:val="center"/>
        <w:rPr>
          <w:b/>
          <w:bCs/>
          <w:sz w:val="36"/>
          <w:szCs w:val="32"/>
        </w:rPr>
      </w:pPr>
    </w:p>
    <w:p w14:paraId="52924FBD" w14:textId="77777777" w:rsidR="00CF1887" w:rsidRDefault="00CF1887" w:rsidP="00CF1887">
      <w:pPr>
        <w:jc w:val="center"/>
        <w:rPr>
          <w:b/>
          <w:bCs/>
          <w:sz w:val="36"/>
          <w:szCs w:val="32"/>
        </w:rPr>
      </w:pPr>
    </w:p>
    <w:p w14:paraId="62FA9EB3" w14:textId="61F56F61" w:rsidR="00CF1887" w:rsidRPr="002B07CB" w:rsidRDefault="009C6114" w:rsidP="00CF1887">
      <w:pPr>
        <w:jc w:val="center"/>
        <w:rPr>
          <w:b/>
          <w:bCs/>
          <w:szCs w:val="24"/>
        </w:rPr>
      </w:pPr>
      <w:r>
        <w:rPr>
          <w:b/>
          <w:bCs/>
          <w:sz w:val="36"/>
          <w:szCs w:val="32"/>
        </w:rPr>
        <w:t xml:space="preserve">                                                            </w:t>
      </w:r>
      <w:r w:rsidR="00F4688D">
        <w:rPr>
          <w:b/>
          <w:bCs/>
          <w:sz w:val="36"/>
          <w:szCs w:val="32"/>
        </w:rPr>
        <w:t>Student number:222</w:t>
      </w:r>
      <w:r>
        <w:rPr>
          <w:b/>
          <w:bCs/>
          <w:sz w:val="36"/>
          <w:szCs w:val="32"/>
        </w:rPr>
        <w:t>7456</w:t>
      </w:r>
    </w:p>
    <w:p w14:paraId="753C6078" w14:textId="35C756CE" w:rsidR="006820D8" w:rsidRPr="00C0430E" w:rsidRDefault="007E60E6" w:rsidP="006820D8">
      <w:pPr>
        <w:rPr>
          <w:sz w:val="36"/>
          <w:szCs w:val="36"/>
        </w:rPr>
      </w:pPr>
      <w:r>
        <w:t xml:space="preserve">                                                                                </w:t>
      </w:r>
      <w:r w:rsidR="00C0430E">
        <w:rPr>
          <w:sz w:val="36"/>
          <w:szCs w:val="36"/>
        </w:rPr>
        <w:t xml:space="preserve">Student </w:t>
      </w:r>
      <w:r w:rsidR="00A04B80">
        <w:rPr>
          <w:sz w:val="36"/>
          <w:szCs w:val="36"/>
        </w:rPr>
        <w:t>name: Galina</w:t>
      </w:r>
      <w:r w:rsidR="00C0430E">
        <w:rPr>
          <w:sz w:val="36"/>
          <w:szCs w:val="36"/>
        </w:rPr>
        <w:t xml:space="preserve"> </w:t>
      </w:r>
      <w:r w:rsidR="005959BA">
        <w:rPr>
          <w:sz w:val="36"/>
          <w:szCs w:val="36"/>
        </w:rPr>
        <w:t>Zasheva</w:t>
      </w:r>
    </w:p>
    <w:sdt>
      <w:sdtPr>
        <w:rPr>
          <w:rFonts w:ascii="Times New Roman" w:eastAsiaTheme="minorHAnsi" w:hAnsi="Times New Roman" w:cstheme="minorBidi"/>
          <w:color w:val="auto"/>
          <w:kern w:val="2"/>
          <w:sz w:val="24"/>
          <w:szCs w:val="22"/>
          <w:lang w:val="en-GB"/>
          <w14:ligatures w14:val="standardContextual"/>
        </w:rPr>
        <w:id w:val="-1054088651"/>
        <w:docPartObj>
          <w:docPartGallery w:val="Table of Contents"/>
          <w:docPartUnique/>
        </w:docPartObj>
      </w:sdtPr>
      <w:sdtEndPr>
        <w:rPr>
          <w:b/>
          <w:bCs/>
          <w:noProof/>
        </w:rPr>
      </w:sdtEndPr>
      <w:sdtContent>
        <w:p w14:paraId="6C640B5B" w14:textId="4370FC8F" w:rsidR="00852037" w:rsidRDefault="00852037">
          <w:pPr>
            <w:pStyle w:val="TOCHeading"/>
          </w:pPr>
          <w:r>
            <w:t>Table of Contents</w:t>
          </w:r>
        </w:p>
        <w:p w14:paraId="3C3B5678" w14:textId="7C55A713" w:rsidR="00852037" w:rsidRDefault="00852037">
          <w:pPr>
            <w:pStyle w:val="TOC2"/>
            <w:tabs>
              <w:tab w:val="right" w:leader="dot" w:pos="9350"/>
            </w:tabs>
            <w:rPr>
              <w:noProof/>
            </w:rPr>
          </w:pPr>
          <w:r>
            <w:fldChar w:fldCharType="begin"/>
          </w:r>
          <w:r>
            <w:instrText xml:space="preserve"> TOC \o "1-3" \h \z \u </w:instrText>
          </w:r>
          <w:r>
            <w:fldChar w:fldCharType="separate"/>
          </w:r>
          <w:hyperlink w:anchor="_Toc138809269" w:history="1">
            <w:r w:rsidRPr="00170091">
              <w:rPr>
                <w:rStyle w:val="Hyperlink"/>
                <w:noProof/>
              </w:rPr>
              <w:t>Introduction</w:t>
            </w:r>
            <w:r>
              <w:rPr>
                <w:noProof/>
                <w:webHidden/>
              </w:rPr>
              <w:tab/>
            </w:r>
            <w:r>
              <w:rPr>
                <w:noProof/>
                <w:webHidden/>
              </w:rPr>
              <w:fldChar w:fldCharType="begin"/>
            </w:r>
            <w:r>
              <w:rPr>
                <w:noProof/>
                <w:webHidden/>
              </w:rPr>
              <w:instrText xml:space="preserve"> PAGEREF _Toc138809269 \h </w:instrText>
            </w:r>
            <w:r>
              <w:rPr>
                <w:noProof/>
                <w:webHidden/>
              </w:rPr>
            </w:r>
            <w:r>
              <w:rPr>
                <w:noProof/>
                <w:webHidden/>
              </w:rPr>
              <w:fldChar w:fldCharType="separate"/>
            </w:r>
            <w:r>
              <w:rPr>
                <w:noProof/>
                <w:webHidden/>
              </w:rPr>
              <w:t>3</w:t>
            </w:r>
            <w:r>
              <w:rPr>
                <w:noProof/>
                <w:webHidden/>
              </w:rPr>
              <w:fldChar w:fldCharType="end"/>
            </w:r>
          </w:hyperlink>
        </w:p>
        <w:p w14:paraId="4B710379" w14:textId="3A68DB98" w:rsidR="00852037" w:rsidRDefault="00000000">
          <w:pPr>
            <w:pStyle w:val="TOC2"/>
            <w:tabs>
              <w:tab w:val="right" w:leader="dot" w:pos="9350"/>
            </w:tabs>
            <w:rPr>
              <w:noProof/>
            </w:rPr>
          </w:pPr>
          <w:hyperlink w:anchor="_Toc138809270" w:history="1">
            <w:r w:rsidR="00852037" w:rsidRPr="00170091">
              <w:rPr>
                <w:rStyle w:val="Hyperlink"/>
                <w:noProof/>
              </w:rPr>
              <w:t>Main Body</w:t>
            </w:r>
            <w:r w:rsidR="00852037">
              <w:rPr>
                <w:noProof/>
                <w:webHidden/>
              </w:rPr>
              <w:tab/>
            </w:r>
            <w:r w:rsidR="00852037">
              <w:rPr>
                <w:noProof/>
                <w:webHidden/>
              </w:rPr>
              <w:fldChar w:fldCharType="begin"/>
            </w:r>
            <w:r w:rsidR="00852037">
              <w:rPr>
                <w:noProof/>
                <w:webHidden/>
              </w:rPr>
              <w:instrText xml:space="preserve"> PAGEREF _Toc138809270 \h </w:instrText>
            </w:r>
            <w:r w:rsidR="00852037">
              <w:rPr>
                <w:noProof/>
                <w:webHidden/>
              </w:rPr>
            </w:r>
            <w:r w:rsidR="00852037">
              <w:rPr>
                <w:noProof/>
                <w:webHidden/>
              </w:rPr>
              <w:fldChar w:fldCharType="separate"/>
            </w:r>
            <w:r w:rsidR="00852037">
              <w:rPr>
                <w:noProof/>
                <w:webHidden/>
              </w:rPr>
              <w:t>3</w:t>
            </w:r>
            <w:r w:rsidR="00852037">
              <w:rPr>
                <w:noProof/>
                <w:webHidden/>
              </w:rPr>
              <w:fldChar w:fldCharType="end"/>
            </w:r>
          </w:hyperlink>
        </w:p>
        <w:p w14:paraId="499F168B" w14:textId="197886B4" w:rsidR="00852037" w:rsidRDefault="00000000">
          <w:pPr>
            <w:pStyle w:val="TOC2"/>
            <w:tabs>
              <w:tab w:val="right" w:leader="dot" w:pos="9350"/>
            </w:tabs>
            <w:rPr>
              <w:noProof/>
            </w:rPr>
          </w:pPr>
          <w:hyperlink w:anchor="_Toc138809271" w:history="1">
            <w:r w:rsidR="00852037" w:rsidRPr="00170091">
              <w:rPr>
                <w:rStyle w:val="Hyperlink"/>
                <w:noProof/>
              </w:rPr>
              <w:t>Conclusion</w:t>
            </w:r>
            <w:r w:rsidR="00852037">
              <w:rPr>
                <w:noProof/>
                <w:webHidden/>
              </w:rPr>
              <w:tab/>
            </w:r>
            <w:r w:rsidR="00852037">
              <w:rPr>
                <w:noProof/>
                <w:webHidden/>
              </w:rPr>
              <w:fldChar w:fldCharType="begin"/>
            </w:r>
            <w:r w:rsidR="00852037">
              <w:rPr>
                <w:noProof/>
                <w:webHidden/>
              </w:rPr>
              <w:instrText xml:space="preserve"> PAGEREF _Toc138809271 \h </w:instrText>
            </w:r>
            <w:r w:rsidR="00852037">
              <w:rPr>
                <w:noProof/>
                <w:webHidden/>
              </w:rPr>
            </w:r>
            <w:r w:rsidR="00852037">
              <w:rPr>
                <w:noProof/>
                <w:webHidden/>
              </w:rPr>
              <w:fldChar w:fldCharType="separate"/>
            </w:r>
            <w:r w:rsidR="00852037">
              <w:rPr>
                <w:noProof/>
                <w:webHidden/>
              </w:rPr>
              <w:t>6</w:t>
            </w:r>
            <w:r w:rsidR="00852037">
              <w:rPr>
                <w:noProof/>
                <w:webHidden/>
              </w:rPr>
              <w:fldChar w:fldCharType="end"/>
            </w:r>
          </w:hyperlink>
        </w:p>
        <w:p w14:paraId="7730A750" w14:textId="3EC7855E" w:rsidR="00852037" w:rsidRDefault="00000000">
          <w:pPr>
            <w:pStyle w:val="TOC2"/>
            <w:tabs>
              <w:tab w:val="right" w:leader="dot" w:pos="9350"/>
            </w:tabs>
            <w:rPr>
              <w:noProof/>
            </w:rPr>
          </w:pPr>
          <w:hyperlink w:anchor="_Toc138809272" w:history="1">
            <w:r w:rsidR="00852037" w:rsidRPr="00170091">
              <w:rPr>
                <w:rStyle w:val="Hyperlink"/>
                <w:noProof/>
              </w:rPr>
              <w:t>References:</w:t>
            </w:r>
            <w:r w:rsidR="00852037">
              <w:rPr>
                <w:noProof/>
                <w:webHidden/>
              </w:rPr>
              <w:tab/>
            </w:r>
            <w:r w:rsidR="00852037">
              <w:rPr>
                <w:noProof/>
                <w:webHidden/>
              </w:rPr>
              <w:fldChar w:fldCharType="begin"/>
            </w:r>
            <w:r w:rsidR="00852037">
              <w:rPr>
                <w:noProof/>
                <w:webHidden/>
              </w:rPr>
              <w:instrText xml:space="preserve"> PAGEREF _Toc138809272 \h </w:instrText>
            </w:r>
            <w:r w:rsidR="00852037">
              <w:rPr>
                <w:noProof/>
                <w:webHidden/>
              </w:rPr>
            </w:r>
            <w:r w:rsidR="00852037">
              <w:rPr>
                <w:noProof/>
                <w:webHidden/>
              </w:rPr>
              <w:fldChar w:fldCharType="separate"/>
            </w:r>
            <w:r w:rsidR="00852037">
              <w:rPr>
                <w:noProof/>
                <w:webHidden/>
              </w:rPr>
              <w:t>7</w:t>
            </w:r>
            <w:r w:rsidR="00852037">
              <w:rPr>
                <w:noProof/>
                <w:webHidden/>
              </w:rPr>
              <w:fldChar w:fldCharType="end"/>
            </w:r>
          </w:hyperlink>
        </w:p>
        <w:p w14:paraId="55149958" w14:textId="07542DE2" w:rsidR="00852037" w:rsidRDefault="00852037">
          <w:r>
            <w:rPr>
              <w:b/>
              <w:bCs/>
              <w:noProof/>
            </w:rPr>
            <w:fldChar w:fldCharType="end"/>
          </w:r>
        </w:p>
      </w:sdtContent>
    </w:sdt>
    <w:p w14:paraId="531195C1" w14:textId="77777777" w:rsidR="00852037" w:rsidRPr="00852037" w:rsidRDefault="00852037" w:rsidP="00852037">
      <w:pPr>
        <w:rPr>
          <w:color w:val="632423" w:themeColor="accent2" w:themeShade="80"/>
        </w:rPr>
      </w:pPr>
    </w:p>
    <w:p w14:paraId="0AF5159E" w14:textId="77777777" w:rsidR="00852037" w:rsidRDefault="00852037">
      <w:pPr>
        <w:spacing w:before="0" w:after="200" w:line="276" w:lineRule="auto"/>
        <w:jc w:val="left"/>
        <w:rPr>
          <w:b/>
          <w:bCs/>
          <w:i/>
          <w:iCs/>
          <w:color w:val="632423" w:themeColor="accent2" w:themeShade="80"/>
          <w:sz w:val="32"/>
          <w:szCs w:val="28"/>
          <w:u w:val="single"/>
        </w:rPr>
      </w:pPr>
      <w:r>
        <w:rPr>
          <w:b/>
          <w:bCs/>
          <w:i/>
          <w:iCs/>
          <w:color w:val="632423" w:themeColor="accent2" w:themeShade="80"/>
          <w:sz w:val="32"/>
          <w:szCs w:val="28"/>
          <w:u w:val="single"/>
        </w:rPr>
        <w:br w:type="page"/>
      </w:r>
    </w:p>
    <w:p w14:paraId="19D3FD96" w14:textId="64AAE3E1" w:rsidR="006820D8" w:rsidRPr="009570E6" w:rsidRDefault="006820D8" w:rsidP="009570E6">
      <w:pPr>
        <w:jc w:val="center"/>
        <w:rPr>
          <w:b/>
          <w:bCs/>
          <w:i/>
          <w:iCs/>
          <w:color w:val="632423" w:themeColor="accent2" w:themeShade="80"/>
          <w:sz w:val="32"/>
          <w:szCs w:val="28"/>
          <w:u w:val="single"/>
        </w:rPr>
      </w:pPr>
      <w:r w:rsidRPr="009570E6">
        <w:rPr>
          <w:b/>
          <w:bCs/>
          <w:i/>
          <w:iCs/>
          <w:color w:val="632423" w:themeColor="accent2" w:themeShade="80"/>
          <w:sz w:val="32"/>
          <w:szCs w:val="28"/>
          <w:u w:val="single"/>
        </w:rPr>
        <w:lastRenderedPageBreak/>
        <w:t>The English Legal System and Its Basis in Common Law Principles</w:t>
      </w:r>
    </w:p>
    <w:p w14:paraId="2298DEE0" w14:textId="2517C0A0" w:rsidR="00EE2C2B" w:rsidRDefault="006820D8" w:rsidP="00EE2C2B">
      <w:pPr>
        <w:pStyle w:val="Heading2"/>
      </w:pPr>
      <w:bookmarkStart w:id="0" w:name="_Toc138809269"/>
      <w:r>
        <w:t>Introduction</w:t>
      </w:r>
      <w:bookmarkEnd w:id="0"/>
      <w:r>
        <w:t xml:space="preserve"> </w:t>
      </w:r>
    </w:p>
    <w:p w14:paraId="5FD160EE" w14:textId="6CFB0F2E" w:rsidR="005A1F5A" w:rsidRPr="005A1F5A" w:rsidRDefault="005A1F5A" w:rsidP="005A1F5A">
      <w:r>
        <w:t>As observed by the International Committee of Jurists (ICLR, 2018), the common law system, which encompasses the English legal system, is founded on the principle of stare decisis, which means to "let the decision stand." This suggests that judicial rulings are influenced by legal precedents established in prior, analogous cases. The system in question possesses an inherent degree of flexibility that facilitates the ability of common law to adjust to new and unprecedented circumstances. The essay will investigate the proliferation of common law beyond its origins in England to various other legal systems across the globe, its progression throughout history, and its present condition. The essay will also explore practical applications of the English common law system and consider prospective ramifications for its longevity. The English legal system, a multifaceted and highly respected establishment, has indisputably played a pivotal role in the advancement of legal and societal progress worldwide.</w:t>
      </w:r>
    </w:p>
    <w:p w14:paraId="7D3BD766" w14:textId="7625F73D" w:rsidR="009570E6" w:rsidRPr="00EE2C2B" w:rsidRDefault="009570E6" w:rsidP="009570E6">
      <w:pPr>
        <w:pStyle w:val="Heading2"/>
      </w:pPr>
      <w:bookmarkStart w:id="1" w:name="_Toc138809270"/>
      <w:r>
        <w:t>Main Body</w:t>
      </w:r>
      <w:bookmarkEnd w:id="1"/>
    </w:p>
    <w:p w14:paraId="238B5758" w14:textId="1BBADACE" w:rsidR="000F1D20" w:rsidRDefault="005A1F5A" w:rsidP="0033526B">
      <w:r>
        <w:t>Judges continually adapt the common law system to new circumstances, causing it to change and develop through time. According to Berkeley Law (2017), common law and civil law are the two most prevalent legal systems worldwide. Common law relies heavily on the theory of precedent known as stare decisis to ensure uniformity in the administration of the law and increase public confidence in judicial rulings (</w:t>
      </w:r>
      <w:proofErr w:type="spellStart"/>
      <w:r>
        <w:t>Calabresi</w:t>
      </w:r>
      <w:proofErr w:type="spellEnd"/>
      <w:r>
        <w:t xml:space="preserve">, 2021). For the law to constantly develop, precedents must be interpreted and applied by judges to new situations. </w:t>
      </w:r>
      <w:r w:rsidR="000F1D20" w:rsidRPr="000F1D20">
        <w:t xml:space="preserve">A court's decision is like the drafting of new law. In future instances involving the same facts, the judge's ruling is final as well as cannot be appealed. </w:t>
      </w:r>
      <w:r w:rsidR="000F1D20">
        <w:t xml:space="preserve"> </w:t>
      </w:r>
      <w:r w:rsidR="000F1D20" w:rsidRPr="000F1D20">
        <w:t>This suggests that judges cannot just create their own set of rules on the fly. They must follow the precedents that have been set by previous decisions (ICLR, 2018). Precedent has its advantages and disadvantages. One advantage is that it contributes to a more uniform and transparent legal framework, which is good for consumers and entrepreneurs alike. But there are many who think the rigidity of precedent limits the evolution of the law. The common law system is complex and always developing. Common law is based on the principle of precedent, which has both positive and negative aspects.</w:t>
      </w:r>
    </w:p>
    <w:p w14:paraId="3BDCDA17" w14:textId="49EE9412" w:rsidR="005F5C52" w:rsidRDefault="005F5C52" w:rsidP="00C80C56">
      <w:r w:rsidRPr="005F5C52">
        <w:lastRenderedPageBreak/>
        <w:t>Civil law is a legal framework that is predominantly observed in nations like France, Germany, and Italy. This system is based on extensive legal codes that are established by the legislative body</w:t>
      </w:r>
      <w:r w:rsidR="00240EF7">
        <w:t xml:space="preserve"> </w:t>
      </w:r>
      <w:r w:rsidR="00240EF7" w:rsidRPr="00240EF7">
        <w:t xml:space="preserve">(Uwe </w:t>
      </w:r>
      <w:proofErr w:type="spellStart"/>
      <w:r w:rsidR="00240EF7" w:rsidRPr="00240EF7">
        <w:t>Kischel</w:t>
      </w:r>
      <w:proofErr w:type="spellEnd"/>
      <w:r w:rsidR="00240EF7" w:rsidRPr="00240EF7">
        <w:t>, 2019)</w:t>
      </w:r>
      <w:r w:rsidRPr="005F5C52">
        <w:t xml:space="preserve">. The codes systematically list the rights and obligations of both individuals and entities, thereby establishing a more structured legal framework in contrast to common law, which draws upon prior judicial decisions. </w:t>
      </w:r>
      <w:r w:rsidR="000F1D20" w:rsidRPr="000F1D20">
        <w:t>According to Berkeley Law (2017), under civil law systems, judges oversee both interpreting and enforcing the law. It's important to remember that precedent is given less weight in these systems (Llewellyn, 2016). In contrast to their common law colleagues, judges in a civil law jurisdiction are not constrained by the precedents set in previous cases. One of the best examples of a civil law system is France's, which is founded on the Napoleonic Code of 1804. Since criminal trials in France do not include a jury, the judges hearing the cases have wide latitude to interpret the law as they see fit. Common law as well as civil law regimes have completely distinct judicial responsibilities and procedures.</w:t>
      </w:r>
    </w:p>
    <w:p w14:paraId="014B65C7" w14:textId="7D067EB7" w:rsidR="003F7A8B" w:rsidRDefault="00BB261C" w:rsidP="007F205F">
      <w:r w:rsidRPr="00BB261C">
        <w:t xml:space="preserve">The principle of stare decisis, or "standing by things what have already been decided" (Rai, 2021), is the foundation of common law systems. This means that judges are bound by the decisions of other courts in comparable circumstances. Judges in common law regimes have discretion to adapt the law to changing circumstances. Since a judge's interpretation of the law might affect the outcome of a case, this can make the law less stable (Wilcox, 2009). In contrast, the rule of law is codified in civil law systems. </w:t>
      </w:r>
      <w:r>
        <w:t xml:space="preserve"> </w:t>
      </w:r>
      <w:r w:rsidR="003F7A8B" w:rsidRPr="003F7A8B">
        <w:t>This indicates that legislation is codified and that judges must adhere to the statutes. Statutes make civil law processes more predictable and reliable, as the law is explicitly stated</w:t>
      </w:r>
      <w:r w:rsidR="00240EF7">
        <w:t xml:space="preserve"> </w:t>
      </w:r>
      <w:r w:rsidR="00240EF7" w:rsidRPr="00240EF7">
        <w:t xml:space="preserve">(Uwe </w:t>
      </w:r>
      <w:proofErr w:type="spellStart"/>
      <w:r w:rsidR="00240EF7" w:rsidRPr="00240EF7">
        <w:t>Kischel</w:t>
      </w:r>
      <w:proofErr w:type="spellEnd"/>
      <w:r w:rsidR="00240EF7" w:rsidRPr="00240EF7">
        <w:t>, 2019)</w:t>
      </w:r>
      <w:r w:rsidR="003F7A8B" w:rsidRPr="003F7A8B">
        <w:t>. However, this can also make the structure less responsive to the demands of society, as changing the law can be tough.</w:t>
      </w:r>
      <w:r w:rsidR="002553B6">
        <w:t xml:space="preserve"> </w:t>
      </w:r>
      <w:r w:rsidR="003F7A8B" w:rsidRPr="003F7A8B">
        <w:t>Common law legal systems are preferred because of their adaptability and versatility, and because the courts play a crucial role in both legal interpretation and application</w:t>
      </w:r>
      <w:r w:rsidR="00240EF7">
        <w:t xml:space="preserve"> </w:t>
      </w:r>
      <w:r w:rsidR="00240EF7" w:rsidRPr="00240EF7">
        <w:t>(Berkeley Law, 2017)</w:t>
      </w:r>
      <w:r w:rsidR="003F7A8B" w:rsidRPr="003F7A8B">
        <w:t>. For the sake of society as a whole and individual situations alike, this can make the system more adaptable and just</w:t>
      </w:r>
      <w:r w:rsidR="00240EF7">
        <w:t xml:space="preserve"> </w:t>
      </w:r>
      <w:r w:rsidR="00240EF7" w:rsidRPr="00240EF7">
        <w:t>(Rai, 2021)</w:t>
      </w:r>
      <w:r w:rsidR="003F7A8B" w:rsidRPr="003F7A8B">
        <w:t>.  Predictability and certainty are two of the many benefits of civil law systems, as is the fact that the law is explicitly laid down in laws. This has the potential to improve access to services and promote equality throughout the system.</w:t>
      </w:r>
    </w:p>
    <w:p w14:paraId="188A2913" w14:textId="4B679070" w:rsidR="00925932" w:rsidRDefault="00FC5D6C" w:rsidP="0033526B">
      <w:r w:rsidRPr="00FC5D6C">
        <w:t xml:space="preserve">The origins of common law can be traced back to mediaeval England </w:t>
      </w:r>
      <w:r w:rsidR="00240EF7" w:rsidRPr="00FC5D6C">
        <w:t>after</w:t>
      </w:r>
      <w:r w:rsidRPr="00FC5D6C">
        <w:t xml:space="preserve"> the Norman invasion during the 11th century. The establishment of royal courts led to the gradual development of a legal system based on custom as well as precedent, which is commonly referred to as the common law</w:t>
      </w:r>
      <w:r w:rsidR="002553B6">
        <w:rPr>
          <w:noProof/>
        </w:rPr>
        <w:t xml:space="preserve"> </w:t>
      </w:r>
      <w:r w:rsidR="002553B6">
        <w:rPr>
          <w:noProof/>
        </w:rPr>
        <w:lastRenderedPageBreak/>
        <w:t>(Hale, 2012)</w:t>
      </w:r>
      <w:r w:rsidRPr="00FC5D6C">
        <w:t>. By the 17th century, this legal system had gained prominence and established dominance in England</w:t>
      </w:r>
      <w:r w:rsidR="00240EF7">
        <w:t xml:space="preserve"> </w:t>
      </w:r>
      <w:r w:rsidR="00240EF7" w:rsidRPr="00240EF7">
        <w:t>(Jstor.org, 2015)</w:t>
      </w:r>
      <w:r w:rsidRPr="00FC5D6C">
        <w:t>. The reach of its impact was extended when American settlers introduced it to the New World, thereby making a significant contribution to its evolution</w:t>
      </w:r>
      <w:r w:rsidR="002553B6">
        <w:t xml:space="preserve"> </w:t>
      </w:r>
      <w:r w:rsidR="002553B6" w:rsidRPr="002553B6">
        <w:t>(</w:t>
      </w:r>
      <w:proofErr w:type="spellStart"/>
      <w:r w:rsidR="002553B6" w:rsidRPr="002553B6">
        <w:t>Calabresi</w:t>
      </w:r>
      <w:proofErr w:type="spellEnd"/>
      <w:r w:rsidR="002553B6" w:rsidRPr="002553B6">
        <w:t>, 2021)</w:t>
      </w:r>
      <w:r w:rsidRPr="00FC5D6C">
        <w:t>.</w:t>
      </w:r>
      <w:r w:rsidR="002553B6">
        <w:t xml:space="preserve"> </w:t>
      </w:r>
      <w:r w:rsidRPr="00FC5D6C">
        <w:t>A major turning point in the development of common law occurred in 1215 with the signing of the Magna Carta. Due process, established in this landmark structure, guarantees that no one may be denied their rights without first receiving a fair trial</w:t>
      </w:r>
      <w:r w:rsidR="002553B6">
        <w:t xml:space="preserve">. </w:t>
      </w:r>
      <w:r w:rsidRPr="00FC5D6C">
        <w:t xml:space="preserve">In 1610, the </w:t>
      </w:r>
      <w:proofErr w:type="spellStart"/>
      <w:r w:rsidRPr="00FC5D6C">
        <w:t>Dr.</w:t>
      </w:r>
      <w:proofErr w:type="spellEnd"/>
      <w:r w:rsidRPr="00FC5D6C">
        <w:t xml:space="preserve"> Bonham case was another turning point. When an act of Parliament conflicts with the common law, the English Court of King's Bench has held that both can be nullified</w:t>
      </w:r>
      <w:r w:rsidR="002553B6">
        <w:rPr>
          <w:noProof/>
        </w:rPr>
        <w:t xml:space="preserve"> (Baker, 2019)</w:t>
      </w:r>
      <w:r w:rsidRPr="00FC5D6C">
        <w:t>. This case laid the groundwork for a central concept of the British constitution</w:t>
      </w:r>
      <w:r w:rsidR="00925932">
        <w:t xml:space="preserve"> </w:t>
      </w:r>
      <w:r w:rsidRPr="00FC5D6C">
        <w:t>the primacy of common law above statutes and acts of Parliament.</w:t>
      </w:r>
      <w:r w:rsidR="00925932">
        <w:t xml:space="preserve"> </w:t>
      </w:r>
      <w:r w:rsidR="005F02A3">
        <w:t xml:space="preserve">Common law </w:t>
      </w:r>
      <w:r w:rsidR="00925932">
        <w:t>expands</w:t>
      </w:r>
      <w:r w:rsidR="005F02A3">
        <w:t xml:space="preserve"> to other regions through British colonization, encompassing nations such as the United States, Canada, Australia, as well as India. Even non-British</w:t>
      </w:r>
      <w:r w:rsidR="00925932">
        <w:t xml:space="preserve"> colonized countries like South Africa and Israel embrace the common law approaches</w:t>
      </w:r>
      <w:r w:rsidR="002553B6">
        <w:rPr>
          <w:noProof/>
        </w:rPr>
        <w:t xml:space="preserve"> (Baker, 2019)</w:t>
      </w:r>
      <w:r w:rsidR="00925932">
        <w:t>.</w:t>
      </w:r>
    </w:p>
    <w:p w14:paraId="737E1D9E" w14:textId="2CF45823" w:rsidR="006820D8" w:rsidRPr="002553B6" w:rsidRDefault="006820D8" w:rsidP="002553B6">
      <w:pPr>
        <w:rPr>
          <w:b/>
          <w:bCs/>
        </w:rPr>
      </w:pPr>
      <w:r w:rsidRPr="002553B6">
        <w:rPr>
          <w:b/>
          <w:bCs/>
        </w:rPr>
        <w:t>Examples of Common Law in Practice</w:t>
      </w:r>
    </w:p>
    <w:p w14:paraId="3714A213" w14:textId="6B1E89F9" w:rsidR="00925932" w:rsidRPr="002553B6" w:rsidRDefault="00EE2C2B" w:rsidP="00EE2C2B">
      <w:pPr>
        <w:rPr>
          <w:b/>
          <w:bCs/>
        </w:rPr>
      </w:pPr>
      <w:r w:rsidRPr="002553B6">
        <w:rPr>
          <w:b/>
          <w:bCs/>
        </w:rPr>
        <w:t>The case of Donoghue v. Stevenson (1932)</w:t>
      </w:r>
      <w:r w:rsidR="002553B6">
        <w:rPr>
          <w:b/>
          <w:bCs/>
        </w:rPr>
        <w:t xml:space="preserve">: </w:t>
      </w:r>
      <w:r w:rsidR="00925932" w:rsidRPr="00925932">
        <w:t>The present case involves the consumption of a bottle of ginger beer by a woman named Donoghue, which was found to be contaminated with the decomposed remains of a snail. Following her illness, she initiated legal proceedings against the manufacturer of the ginger beer. The legal matter was brought before the House of Lords, which rendered a verdict that held the manufacturer accountable for the injuries sustained by Donoghue</w:t>
      </w:r>
      <w:r w:rsidR="002553B6">
        <w:rPr>
          <w:noProof/>
        </w:rPr>
        <w:t xml:space="preserve"> (Abhyuday, 2021)</w:t>
      </w:r>
      <w:r w:rsidR="00925932" w:rsidRPr="00925932">
        <w:t xml:space="preserve">. </w:t>
      </w:r>
      <w:r w:rsidR="00BB261C" w:rsidRPr="00BB261C">
        <w:t>This judgement was taken even though the ginger beer's maker did not act carelessly in any way. Although there was no explicit contract between the two parties, the court found that the manufacturer nonetheless owed Donoghue a duty of reasonable care (Baker, 2019). This case shows that distinctive legal theories can be developed with the use of the common law (</w:t>
      </w:r>
      <w:proofErr w:type="spellStart"/>
      <w:r w:rsidR="00BB261C" w:rsidRPr="00BB261C">
        <w:t>Abhyuday</w:t>
      </w:r>
      <w:proofErr w:type="spellEnd"/>
      <w:r w:rsidR="00BB261C" w:rsidRPr="00BB261C">
        <w:t xml:space="preserve">, 2021). </w:t>
      </w:r>
      <w:r w:rsidR="00925932" w:rsidRPr="00925932">
        <w:t>The legal precedent set forth by the Donoghue v. Stevenson case dictates that a manufacturer may be held accountable for the foreseeable outcomes of their negligent actions, irrespective of their lack of intention to inflict harm.</w:t>
      </w:r>
    </w:p>
    <w:p w14:paraId="62AB3DD0" w14:textId="77777777" w:rsidR="002553B6" w:rsidRDefault="002553B6" w:rsidP="00EE2C2B">
      <w:pPr>
        <w:rPr>
          <w:b/>
          <w:bCs/>
        </w:rPr>
      </w:pPr>
    </w:p>
    <w:p w14:paraId="65678419" w14:textId="6EC27B1E" w:rsidR="00240EF7" w:rsidRPr="002553B6" w:rsidRDefault="00EE2C2B" w:rsidP="00EE2C2B">
      <w:pPr>
        <w:rPr>
          <w:b/>
          <w:bCs/>
        </w:rPr>
      </w:pPr>
      <w:r w:rsidRPr="00EE2C2B">
        <w:rPr>
          <w:b/>
          <w:bCs/>
        </w:rPr>
        <w:lastRenderedPageBreak/>
        <w:t>The case of R. v. R. (1991</w:t>
      </w:r>
      <w:r w:rsidR="00BB261C" w:rsidRPr="00EE2C2B">
        <w:rPr>
          <w:b/>
          <w:bCs/>
        </w:rPr>
        <w:t>)</w:t>
      </w:r>
      <w:r w:rsidR="00BB261C">
        <w:rPr>
          <w:b/>
          <w:bCs/>
        </w:rPr>
        <w:t>:</w:t>
      </w:r>
      <w:r w:rsidR="002553B6">
        <w:rPr>
          <w:b/>
          <w:bCs/>
        </w:rPr>
        <w:t xml:space="preserve"> </w:t>
      </w:r>
      <w:r w:rsidR="002553B6">
        <w:t>H</w:t>
      </w:r>
      <w:r w:rsidR="00925932">
        <w:t xml:space="preserve">ere a husband was </w:t>
      </w:r>
      <w:r w:rsidR="00240EF7">
        <w:t>accused with raping his wife. The husband claimed that he could not be guilty about rape, because his wife had agreed to the sex. The court opposed his claimed, because a wife cannot consent to sex with her husband, maybe she is not able to give a consent</w:t>
      </w:r>
      <w:r w:rsidR="002553B6">
        <w:t xml:space="preserve"> </w:t>
      </w:r>
      <w:r w:rsidR="002553B6" w:rsidRPr="002553B6">
        <w:t>(</w:t>
      </w:r>
      <w:proofErr w:type="spellStart"/>
      <w:r w:rsidR="002553B6" w:rsidRPr="002553B6">
        <w:t>vLex</w:t>
      </w:r>
      <w:proofErr w:type="spellEnd"/>
      <w:r w:rsidR="002553B6" w:rsidRPr="002553B6">
        <w:t>, 2013)</w:t>
      </w:r>
      <w:r w:rsidR="00240EF7">
        <w:t xml:space="preserve">. </w:t>
      </w:r>
      <w:r w:rsidR="00240EF7" w:rsidRPr="00240EF7">
        <w:t>In this situation, the common law has the potential to influence public opinion. The decision in R. v. R. helped shift public opinion by establishing that rape within a marriage constituted a form of violence against women</w:t>
      </w:r>
      <w:r w:rsidR="002553B6">
        <w:t xml:space="preserve"> </w:t>
      </w:r>
      <w:r w:rsidR="002553B6" w:rsidRPr="002553B6">
        <w:t>(</w:t>
      </w:r>
      <w:proofErr w:type="spellStart"/>
      <w:r w:rsidR="002553B6" w:rsidRPr="002553B6">
        <w:t>Calabresi</w:t>
      </w:r>
      <w:proofErr w:type="spellEnd"/>
      <w:r w:rsidR="002553B6" w:rsidRPr="002553B6">
        <w:t>, 2021)</w:t>
      </w:r>
      <w:r w:rsidR="00240EF7" w:rsidRPr="00240EF7">
        <w:t>. The decision significantly influenced the law of rape and aided in protecting women from sexual abuse. These are only two instances of the English legal system's common law in operation. The common law is an adaptable legal framework that may be utilised to deal with novel situations and shifting societal norms.</w:t>
      </w:r>
    </w:p>
    <w:p w14:paraId="3DC7927B" w14:textId="4D3CC854" w:rsidR="006820D8" w:rsidRDefault="006820D8" w:rsidP="006820D8">
      <w:pPr>
        <w:pStyle w:val="Heading2"/>
      </w:pPr>
      <w:bookmarkStart w:id="2" w:name="_Toc138809271"/>
      <w:r>
        <w:t>Conclusion</w:t>
      </w:r>
      <w:bookmarkEnd w:id="2"/>
      <w:r>
        <w:t xml:space="preserve"> </w:t>
      </w:r>
    </w:p>
    <w:p w14:paraId="4E435491" w14:textId="602AE211" w:rsidR="009570E6" w:rsidRDefault="00240EF7" w:rsidP="00240EF7">
      <w:pPr>
        <w:spacing w:before="0" w:after="200"/>
      </w:pPr>
      <w:r w:rsidRPr="00240EF7">
        <w:t>The common law system, which has its origins in centuries of English legal history, is very dynamic and adaptable, and hence has a huge impact on legal landscapes across the world. The idea of stare decisis allows common law to adapt to changing social norms while maintaining a consistent body of precedent. When compared to civil law, common law's adaptability stands out in stark contrast to civil law's rigors codification. Common law may create new concepts, address societal concerns, and modify attitudes, as seen by landmark decisions like Donoghue v. Stevenson and R. v. R. It is therefore essential to maintain this complex legal framework to effectively administer justice and adapt to shifting social norms.</w:t>
      </w:r>
      <w:r w:rsidR="009570E6">
        <w:br w:type="page"/>
      </w:r>
    </w:p>
    <w:p w14:paraId="6F5AD129" w14:textId="163B24AB" w:rsidR="009570E6" w:rsidRDefault="009570E6" w:rsidP="009570E6">
      <w:pPr>
        <w:pStyle w:val="Heading2"/>
      </w:pPr>
      <w:bookmarkStart w:id="3" w:name="_Toc138809272"/>
      <w:r>
        <w:lastRenderedPageBreak/>
        <w:t>References:</w:t>
      </w:r>
      <w:bookmarkEnd w:id="3"/>
    </w:p>
    <w:p w14:paraId="27494304" w14:textId="475B4A0C" w:rsidR="002553B6" w:rsidRDefault="002553B6" w:rsidP="00C35968">
      <w:r w:rsidRPr="00C35968">
        <w:t xml:space="preserve"> </w:t>
      </w:r>
      <w:proofErr w:type="spellStart"/>
      <w:r w:rsidRPr="00C35968">
        <w:t>Calabresi</w:t>
      </w:r>
      <w:proofErr w:type="spellEnd"/>
      <w:r w:rsidRPr="00C35968">
        <w:t>, S.G. (2021). The Common Law Legal Tradition: First Things First. [online] pp.15-</w:t>
      </w:r>
      <w:r>
        <w:t xml:space="preserve"> C1.N15.</w:t>
      </w:r>
      <w:r w:rsidRPr="00C35968">
        <w:t xml:space="preserve"> </w:t>
      </w:r>
      <w:proofErr w:type="spellStart"/>
      <w:r w:rsidRPr="00C35968">
        <w:t>doi</w:t>
      </w:r>
      <w:proofErr w:type="spellEnd"/>
      <w:r w:rsidRPr="00C35968">
        <w:t xml:space="preserve">: </w:t>
      </w:r>
      <w:hyperlink r:id="rId8" w:history="1">
        <w:r w:rsidRPr="008A08A2">
          <w:rPr>
            <w:rStyle w:val="Hyperlink"/>
          </w:rPr>
          <w:t>https://doi.org/10.1093/oso/9780190075774.003.0002</w:t>
        </w:r>
      </w:hyperlink>
      <w:r w:rsidRPr="00C35968">
        <w:t>.</w:t>
      </w:r>
    </w:p>
    <w:p w14:paraId="409CC9D8" w14:textId="5ADB7DCD" w:rsidR="002553B6" w:rsidRDefault="002553B6" w:rsidP="00C35968">
      <w:r w:rsidRPr="00C35968">
        <w:t xml:space="preserve">‌Jstor.org. (2015). Law, Liberty and the Constitution: A Brief History of the Common Law on JSTOR. [online] Available at: </w:t>
      </w:r>
      <w:hyperlink r:id="rId9" w:history="1">
        <w:r w:rsidRPr="008A08A2">
          <w:rPr>
            <w:rStyle w:val="Hyperlink"/>
          </w:rPr>
          <w:t>https://www.jstor.org/stable/10.7722/j.ctt9qdmjr</w:t>
        </w:r>
      </w:hyperlink>
    </w:p>
    <w:p w14:paraId="59F831B1" w14:textId="77777777" w:rsidR="002553B6" w:rsidRDefault="002553B6" w:rsidP="00C35968">
      <w:proofErr w:type="spellStart"/>
      <w:r w:rsidRPr="00F20FF0">
        <w:t>Abhyuday</w:t>
      </w:r>
      <w:proofErr w:type="spellEnd"/>
      <w:r w:rsidRPr="00F20FF0">
        <w:t>, 2021. Donoghue vs Stevenson. Jus Corpus LJ, 2, p.97.</w:t>
      </w:r>
    </w:p>
    <w:p w14:paraId="2197456B" w14:textId="77777777" w:rsidR="002553B6" w:rsidRDefault="002553B6" w:rsidP="009570E6">
      <w:r w:rsidRPr="00A1431E">
        <w:t>Baker, J.H., 2019. An introduction to English legal history. Oxford University Press.</w:t>
      </w:r>
    </w:p>
    <w:p w14:paraId="434EE5D9" w14:textId="77777777" w:rsidR="002553B6" w:rsidRDefault="002553B6" w:rsidP="00A1431E">
      <w:r>
        <w:t xml:space="preserve">Berkeley Law (2017). THE COMMON LAW AND CIVIL LAW TRADITIONS. [online] Available at: </w:t>
      </w:r>
      <w:hyperlink r:id="rId10" w:history="1">
        <w:r w:rsidRPr="008A08A2">
          <w:rPr>
            <w:rStyle w:val="Hyperlink"/>
          </w:rPr>
          <w:t>https://www.law.berkeley.edu/wp-content/uploads/2017/11/CommonLawCivilLawTraditions.pdf</w:t>
        </w:r>
      </w:hyperlink>
      <w:r>
        <w:t>.</w:t>
      </w:r>
    </w:p>
    <w:p w14:paraId="44D496B7" w14:textId="77777777" w:rsidR="002553B6" w:rsidRPr="00C35968" w:rsidRDefault="002553B6" w:rsidP="00E50A08">
      <w:r w:rsidRPr="00C35968">
        <w:t xml:space="preserve">Hale, M., </w:t>
      </w:r>
      <w:r>
        <w:t>201</w:t>
      </w:r>
      <w:r w:rsidRPr="00C35968">
        <w:t>2. The history of the common law. James Moore, 45, College-Green.</w:t>
      </w:r>
    </w:p>
    <w:p w14:paraId="2AA6BF00" w14:textId="77777777" w:rsidR="002553B6" w:rsidRDefault="002553B6" w:rsidP="00A1431E">
      <w:r>
        <w:t>ICLR. (2018). The English legal system - ICLR. [online] Available at: https://www.iclr.co.uk/knowledge/topics/the-english-legal-system/</w:t>
      </w:r>
    </w:p>
    <w:p w14:paraId="323AE2CE" w14:textId="77777777" w:rsidR="002553B6" w:rsidRDefault="002553B6" w:rsidP="00E50A08">
      <w:r w:rsidRPr="00E50A08">
        <w:t xml:space="preserve">Rai, D. (2021). A comparison between civil law countries and common law countries - </w:t>
      </w:r>
      <w:proofErr w:type="spellStart"/>
      <w:r w:rsidRPr="00E50A08">
        <w:t>iPleaders</w:t>
      </w:r>
      <w:proofErr w:type="spellEnd"/>
      <w:r w:rsidRPr="00E50A08">
        <w:t xml:space="preserve">. [online] </w:t>
      </w:r>
      <w:proofErr w:type="spellStart"/>
      <w:r w:rsidRPr="00E50A08">
        <w:t>iPleaders</w:t>
      </w:r>
      <w:proofErr w:type="spellEnd"/>
      <w:r w:rsidRPr="00E50A08">
        <w:t xml:space="preserve">. Available at: </w:t>
      </w:r>
      <w:hyperlink r:id="rId11" w:history="1">
        <w:r w:rsidRPr="008A08A2">
          <w:rPr>
            <w:rStyle w:val="Hyperlink"/>
          </w:rPr>
          <w:t>https://blog.ipleaders.in/a-comparison-between-civil-law-countries-and-common-law-countries/</w:t>
        </w:r>
      </w:hyperlink>
    </w:p>
    <w:p w14:paraId="181BD886" w14:textId="77777777" w:rsidR="002553B6" w:rsidRDefault="002553B6" w:rsidP="00A1431E">
      <w:r>
        <w:t xml:space="preserve">Uwe </w:t>
      </w:r>
      <w:proofErr w:type="spellStart"/>
      <w:r>
        <w:t>Kischel</w:t>
      </w:r>
      <w:proofErr w:type="spellEnd"/>
      <w:r>
        <w:t xml:space="preserve"> (2019). The Basic Context of Civil Law. [online] pp.359–516. </w:t>
      </w:r>
      <w:proofErr w:type="spellStart"/>
      <w:r>
        <w:t>doi</w:t>
      </w:r>
      <w:proofErr w:type="spellEnd"/>
      <w:r>
        <w:t xml:space="preserve">: </w:t>
      </w:r>
      <w:hyperlink r:id="rId12" w:history="1">
        <w:r w:rsidRPr="008A08A2">
          <w:rPr>
            <w:rStyle w:val="Hyperlink"/>
          </w:rPr>
          <w:t>https://doi.org/10.1093/oso/9780198791355.003.0006</w:t>
        </w:r>
      </w:hyperlink>
      <w:r>
        <w:t>.</w:t>
      </w:r>
    </w:p>
    <w:p w14:paraId="7F4E3E6E" w14:textId="77777777" w:rsidR="002553B6" w:rsidRDefault="002553B6" w:rsidP="006D2085">
      <w:proofErr w:type="spellStart"/>
      <w:r>
        <w:t>vLex</w:t>
      </w:r>
      <w:proofErr w:type="spellEnd"/>
      <w:r>
        <w:t xml:space="preserve">. (2013). R v R [1991]. [online] Available at: </w:t>
      </w:r>
      <w:hyperlink r:id="rId13" w:history="1">
        <w:r w:rsidRPr="008A08A2">
          <w:rPr>
            <w:rStyle w:val="Hyperlink"/>
          </w:rPr>
          <w:t>https://vlex.co.uk/vid/r-v-r-1991-792746197</w:t>
        </w:r>
      </w:hyperlink>
    </w:p>
    <w:p w14:paraId="77BDF32D" w14:textId="77777777" w:rsidR="002553B6" w:rsidRPr="00E50A08" w:rsidRDefault="002553B6" w:rsidP="00A1431E">
      <w:r w:rsidRPr="00E50A08">
        <w:t>Wilcox, V. ed., 2009. Punitive damages: Common law and civil law perspectives (Vol. 25). Vienna/New York: Springer.</w:t>
      </w:r>
    </w:p>
    <w:p w14:paraId="2C87F635" w14:textId="7C0D8F95" w:rsidR="00C35968" w:rsidRPr="00970E29" w:rsidRDefault="006D2085" w:rsidP="00C35968">
      <w:r>
        <w:t>‌</w:t>
      </w:r>
    </w:p>
    <w:p w14:paraId="0ADCB042" w14:textId="76FD2D49" w:rsidR="00A1431E" w:rsidRPr="00C35968" w:rsidRDefault="00C35968" w:rsidP="00C35968">
      <w:r w:rsidRPr="00C35968">
        <w:rPr>
          <w:b/>
          <w:bCs/>
        </w:rPr>
        <w:lastRenderedPageBreak/>
        <w:t>‌</w:t>
      </w:r>
    </w:p>
    <w:p w14:paraId="4FB4BEEF" w14:textId="4F628115" w:rsidR="00A1431E" w:rsidRPr="00A1431E" w:rsidRDefault="00A1431E" w:rsidP="00A1431E">
      <w:pPr>
        <w:rPr>
          <w:b/>
          <w:bCs/>
        </w:rPr>
      </w:pPr>
      <w:r w:rsidRPr="00A1431E">
        <w:rPr>
          <w:b/>
          <w:bCs/>
        </w:rPr>
        <w:t>‌</w:t>
      </w:r>
    </w:p>
    <w:p w14:paraId="06941022" w14:textId="77777777" w:rsidR="00A1431E" w:rsidRDefault="00A1431E" w:rsidP="00A1431E"/>
    <w:p w14:paraId="7CE9F725" w14:textId="77777777" w:rsidR="00A1431E" w:rsidRDefault="00A1431E" w:rsidP="00A1431E"/>
    <w:p w14:paraId="672911A0" w14:textId="36BB3184" w:rsidR="00A1431E" w:rsidRPr="00A1431E" w:rsidRDefault="00A1431E" w:rsidP="00A1431E">
      <w:r>
        <w:t>‌</w:t>
      </w:r>
    </w:p>
    <w:p w14:paraId="4BC47BE7" w14:textId="77777777" w:rsidR="00A1431E" w:rsidRDefault="00A1431E" w:rsidP="00A1431E"/>
    <w:p w14:paraId="63726D45" w14:textId="4BD23B23" w:rsidR="00A1431E" w:rsidRDefault="00A1431E" w:rsidP="00A1431E">
      <w:r>
        <w:t>‌</w:t>
      </w:r>
    </w:p>
    <w:p w14:paraId="66B478FB" w14:textId="37D6CEC7" w:rsidR="00A1431E" w:rsidRPr="009570E6" w:rsidRDefault="00A1431E" w:rsidP="00A1431E">
      <w:r>
        <w:t>‌</w:t>
      </w:r>
    </w:p>
    <w:p w14:paraId="5CD4F85A" w14:textId="77777777" w:rsidR="00417C01" w:rsidRDefault="00417C01" w:rsidP="00417C01"/>
    <w:p w14:paraId="71487D84" w14:textId="77777777" w:rsidR="00417C01" w:rsidRDefault="00417C01" w:rsidP="00417C01"/>
    <w:p w14:paraId="05043595" w14:textId="77777777" w:rsidR="00417C01" w:rsidRDefault="00417C01" w:rsidP="00417C01"/>
    <w:p w14:paraId="30C99ADB" w14:textId="77777777" w:rsidR="00245928" w:rsidRDefault="00245928" w:rsidP="00CF1887"/>
    <w:p w14:paraId="4C422D0A" w14:textId="77777777" w:rsidR="00245928" w:rsidRDefault="00245928" w:rsidP="00CF1887"/>
    <w:p w14:paraId="5D216FFE" w14:textId="77777777" w:rsidR="00245928" w:rsidRDefault="00245928" w:rsidP="00CF1887"/>
    <w:p w14:paraId="2BE3C32C" w14:textId="77777777" w:rsidR="00245928" w:rsidRDefault="00245928" w:rsidP="00CF1887"/>
    <w:p w14:paraId="6BE4EE4F" w14:textId="77777777" w:rsidR="00245928" w:rsidRDefault="00245928" w:rsidP="00CF1887"/>
    <w:p w14:paraId="2769504B" w14:textId="77777777" w:rsidR="00245928" w:rsidRPr="00CF1887" w:rsidRDefault="00245928" w:rsidP="00CF1887"/>
    <w:sectPr w:rsidR="00245928" w:rsidRPr="00CF188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80710" w14:textId="77777777" w:rsidR="00F37C21" w:rsidRDefault="00F37C21" w:rsidP="009570E6">
      <w:pPr>
        <w:spacing w:before="0" w:after="0" w:line="240" w:lineRule="auto"/>
      </w:pPr>
      <w:r>
        <w:separator/>
      </w:r>
    </w:p>
  </w:endnote>
  <w:endnote w:type="continuationSeparator" w:id="0">
    <w:p w14:paraId="5625047E" w14:textId="77777777" w:rsidR="00F37C21" w:rsidRDefault="00F37C21" w:rsidP="009570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802519"/>
      <w:docPartObj>
        <w:docPartGallery w:val="Page Numbers (Bottom of Page)"/>
        <w:docPartUnique/>
      </w:docPartObj>
    </w:sdtPr>
    <w:sdtEndPr>
      <w:rPr>
        <w:noProof/>
      </w:rPr>
    </w:sdtEndPr>
    <w:sdtContent>
      <w:p w14:paraId="3A73B04A" w14:textId="1D7C73AD" w:rsidR="009570E6" w:rsidRDefault="009570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8A305" w14:textId="77777777" w:rsidR="009570E6" w:rsidRDefault="00957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EBD59" w14:textId="77777777" w:rsidR="00F37C21" w:rsidRDefault="00F37C21" w:rsidP="009570E6">
      <w:pPr>
        <w:spacing w:before="0" w:after="0" w:line="240" w:lineRule="auto"/>
      </w:pPr>
      <w:r>
        <w:separator/>
      </w:r>
    </w:p>
  </w:footnote>
  <w:footnote w:type="continuationSeparator" w:id="0">
    <w:p w14:paraId="204B5480" w14:textId="77777777" w:rsidR="00F37C21" w:rsidRDefault="00F37C21" w:rsidP="009570E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887"/>
    <w:rsid w:val="000F1D20"/>
    <w:rsid w:val="001C7E66"/>
    <w:rsid w:val="00240EF7"/>
    <w:rsid w:val="00245928"/>
    <w:rsid w:val="00246190"/>
    <w:rsid w:val="002553B6"/>
    <w:rsid w:val="002B07CB"/>
    <w:rsid w:val="0033526B"/>
    <w:rsid w:val="0035165C"/>
    <w:rsid w:val="003A1130"/>
    <w:rsid w:val="003B7754"/>
    <w:rsid w:val="003F7A8B"/>
    <w:rsid w:val="00407808"/>
    <w:rsid w:val="00417C01"/>
    <w:rsid w:val="004615D2"/>
    <w:rsid w:val="00492AF1"/>
    <w:rsid w:val="004C753E"/>
    <w:rsid w:val="005959BA"/>
    <w:rsid w:val="005A1F5A"/>
    <w:rsid w:val="005F02A3"/>
    <w:rsid w:val="005F5C52"/>
    <w:rsid w:val="006820D8"/>
    <w:rsid w:val="006C5634"/>
    <w:rsid w:val="006D2085"/>
    <w:rsid w:val="0074426F"/>
    <w:rsid w:val="007915F9"/>
    <w:rsid w:val="007E60E6"/>
    <w:rsid w:val="007F205F"/>
    <w:rsid w:val="008016DE"/>
    <w:rsid w:val="00852037"/>
    <w:rsid w:val="008E40BD"/>
    <w:rsid w:val="00925932"/>
    <w:rsid w:val="009570E6"/>
    <w:rsid w:val="00970E29"/>
    <w:rsid w:val="009C6114"/>
    <w:rsid w:val="00A04B80"/>
    <w:rsid w:val="00A1431E"/>
    <w:rsid w:val="00B21992"/>
    <w:rsid w:val="00B31975"/>
    <w:rsid w:val="00BB11B9"/>
    <w:rsid w:val="00BB261C"/>
    <w:rsid w:val="00BB6EBA"/>
    <w:rsid w:val="00C0430E"/>
    <w:rsid w:val="00C35968"/>
    <w:rsid w:val="00C80C56"/>
    <w:rsid w:val="00CF1887"/>
    <w:rsid w:val="00E50A08"/>
    <w:rsid w:val="00E85C70"/>
    <w:rsid w:val="00EC1D5C"/>
    <w:rsid w:val="00EE2C2B"/>
    <w:rsid w:val="00F20FF0"/>
    <w:rsid w:val="00F37C21"/>
    <w:rsid w:val="00F4688D"/>
    <w:rsid w:val="00FA79FF"/>
    <w:rsid w:val="00FC429F"/>
    <w:rsid w:val="00FC5D6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DED2"/>
  <w15:chartTrackingRefBased/>
  <w15:docId w15:val="{FC64C4BB-B36D-4A8A-923C-EAB34B059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53E"/>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5203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820D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F188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CF1887"/>
    <w:rPr>
      <w:rFonts w:ascii="Times New Roman" w:hAnsi="Times New Roman"/>
      <w:i/>
      <w:iCs/>
      <w:color w:val="4F81BD" w:themeColor="accent1"/>
      <w:sz w:val="24"/>
      <w:lang w:val="en-GB"/>
    </w:rPr>
  </w:style>
  <w:style w:type="character" w:customStyle="1" w:styleId="Heading2Char">
    <w:name w:val="Heading 2 Char"/>
    <w:basedOn w:val="DefaultParagraphFont"/>
    <w:link w:val="Heading2"/>
    <w:uiPriority w:val="9"/>
    <w:rsid w:val="006820D8"/>
    <w:rPr>
      <w:rFonts w:asciiTheme="majorHAnsi" w:eastAsiaTheme="majorEastAsia" w:hAnsiTheme="majorHAnsi" w:cstheme="majorBidi"/>
      <w:color w:val="365F91" w:themeColor="accent1" w:themeShade="BF"/>
      <w:sz w:val="26"/>
      <w:szCs w:val="26"/>
      <w:lang w:val="en-GB"/>
    </w:rPr>
  </w:style>
  <w:style w:type="paragraph" w:styleId="Header">
    <w:name w:val="header"/>
    <w:basedOn w:val="Normal"/>
    <w:link w:val="HeaderChar"/>
    <w:uiPriority w:val="99"/>
    <w:unhideWhenUsed/>
    <w:rsid w:val="009570E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570E6"/>
    <w:rPr>
      <w:rFonts w:ascii="Times New Roman" w:hAnsi="Times New Roman"/>
      <w:sz w:val="24"/>
      <w:lang w:val="en-GB"/>
    </w:rPr>
  </w:style>
  <w:style w:type="paragraph" w:styleId="Footer">
    <w:name w:val="footer"/>
    <w:basedOn w:val="Normal"/>
    <w:link w:val="FooterChar"/>
    <w:uiPriority w:val="99"/>
    <w:unhideWhenUsed/>
    <w:rsid w:val="009570E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570E6"/>
    <w:rPr>
      <w:rFonts w:ascii="Times New Roman" w:hAnsi="Times New Roman"/>
      <w:sz w:val="24"/>
      <w:lang w:val="en-GB"/>
    </w:rPr>
  </w:style>
  <w:style w:type="character" w:styleId="Hyperlink">
    <w:name w:val="Hyperlink"/>
    <w:basedOn w:val="DefaultParagraphFont"/>
    <w:uiPriority w:val="99"/>
    <w:unhideWhenUsed/>
    <w:rsid w:val="00A1431E"/>
    <w:rPr>
      <w:color w:val="0000FF" w:themeColor="hyperlink"/>
      <w:u w:val="single"/>
    </w:rPr>
  </w:style>
  <w:style w:type="character" w:styleId="UnresolvedMention">
    <w:name w:val="Unresolved Mention"/>
    <w:basedOn w:val="DefaultParagraphFont"/>
    <w:uiPriority w:val="99"/>
    <w:semiHidden/>
    <w:unhideWhenUsed/>
    <w:rsid w:val="00A1431E"/>
    <w:rPr>
      <w:color w:val="605E5C"/>
      <w:shd w:val="clear" w:color="auto" w:fill="E1DFDD"/>
    </w:rPr>
  </w:style>
  <w:style w:type="paragraph" w:styleId="ListParagraph">
    <w:name w:val="List Paragraph"/>
    <w:basedOn w:val="Normal"/>
    <w:uiPriority w:val="34"/>
    <w:qFormat/>
    <w:rsid w:val="002553B6"/>
    <w:pPr>
      <w:ind w:left="720"/>
      <w:contextualSpacing/>
    </w:pPr>
  </w:style>
  <w:style w:type="character" w:customStyle="1" w:styleId="Heading1Char">
    <w:name w:val="Heading 1 Char"/>
    <w:basedOn w:val="DefaultParagraphFont"/>
    <w:link w:val="Heading1"/>
    <w:uiPriority w:val="9"/>
    <w:rsid w:val="00852037"/>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852037"/>
    <w:pPr>
      <w:spacing w:line="259" w:lineRule="auto"/>
      <w:jc w:val="left"/>
      <w:outlineLvl w:val="9"/>
    </w:pPr>
    <w:rPr>
      <w:kern w:val="0"/>
      <w:lang w:val="en-US"/>
      <w14:ligatures w14:val="none"/>
    </w:rPr>
  </w:style>
  <w:style w:type="paragraph" w:styleId="TOC2">
    <w:name w:val="toc 2"/>
    <w:basedOn w:val="Normal"/>
    <w:next w:val="Normal"/>
    <w:autoRedefine/>
    <w:uiPriority w:val="39"/>
    <w:unhideWhenUsed/>
    <w:rsid w:val="008520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33982">
      <w:bodyDiv w:val="1"/>
      <w:marLeft w:val="0"/>
      <w:marRight w:val="0"/>
      <w:marTop w:val="0"/>
      <w:marBottom w:val="0"/>
      <w:divBdr>
        <w:top w:val="none" w:sz="0" w:space="0" w:color="auto"/>
        <w:left w:val="none" w:sz="0" w:space="0" w:color="auto"/>
        <w:bottom w:val="none" w:sz="0" w:space="0" w:color="auto"/>
        <w:right w:val="none" w:sz="0" w:space="0" w:color="auto"/>
      </w:divBdr>
    </w:div>
    <w:div w:id="363094193">
      <w:bodyDiv w:val="1"/>
      <w:marLeft w:val="0"/>
      <w:marRight w:val="0"/>
      <w:marTop w:val="0"/>
      <w:marBottom w:val="0"/>
      <w:divBdr>
        <w:top w:val="none" w:sz="0" w:space="0" w:color="auto"/>
        <w:left w:val="none" w:sz="0" w:space="0" w:color="auto"/>
        <w:bottom w:val="none" w:sz="0" w:space="0" w:color="auto"/>
        <w:right w:val="none" w:sz="0" w:space="0" w:color="auto"/>
      </w:divBdr>
    </w:div>
    <w:div w:id="487788528">
      <w:bodyDiv w:val="1"/>
      <w:marLeft w:val="0"/>
      <w:marRight w:val="0"/>
      <w:marTop w:val="0"/>
      <w:marBottom w:val="0"/>
      <w:divBdr>
        <w:top w:val="none" w:sz="0" w:space="0" w:color="auto"/>
        <w:left w:val="none" w:sz="0" w:space="0" w:color="auto"/>
        <w:bottom w:val="none" w:sz="0" w:space="0" w:color="auto"/>
        <w:right w:val="none" w:sz="0" w:space="0" w:color="auto"/>
      </w:divBdr>
    </w:div>
    <w:div w:id="651179727">
      <w:bodyDiv w:val="1"/>
      <w:marLeft w:val="0"/>
      <w:marRight w:val="0"/>
      <w:marTop w:val="0"/>
      <w:marBottom w:val="0"/>
      <w:divBdr>
        <w:top w:val="none" w:sz="0" w:space="0" w:color="auto"/>
        <w:left w:val="none" w:sz="0" w:space="0" w:color="auto"/>
        <w:bottom w:val="none" w:sz="0" w:space="0" w:color="auto"/>
        <w:right w:val="none" w:sz="0" w:space="0" w:color="auto"/>
      </w:divBdr>
    </w:div>
    <w:div w:id="659502748">
      <w:bodyDiv w:val="1"/>
      <w:marLeft w:val="0"/>
      <w:marRight w:val="0"/>
      <w:marTop w:val="0"/>
      <w:marBottom w:val="0"/>
      <w:divBdr>
        <w:top w:val="none" w:sz="0" w:space="0" w:color="auto"/>
        <w:left w:val="none" w:sz="0" w:space="0" w:color="auto"/>
        <w:bottom w:val="none" w:sz="0" w:space="0" w:color="auto"/>
        <w:right w:val="none" w:sz="0" w:space="0" w:color="auto"/>
      </w:divBdr>
    </w:div>
    <w:div w:id="887767909">
      <w:bodyDiv w:val="1"/>
      <w:marLeft w:val="0"/>
      <w:marRight w:val="0"/>
      <w:marTop w:val="0"/>
      <w:marBottom w:val="0"/>
      <w:divBdr>
        <w:top w:val="none" w:sz="0" w:space="0" w:color="auto"/>
        <w:left w:val="none" w:sz="0" w:space="0" w:color="auto"/>
        <w:bottom w:val="none" w:sz="0" w:space="0" w:color="auto"/>
        <w:right w:val="none" w:sz="0" w:space="0" w:color="auto"/>
      </w:divBdr>
    </w:div>
    <w:div w:id="1106345112">
      <w:bodyDiv w:val="1"/>
      <w:marLeft w:val="0"/>
      <w:marRight w:val="0"/>
      <w:marTop w:val="0"/>
      <w:marBottom w:val="0"/>
      <w:divBdr>
        <w:top w:val="none" w:sz="0" w:space="0" w:color="auto"/>
        <w:left w:val="none" w:sz="0" w:space="0" w:color="auto"/>
        <w:bottom w:val="none" w:sz="0" w:space="0" w:color="auto"/>
        <w:right w:val="none" w:sz="0" w:space="0" w:color="auto"/>
      </w:divBdr>
    </w:div>
    <w:div w:id="1123302490">
      <w:bodyDiv w:val="1"/>
      <w:marLeft w:val="0"/>
      <w:marRight w:val="0"/>
      <w:marTop w:val="0"/>
      <w:marBottom w:val="0"/>
      <w:divBdr>
        <w:top w:val="none" w:sz="0" w:space="0" w:color="auto"/>
        <w:left w:val="none" w:sz="0" w:space="0" w:color="auto"/>
        <w:bottom w:val="none" w:sz="0" w:space="0" w:color="auto"/>
        <w:right w:val="none" w:sz="0" w:space="0" w:color="auto"/>
      </w:divBdr>
    </w:div>
    <w:div w:id="1390228087">
      <w:bodyDiv w:val="1"/>
      <w:marLeft w:val="0"/>
      <w:marRight w:val="0"/>
      <w:marTop w:val="0"/>
      <w:marBottom w:val="0"/>
      <w:divBdr>
        <w:top w:val="none" w:sz="0" w:space="0" w:color="auto"/>
        <w:left w:val="none" w:sz="0" w:space="0" w:color="auto"/>
        <w:bottom w:val="none" w:sz="0" w:space="0" w:color="auto"/>
        <w:right w:val="none" w:sz="0" w:space="0" w:color="auto"/>
      </w:divBdr>
    </w:div>
    <w:div w:id="1407803390">
      <w:bodyDiv w:val="1"/>
      <w:marLeft w:val="0"/>
      <w:marRight w:val="0"/>
      <w:marTop w:val="0"/>
      <w:marBottom w:val="0"/>
      <w:divBdr>
        <w:top w:val="none" w:sz="0" w:space="0" w:color="auto"/>
        <w:left w:val="none" w:sz="0" w:space="0" w:color="auto"/>
        <w:bottom w:val="none" w:sz="0" w:space="0" w:color="auto"/>
        <w:right w:val="none" w:sz="0" w:space="0" w:color="auto"/>
      </w:divBdr>
    </w:div>
    <w:div w:id="1447770551">
      <w:bodyDiv w:val="1"/>
      <w:marLeft w:val="0"/>
      <w:marRight w:val="0"/>
      <w:marTop w:val="0"/>
      <w:marBottom w:val="0"/>
      <w:divBdr>
        <w:top w:val="none" w:sz="0" w:space="0" w:color="auto"/>
        <w:left w:val="none" w:sz="0" w:space="0" w:color="auto"/>
        <w:bottom w:val="none" w:sz="0" w:space="0" w:color="auto"/>
        <w:right w:val="none" w:sz="0" w:space="0" w:color="auto"/>
      </w:divBdr>
    </w:div>
    <w:div w:id="1503354318">
      <w:bodyDiv w:val="1"/>
      <w:marLeft w:val="0"/>
      <w:marRight w:val="0"/>
      <w:marTop w:val="0"/>
      <w:marBottom w:val="0"/>
      <w:divBdr>
        <w:top w:val="none" w:sz="0" w:space="0" w:color="auto"/>
        <w:left w:val="none" w:sz="0" w:space="0" w:color="auto"/>
        <w:bottom w:val="none" w:sz="0" w:space="0" w:color="auto"/>
        <w:right w:val="none" w:sz="0" w:space="0" w:color="auto"/>
      </w:divBdr>
    </w:div>
    <w:div w:id="1655991638">
      <w:bodyDiv w:val="1"/>
      <w:marLeft w:val="0"/>
      <w:marRight w:val="0"/>
      <w:marTop w:val="0"/>
      <w:marBottom w:val="0"/>
      <w:divBdr>
        <w:top w:val="none" w:sz="0" w:space="0" w:color="auto"/>
        <w:left w:val="none" w:sz="0" w:space="0" w:color="auto"/>
        <w:bottom w:val="none" w:sz="0" w:space="0" w:color="auto"/>
        <w:right w:val="none" w:sz="0" w:space="0" w:color="auto"/>
      </w:divBdr>
    </w:div>
    <w:div w:id="1921325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so/9780190075774.003.0002" TargetMode="External"/><Relationship Id="rId13" Type="http://schemas.openxmlformats.org/officeDocument/2006/relationships/hyperlink" Target="https://vlex.co.uk/vid/r-v-r-1991-79274619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93/oso/9780198791355.003.000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log.ipleaders.in/a-comparison-between-civil-law-countries-and-common-law-countri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aw.berkeley.edu/wp-content/uploads/2017/11/CommonLawCivilLawTraditions.pdf" TargetMode="External"/><Relationship Id="rId4" Type="http://schemas.openxmlformats.org/officeDocument/2006/relationships/webSettings" Target="webSettings.xml"/><Relationship Id="rId9" Type="http://schemas.openxmlformats.org/officeDocument/2006/relationships/hyperlink" Target="https://www.jstor.org/stable/10.7722/j.ctt9qdmj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Lle16</b:Tag>
    <b:SourceType>InternetSite</b:SourceType>
    <b:Guid>{B621F3D8-7170-4E48-ACB9-ACA22DCFEA04}</b:Guid>
    <b:Author>
      <b:Author>
        <b:NameList>
          <b:Person>
            <b:Last>Llewellyn</b:Last>
            <b:First>K.N.,</b:First>
            <b:Middle>2016. The common law tradition: deciding appeals (Vol. 16). Quid Pro Books.</b:Middle>
          </b:Person>
        </b:NameList>
      </b:Author>
    </b:Author>
    <b:Year>2016</b:Year>
    <b:RefOrder>2</b:RefOrder>
  </b:Source>
  <b:Source>
    <b:Tag>Bak19</b:Tag>
    <b:SourceType>InternetSite</b:SourceType>
    <b:Guid>{55C17112-21AA-4899-95FB-979649B8F5F2}</b:Guid>
    <b:Author>
      <b:Author>
        <b:NameList>
          <b:Person>
            <b:Last>Baker</b:Last>
            <b:First>J.H.,</b:First>
            <b:Middle>2019. An introduction to English legal history. Oxford University Press.</b:Middle>
          </b:Person>
        </b:NameList>
      </b:Author>
    </b:Author>
    <b:Year>2019</b:Year>
    <b:RefOrder>3</b:RefOrder>
  </b:Source>
  <b:Source>
    <b:Tag>Wil09</b:Tag>
    <b:SourceType>InternetSite</b:SourceType>
    <b:Guid>{4B520DC5-6957-4974-92AD-D593BB09F6B6}</b:Guid>
    <b:Author>
      <b:Author>
        <b:NameList>
          <b:Person>
            <b:Last>Wilcox</b:Last>
            <b:First>V.</b:First>
            <b:Middle>ed., 2009. Punitive damages: Common law and civil law perspectives (Vol. 25). Vienna/New York: Springer.</b:Middle>
          </b:Person>
        </b:NameList>
      </b:Author>
    </b:Author>
    <b:Year>2009</b:Year>
    <b:RefOrder>4</b:RefOrder>
  </b:Source>
  <b:Source>
    <b:Tag>Hal12</b:Tag>
    <b:SourceType>InternetSite</b:SourceType>
    <b:Guid>{DD290F4B-FE59-4EEC-A7FE-F8FE317EF53A}</b:Guid>
    <b:Author>
      <b:Author>
        <b:NameList>
          <b:Person>
            <b:Last>Hale</b:Last>
            <b:First>M.,</b:First>
            <b:Middle>2012. The history of the common law. James Moore, 45, College-Green.</b:Middle>
          </b:Person>
        </b:NameList>
      </b:Author>
    </b:Author>
    <b:Year>2012</b:Year>
    <b:RefOrder>5</b:RefOrder>
  </b:Source>
  <b:Source>
    <b:Tag>Abh21</b:Tag>
    <b:SourceType>InternetSite</b:SourceType>
    <b:Guid>{C77B55A2-AA46-4B80-8F3C-E0716964BC45}</b:Guid>
    <b:Author>
      <b:Author>
        <b:NameList>
          <b:Person>
            <b:Last>Abhyuday</b:Last>
            <b:First>2021.</b:First>
            <b:Middle>Donoghue vs Stevenson. Jus Corpus LJ, 2, p.97.</b:Middle>
          </b:Person>
        </b:NameList>
      </b:Author>
    </b:Author>
    <b:Year>2021</b:Year>
    <b:RefOrder>1</b:RefOrder>
  </b:Source>
</b:Sources>
</file>

<file path=customXml/itemProps1.xml><?xml version="1.0" encoding="utf-8"?>
<ds:datastoreItem xmlns:ds="http://schemas.openxmlformats.org/officeDocument/2006/customXml" ds:itemID="{DA00E67E-5636-49FF-9A6C-B92A05232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1741</Words>
  <Characters>9928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IZ Building</cp:lastModifiedBy>
  <cp:revision>25</cp:revision>
  <dcterms:created xsi:type="dcterms:W3CDTF">2023-06-27T19:48:00Z</dcterms:created>
  <dcterms:modified xsi:type="dcterms:W3CDTF">2023-07-05T09:49:00Z</dcterms:modified>
  <cp:category/>
</cp:coreProperties>
</file>