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09C6E" w14:textId="77777777" w:rsidR="003B4168" w:rsidRDefault="003B4168">
      <w:pPr>
        <w:spacing w:line="360" w:lineRule="auto"/>
        <w:jc w:val="both"/>
        <w:rPr>
          <w:b/>
          <w:bCs/>
          <w:sz w:val="24"/>
          <w:szCs w:val="24"/>
        </w:rPr>
      </w:pPr>
      <w:r>
        <w:rPr>
          <w:rFonts w:ascii="Century Gothic" w:eastAsia="Times New Roman" w:hAnsi="Century Gothic"/>
          <w:noProof/>
          <w:kern w:val="3"/>
          <w:sz w:val="36"/>
          <w:szCs w:val="36"/>
          <w:lang w:eastAsia="en-GB"/>
        </w:rPr>
        <w:drawing>
          <wp:inline distT="0" distB="0" distL="0" distR="0" wp14:anchorId="34D88089" wp14:editId="7921A2BF">
            <wp:extent cx="5044440" cy="3436620"/>
            <wp:effectExtent l="0" t="0" r="3810" b="0"/>
            <wp:docPr id="1" name="Picture 2"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Picture 2" descr="Text&#10;&#10;Description automatically generated with medium confidence"/>
                    <pic:cNvPicPr/>
                  </pic:nvPicPr>
                  <pic:blipFill>
                    <a:blip r:embed="rId6"/>
                    <a:srcRect/>
                    <a:stretch>
                      <a:fillRect/>
                    </a:stretch>
                  </pic:blipFill>
                  <pic:spPr>
                    <a:xfrm>
                      <a:off x="0" y="0"/>
                      <a:ext cx="5047295" cy="3438565"/>
                    </a:xfrm>
                    <a:prstGeom prst="rect">
                      <a:avLst/>
                    </a:prstGeom>
                    <a:noFill/>
                    <a:ln>
                      <a:noFill/>
                      <a:prstDash/>
                    </a:ln>
                  </pic:spPr>
                </pic:pic>
              </a:graphicData>
            </a:graphic>
          </wp:inline>
        </w:drawing>
      </w:r>
    </w:p>
    <w:p w14:paraId="32E6B884" w14:textId="77777777" w:rsidR="008930BC" w:rsidRDefault="003B4168" w:rsidP="003B4168">
      <w:pPr>
        <w:spacing w:before="80" w:after="120"/>
        <w:rPr>
          <w:rFonts w:ascii="Century Gothic" w:eastAsia="Times New Roman" w:hAnsi="Century Gothic"/>
          <w:b/>
          <w:bCs/>
          <w:kern w:val="3"/>
          <w:sz w:val="36"/>
          <w:szCs w:val="36"/>
          <w:lang w:eastAsia="en-GB"/>
        </w:rPr>
      </w:pPr>
      <w:r w:rsidRPr="008930BC">
        <w:rPr>
          <w:rFonts w:ascii="Century Gothic" w:eastAsia="Times New Roman" w:hAnsi="Century Gothic"/>
          <w:b/>
          <w:bCs/>
          <w:kern w:val="3"/>
          <w:sz w:val="36"/>
          <w:szCs w:val="36"/>
          <w:lang w:eastAsia="en-GB"/>
        </w:rPr>
        <w:t xml:space="preserve">      </w:t>
      </w:r>
    </w:p>
    <w:p w14:paraId="63C78875" w14:textId="77777777" w:rsidR="008930BC" w:rsidRDefault="008930BC" w:rsidP="003B4168">
      <w:pPr>
        <w:spacing w:before="80" w:after="120"/>
        <w:rPr>
          <w:rFonts w:ascii="Century Gothic" w:eastAsia="Times New Roman" w:hAnsi="Century Gothic"/>
          <w:b/>
          <w:bCs/>
          <w:kern w:val="3"/>
          <w:sz w:val="36"/>
          <w:szCs w:val="36"/>
          <w:lang w:eastAsia="en-GB"/>
        </w:rPr>
      </w:pPr>
    </w:p>
    <w:p w14:paraId="1AE0542E" w14:textId="77777777" w:rsidR="008930BC" w:rsidRDefault="008930BC" w:rsidP="003B4168">
      <w:pPr>
        <w:spacing w:before="80" w:after="120"/>
        <w:rPr>
          <w:rFonts w:ascii="Century Gothic" w:eastAsia="Times New Roman" w:hAnsi="Century Gothic"/>
          <w:b/>
          <w:bCs/>
          <w:kern w:val="3"/>
          <w:sz w:val="36"/>
          <w:szCs w:val="36"/>
          <w:lang w:eastAsia="en-GB"/>
        </w:rPr>
      </w:pPr>
    </w:p>
    <w:p w14:paraId="607FFB97" w14:textId="78CAE5D7" w:rsidR="003B4168" w:rsidRPr="008930BC" w:rsidRDefault="003B4168" w:rsidP="003B4168">
      <w:pPr>
        <w:spacing w:before="80" w:after="120"/>
        <w:rPr>
          <w:b/>
          <w:bCs/>
        </w:rPr>
      </w:pPr>
      <w:r w:rsidRPr="008930BC">
        <w:rPr>
          <w:rFonts w:ascii="Century Gothic" w:eastAsia="Times New Roman" w:hAnsi="Century Gothic"/>
          <w:b/>
          <w:bCs/>
          <w:kern w:val="3"/>
          <w:sz w:val="36"/>
          <w:szCs w:val="36"/>
          <w:lang w:eastAsia="en-GB"/>
        </w:rPr>
        <w:t>Student</w:t>
      </w:r>
      <w:r w:rsidRPr="008930BC">
        <w:rPr>
          <w:rFonts w:ascii="Century Gothic" w:eastAsia="Times New Roman" w:hAnsi="Century Gothic"/>
          <w:b/>
          <w:bCs/>
          <w:color w:val="FFFFFF"/>
          <w:kern w:val="3"/>
          <w:sz w:val="36"/>
          <w:szCs w:val="36"/>
          <w:lang w:eastAsia="en-GB"/>
        </w:rPr>
        <w:t xml:space="preserve"> </w:t>
      </w:r>
      <w:r w:rsidRPr="008930BC">
        <w:rPr>
          <w:rFonts w:ascii="Century Gothic" w:eastAsia="Times New Roman" w:hAnsi="Century Gothic"/>
          <w:b/>
          <w:bCs/>
          <w:kern w:val="3"/>
          <w:sz w:val="36"/>
          <w:szCs w:val="36"/>
          <w:lang w:eastAsia="en-GB"/>
        </w:rPr>
        <w:t xml:space="preserve">name: Temitope s Dauda </w:t>
      </w:r>
    </w:p>
    <w:p w14:paraId="72E0486C" w14:textId="77777777" w:rsidR="001B513D" w:rsidRDefault="003B4168" w:rsidP="003B4168">
      <w:pPr>
        <w:spacing w:before="80" w:after="120"/>
      </w:pPr>
      <w:r>
        <w:rPr>
          <w:rFonts w:ascii="Century Gothic" w:eastAsia="Times New Roman" w:hAnsi="Century Gothic"/>
          <w:b/>
          <w:bCs/>
          <w:kern w:val="3"/>
          <w:sz w:val="36"/>
          <w:szCs w:val="36"/>
          <w:lang w:eastAsia="en-GB"/>
        </w:rPr>
        <w:t xml:space="preserve">      </w:t>
      </w:r>
      <w:r w:rsidR="001B513D">
        <w:rPr>
          <w:rFonts w:ascii="Century Gothic" w:eastAsia="Times New Roman" w:hAnsi="Century Gothic"/>
          <w:b/>
          <w:bCs/>
          <w:kern w:val="3"/>
          <w:sz w:val="36"/>
          <w:szCs w:val="36"/>
          <w:lang w:eastAsia="en-GB"/>
        </w:rPr>
        <w:t xml:space="preserve">          </w:t>
      </w:r>
      <w:r>
        <w:rPr>
          <w:rFonts w:ascii="Century Gothic" w:eastAsia="Times New Roman" w:hAnsi="Century Gothic"/>
          <w:b/>
          <w:bCs/>
          <w:kern w:val="3"/>
          <w:sz w:val="36"/>
          <w:szCs w:val="36"/>
          <w:lang w:eastAsia="en-GB"/>
        </w:rPr>
        <w:t>Student ID:1921658</w:t>
      </w:r>
      <w:r w:rsidR="001B513D">
        <w:t xml:space="preserve"> </w:t>
      </w:r>
    </w:p>
    <w:p w14:paraId="42679286" w14:textId="27011540" w:rsidR="003B4168" w:rsidRPr="001B513D" w:rsidRDefault="003B4168" w:rsidP="003B4168">
      <w:pPr>
        <w:spacing w:before="80" w:after="120"/>
      </w:pPr>
      <w:r>
        <w:rPr>
          <w:rFonts w:ascii="Century Gothic" w:eastAsia="Times New Roman" w:hAnsi="Century Gothic"/>
          <w:b/>
          <w:bCs/>
          <w:kern w:val="3"/>
          <w:sz w:val="28"/>
          <w:szCs w:val="28"/>
          <w:lang w:eastAsia="en-GB"/>
        </w:rPr>
        <w:t xml:space="preserve"> </w:t>
      </w:r>
      <w:r w:rsidRPr="001B513D">
        <w:rPr>
          <w:rFonts w:ascii="Century Gothic" w:eastAsia="Times New Roman" w:hAnsi="Century Gothic"/>
          <w:b/>
          <w:bCs/>
          <w:kern w:val="3"/>
          <w:sz w:val="40"/>
          <w:szCs w:val="40"/>
          <w:lang w:eastAsia="en-GB"/>
        </w:rPr>
        <w:t xml:space="preserve">Module name: </w:t>
      </w:r>
      <w:r w:rsidR="008930BC" w:rsidRPr="001B513D">
        <w:rPr>
          <w:rFonts w:ascii="Century Gothic" w:eastAsia="Times New Roman" w:hAnsi="Century Gothic"/>
          <w:b/>
          <w:bCs/>
          <w:kern w:val="3"/>
          <w:sz w:val="40"/>
          <w:szCs w:val="40"/>
          <w:lang w:eastAsia="en-GB"/>
        </w:rPr>
        <w:t xml:space="preserve">health, wellbeing, and </w:t>
      </w:r>
      <w:r w:rsidR="001B513D">
        <w:rPr>
          <w:rFonts w:ascii="Century Gothic" w:eastAsia="Times New Roman" w:hAnsi="Century Gothic"/>
          <w:b/>
          <w:bCs/>
          <w:kern w:val="3"/>
          <w:sz w:val="40"/>
          <w:szCs w:val="40"/>
          <w:lang w:eastAsia="en-GB"/>
        </w:rPr>
        <w:t xml:space="preserve">      </w:t>
      </w:r>
      <w:r w:rsidR="008930BC" w:rsidRPr="001B513D">
        <w:rPr>
          <w:rFonts w:ascii="Century Gothic" w:eastAsia="Times New Roman" w:hAnsi="Century Gothic"/>
          <w:b/>
          <w:bCs/>
          <w:kern w:val="3"/>
          <w:sz w:val="40"/>
          <w:szCs w:val="40"/>
          <w:lang w:eastAsia="en-GB"/>
        </w:rPr>
        <w:t>sustainable development.</w:t>
      </w:r>
    </w:p>
    <w:p w14:paraId="1A6CF96C" w14:textId="114F32D6" w:rsidR="003B4168" w:rsidRPr="008930BC" w:rsidRDefault="003B4168" w:rsidP="003B4168">
      <w:pPr>
        <w:spacing w:before="80" w:after="120"/>
        <w:rPr>
          <w:b/>
          <w:bCs/>
        </w:rPr>
      </w:pPr>
      <w:r>
        <w:rPr>
          <w:rFonts w:ascii="Century Gothic" w:eastAsia="Times New Roman" w:hAnsi="Century Gothic"/>
          <w:kern w:val="3"/>
          <w:sz w:val="36"/>
          <w:szCs w:val="36"/>
          <w:lang w:eastAsia="en-GB"/>
        </w:rPr>
        <w:t xml:space="preserve">     </w:t>
      </w:r>
      <w:r w:rsidRPr="008930BC">
        <w:rPr>
          <w:rFonts w:ascii="Century Gothic" w:eastAsia="Times New Roman" w:hAnsi="Century Gothic"/>
          <w:b/>
          <w:bCs/>
          <w:kern w:val="3"/>
          <w:sz w:val="36"/>
          <w:szCs w:val="36"/>
          <w:lang w:eastAsia="en-GB"/>
        </w:rPr>
        <w:t>Module code: BMHP60</w:t>
      </w:r>
      <w:r w:rsidR="008930BC" w:rsidRPr="008930BC">
        <w:rPr>
          <w:rFonts w:ascii="Century Gothic" w:eastAsia="Times New Roman" w:hAnsi="Century Gothic"/>
          <w:b/>
          <w:bCs/>
          <w:kern w:val="3"/>
          <w:sz w:val="36"/>
          <w:szCs w:val="36"/>
          <w:lang w:eastAsia="en-GB"/>
        </w:rPr>
        <w:t>21_LON</w:t>
      </w:r>
    </w:p>
    <w:p w14:paraId="61A9566F" w14:textId="631E2452" w:rsidR="003B4168" w:rsidRPr="008930BC" w:rsidRDefault="003B4168" w:rsidP="003B4168">
      <w:pPr>
        <w:spacing w:before="80" w:after="120"/>
        <w:rPr>
          <w:b/>
          <w:bCs/>
        </w:rPr>
      </w:pPr>
      <w:r w:rsidRPr="008930BC">
        <w:rPr>
          <w:rFonts w:ascii="Century Gothic" w:eastAsia="Times New Roman" w:hAnsi="Century Gothic"/>
          <w:b/>
          <w:bCs/>
          <w:kern w:val="3"/>
          <w:sz w:val="36"/>
          <w:szCs w:val="36"/>
          <w:lang w:eastAsia="en-GB"/>
        </w:rPr>
        <w:t xml:space="preserve">     Lecturer name:</w:t>
      </w:r>
      <w:r w:rsidR="008930BC" w:rsidRPr="008930BC">
        <w:rPr>
          <w:rFonts w:ascii="Century Gothic" w:eastAsia="Times New Roman" w:hAnsi="Century Gothic"/>
          <w:b/>
          <w:bCs/>
          <w:kern w:val="3"/>
          <w:sz w:val="36"/>
          <w:szCs w:val="36"/>
          <w:lang w:eastAsia="en-GB"/>
        </w:rPr>
        <w:t xml:space="preserve"> Diola Bijhout</w:t>
      </w:r>
    </w:p>
    <w:p w14:paraId="60FDE208" w14:textId="77777777" w:rsidR="008930BC" w:rsidRPr="008930BC" w:rsidRDefault="008930BC">
      <w:pPr>
        <w:spacing w:line="360" w:lineRule="auto"/>
        <w:jc w:val="both"/>
        <w:rPr>
          <w:b/>
          <w:bCs/>
          <w:sz w:val="24"/>
          <w:szCs w:val="24"/>
        </w:rPr>
      </w:pPr>
    </w:p>
    <w:p w14:paraId="3C69E5F8" w14:textId="77777777" w:rsidR="008930BC" w:rsidRDefault="008930BC">
      <w:pPr>
        <w:spacing w:line="360" w:lineRule="auto"/>
        <w:jc w:val="both"/>
        <w:rPr>
          <w:b/>
          <w:bCs/>
          <w:sz w:val="24"/>
          <w:szCs w:val="24"/>
        </w:rPr>
      </w:pPr>
    </w:p>
    <w:p w14:paraId="61DDFCAA" w14:textId="77777777" w:rsidR="008930BC" w:rsidRDefault="008930BC">
      <w:pPr>
        <w:spacing w:line="360" w:lineRule="auto"/>
        <w:jc w:val="both"/>
        <w:rPr>
          <w:b/>
          <w:bCs/>
          <w:sz w:val="24"/>
          <w:szCs w:val="24"/>
        </w:rPr>
      </w:pPr>
    </w:p>
    <w:p w14:paraId="20ACFB4C" w14:textId="77777777" w:rsidR="00F62E2C" w:rsidRDefault="00F62E2C">
      <w:pPr>
        <w:spacing w:line="360" w:lineRule="auto"/>
        <w:jc w:val="both"/>
        <w:rPr>
          <w:b/>
          <w:bCs/>
          <w:sz w:val="24"/>
          <w:szCs w:val="24"/>
        </w:rPr>
      </w:pPr>
    </w:p>
    <w:p w14:paraId="2A6E53BE" w14:textId="77777777" w:rsidR="00F62E2C" w:rsidRDefault="00F62E2C">
      <w:pPr>
        <w:spacing w:line="360" w:lineRule="auto"/>
        <w:jc w:val="both"/>
        <w:rPr>
          <w:b/>
          <w:bCs/>
          <w:sz w:val="24"/>
          <w:szCs w:val="24"/>
        </w:rPr>
      </w:pPr>
    </w:p>
    <w:p w14:paraId="472CBF8B" w14:textId="77777777" w:rsidR="00F62E2C" w:rsidRDefault="00F62E2C">
      <w:pPr>
        <w:spacing w:line="360" w:lineRule="auto"/>
        <w:jc w:val="both"/>
        <w:rPr>
          <w:b/>
          <w:bCs/>
          <w:sz w:val="24"/>
          <w:szCs w:val="24"/>
        </w:rPr>
      </w:pPr>
    </w:p>
    <w:p w14:paraId="604C5910" w14:textId="77777777" w:rsidR="00F62E2C" w:rsidRDefault="00F62E2C">
      <w:pPr>
        <w:spacing w:line="360" w:lineRule="auto"/>
        <w:jc w:val="both"/>
        <w:rPr>
          <w:b/>
          <w:bCs/>
          <w:sz w:val="24"/>
          <w:szCs w:val="24"/>
        </w:rPr>
      </w:pPr>
    </w:p>
    <w:p w14:paraId="14EFADFD" w14:textId="77777777" w:rsidR="00F62E2C" w:rsidRDefault="00F62E2C">
      <w:pPr>
        <w:spacing w:line="360" w:lineRule="auto"/>
        <w:jc w:val="both"/>
        <w:rPr>
          <w:b/>
          <w:bCs/>
          <w:sz w:val="24"/>
          <w:szCs w:val="24"/>
        </w:rPr>
      </w:pPr>
    </w:p>
    <w:p w14:paraId="15C62BF4" w14:textId="1DD3AA70" w:rsidR="000F1161" w:rsidRPr="001B36CE" w:rsidRDefault="001B36CE">
      <w:pPr>
        <w:spacing w:line="360" w:lineRule="auto"/>
        <w:jc w:val="both"/>
        <w:rPr>
          <w:b/>
          <w:bCs/>
          <w:color w:val="5B9BD5" w:themeColor="accent1"/>
          <w:sz w:val="24"/>
          <w:szCs w:val="24"/>
        </w:rPr>
      </w:pPr>
      <w:r>
        <w:rPr>
          <w:b/>
          <w:bCs/>
          <w:color w:val="5B9BD5" w:themeColor="accent1"/>
          <w:sz w:val="24"/>
          <w:szCs w:val="24"/>
        </w:rPr>
        <w:t xml:space="preserve">1.0 </w:t>
      </w:r>
      <w:r w:rsidR="00000000" w:rsidRPr="001B36CE">
        <w:rPr>
          <w:b/>
          <w:bCs/>
          <w:color w:val="5B9BD5" w:themeColor="accent1"/>
          <w:sz w:val="24"/>
          <w:szCs w:val="24"/>
        </w:rPr>
        <w:t>INTRODUCTION</w:t>
      </w:r>
    </w:p>
    <w:p w14:paraId="6E90E2AA" w14:textId="28320DC8" w:rsidR="000F1161" w:rsidRDefault="00000000">
      <w:pPr>
        <w:spacing w:line="360" w:lineRule="auto"/>
        <w:jc w:val="both"/>
        <w:rPr>
          <w:sz w:val="24"/>
          <w:szCs w:val="24"/>
        </w:rPr>
      </w:pPr>
      <w:r>
        <w:rPr>
          <w:sz w:val="24"/>
          <w:szCs w:val="24"/>
        </w:rPr>
        <w:t xml:space="preserve">As a national health policy under the Department of Health targeting at improving health and wellbeing as provided for in the sustainable development goals (SDGs), UK has series of social development initiatives starting from starting well for the unborn child and the pregnant mothers. All the borough and cities comply by initiating series of supportive </w:t>
      </w:r>
      <w:r w:rsidR="002B191A">
        <w:rPr>
          <w:sz w:val="24"/>
          <w:szCs w:val="24"/>
        </w:rPr>
        <w:t>programmed</w:t>
      </w:r>
      <w:r>
        <w:rPr>
          <w:sz w:val="24"/>
          <w:szCs w:val="24"/>
        </w:rPr>
        <w:t xml:space="preserve"> in line with the globally approved 17 goals of the SDGs being implemented by the initiatives of UK government. </w:t>
      </w:r>
      <w:r w:rsidR="002B191A">
        <w:rPr>
          <w:sz w:val="24"/>
          <w:szCs w:val="24"/>
        </w:rPr>
        <w:t>Brundtland</w:t>
      </w:r>
      <w:r>
        <w:rPr>
          <w:sz w:val="24"/>
          <w:szCs w:val="24"/>
        </w:rPr>
        <w:t xml:space="preserve"> report of 197 defined sustainable development as ‘development that meets the needs of the present without compromising the ability of future generations to meet their own needs. Elkington 1997 constructed ‘the “triple </w:t>
      </w:r>
      <w:r w:rsidR="002B191A">
        <w:rPr>
          <w:sz w:val="24"/>
          <w:szCs w:val="24"/>
        </w:rPr>
        <w:t>bottom line</w:t>
      </w:r>
      <w:r>
        <w:rPr>
          <w:sz w:val="24"/>
          <w:szCs w:val="24"/>
        </w:rPr>
        <w:t xml:space="preserve">” framework to encourage reporting in the areas of planet, </w:t>
      </w:r>
      <w:r w:rsidR="002B191A">
        <w:rPr>
          <w:sz w:val="24"/>
          <w:szCs w:val="24"/>
        </w:rPr>
        <w:t>people,</w:t>
      </w:r>
      <w:r>
        <w:rPr>
          <w:sz w:val="24"/>
          <w:szCs w:val="24"/>
        </w:rPr>
        <w:t xml:space="preserve"> and profit’. Raworth, 2012 submitted that development is the need for a just and safe space for humanity and </w:t>
      </w:r>
      <w:r w:rsidR="002B191A">
        <w:rPr>
          <w:sz w:val="24"/>
          <w:szCs w:val="24"/>
        </w:rPr>
        <w:t>Rock Strom</w:t>
      </w:r>
      <w:r>
        <w:rPr>
          <w:sz w:val="24"/>
          <w:szCs w:val="24"/>
        </w:rPr>
        <w:t xml:space="preserve"> et al (20</w:t>
      </w:r>
      <w:r w:rsidR="002B191A">
        <w:rPr>
          <w:sz w:val="24"/>
          <w:szCs w:val="24"/>
        </w:rPr>
        <w:t>1</w:t>
      </w:r>
      <w:r>
        <w:rPr>
          <w:sz w:val="24"/>
          <w:szCs w:val="24"/>
        </w:rPr>
        <w:t xml:space="preserve">9) defined nine planetary boundaries inside which humanity might live. In 2000, 191 nations adopted the eight goals which contained 21 targets with the aim of achieving the goals. At the expiration of the set year, reviews were done which paved the way for sustainable development goals (SDGs) whose blueprint to achieve a better and more sustainable future for global citizens. The goals are targeted at solving global challenges like poverty, inequality, climate change, environmental degradation, </w:t>
      </w:r>
      <w:r w:rsidR="002B191A">
        <w:rPr>
          <w:sz w:val="24"/>
          <w:szCs w:val="24"/>
        </w:rPr>
        <w:t>peace,</w:t>
      </w:r>
      <w:r>
        <w:rPr>
          <w:sz w:val="24"/>
          <w:szCs w:val="24"/>
        </w:rPr>
        <w:t xml:space="preserve"> and justice. These myriads of issues threatening mankind are adopted after series of reports from committees. The 17 items in the agenda are set to have impacts on the wellbeing of the citizens. Among these items, I will </w:t>
      </w:r>
      <w:r w:rsidR="002B191A">
        <w:rPr>
          <w:sz w:val="24"/>
          <w:szCs w:val="24"/>
        </w:rPr>
        <w:t>investigate</w:t>
      </w:r>
      <w:r>
        <w:rPr>
          <w:sz w:val="24"/>
          <w:szCs w:val="24"/>
        </w:rPr>
        <w:t xml:space="preserve"> three goals as adopted and used as initiatives by the Brent Council in UK, in the essay as a health and wellbeing consultant currently looking at the situation of health, wellbeing and sustainable development goals initiatives within present healthcare sectors in UK. Following issues are what we would discuss in the presentation:</w:t>
      </w:r>
    </w:p>
    <w:p w14:paraId="47548859" w14:textId="77777777" w:rsidR="000F1161" w:rsidRDefault="00000000">
      <w:pPr>
        <w:numPr>
          <w:ilvl w:val="0"/>
          <w:numId w:val="1"/>
        </w:numPr>
        <w:spacing w:line="360" w:lineRule="auto"/>
        <w:jc w:val="both"/>
        <w:rPr>
          <w:sz w:val="24"/>
          <w:szCs w:val="24"/>
        </w:rPr>
      </w:pPr>
      <w:r>
        <w:rPr>
          <w:sz w:val="24"/>
          <w:szCs w:val="24"/>
        </w:rPr>
        <w:t>Brief discussion of the 17 SDGs after highlighting them</w:t>
      </w:r>
    </w:p>
    <w:p w14:paraId="10FF8A16" w14:textId="77777777" w:rsidR="000F1161" w:rsidRDefault="00000000">
      <w:pPr>
        <w:numPr>
          <w:ilvl w:val="0"/>
          <w:numId w:val="1"/>
        </w:numPr>
        <w:spacing w:line="360" w:lineRule="auto"/>
        <w:jc w:val="both"/>
        <w:rPr>
          <w:sz w:val="24"/>
          <w:szCs w:val="24"/>
        </w:rPr>
      </w:pPr>
      <w:r>
        <w:rPr>
          <w:sz w:val="24"/>
          <w:szCs w:val="24"/>
        </w:rPr>
        <w:t>Discussion on three selected goals 3, 4 and 17 and the initiatives of UK government across the boroughs or cities</w:t>
      </w:r>
    </w:p>
    <w:p w14:paraId="366139F8" w14:textId="77777777" w:rsidR="000F1161" w:rsidRDefault="00000000">
      <w:pPr>
        <w:numPr>
          <w:ilvl w:val="0"/>
          <w:numId w:val="1"/>
        </w:numPr>
        <w:spacing w:line="360" w:lineRule="auto"/>
        <w:jc w:val="both"/>
        <w:rPr>
          <w:sz w:val="24"/>
          <w:szCs w:val="24"/>
        </w:rPr>
      </w:pPr>
      <w:r>
        <w:rPr>
          <w:sz w:val="24"/>
          <w:szCs w:val="24"/>
        </w:rPr>
        <w:t>Searchlight on the UK policies in the meeting of the three goals listed above</w:t>
      </w:r>
    </w:p>
    <w:p w14:paraId="4AF9BFFA" w14:textId="77777777" w:rsidR="000F1161" w:rsidRDefault="00000000">
      <w:pPr>
        <w:numPr>
          <w:ilvl w:val="0"/>
          <w:numId w:val="1"/>
        </w:numPr>
        <w:spacing w:line="360" w:lineRule="auto"/>
        <w:jc w:val="both"/>
        <w:rPr>
          <w:sz w:val="24"/>
          <w:szCs w:val="24"/>
        </w:rPr>
      </w:pPr>
      <w:r>
        <w:rPr>
          <w:sz w:val="24"/>
          <w:szCs w:val="24"/>
        </w:rPr>
        <w:t>Specifically identify with London borough of Brent in UK as the three goals of SDGs are achieved by the council</w:t>
      </w:r>
    </w:p>
    <w:p w14:paraId="6A46AE56" w14:textId="77777777" w:rsidR="000F1161" w:rsidRDefault="00000000">
      <w:pPr>
        <w:numPr>
          <w:ilvl w:val="0"/>
          <w:numId w:val="1"/>
        </w:numPr>
        <w:spacing w:line="360" w:lineRule="auto"/>
        <w:jc w:val="both"/>
        <w:rPr>
          <w:sz w:val="24"/>
          <w:szCs w:val="24"/>
        </w:rPr>
      </w:pPr>
      <w:r>
        <w:rPr>
          <w:sz w:val="24"/>
          <w:szCs w:val="24"/>
        </w:rPr>
        <w:lastRenderedPageBreak/>
        <w:t>Having a look at one policy for each goal with basic statistics from the Brent council in relation to how the sustainable development goals are being achieved</w:t>
      </w:r>
    </w:p>
    <w:p w14:paraId="349B1540" w14:textId="77777777" w:rsidR="000F1161" w:rsidRDefault="00000000">
      <w:pPr>
        <w:numPr>
          <w:ilvl w:val="0"/>
          <w:numId w:val="1"/>
        </w:numPr>
        <w:spacing w:line="360" w:lineRule="auto"/>
        <w:jc w:val="both"/>
        <w:rPr>
          <w:sz w:val="24"/>
          <w:szCs w:val="24"/>
        </w:rPr>
      </w:pPr>
      <w:r>
        <w:rPr>
          <w:sz w:val="24"/>
          <w:szCs w:val="24"/>
        </w:rPr>
        <w:t>A critical discuss on how the residents of the Brent council benefited from the sustainable development initiatives of UK</w:t>
      </w:r>
    </w:p>
    <w:p w14:paraId="6E3FA007" w14:textId="77777777" w:rsidR="001B513D" w:rsidRDefault="00000000" w:rsidP="001B513D">
      <w:pPr>
        <w:pStyle w:val="NormalWeb"/>
        <w:spacing w:line="360" w:lineRule="auto"/>
        <w:textAlignment w:val="baseline"/>
        <w:rPr>
          <w:lang w:val="en-US"/>
        </w:rPr>
      </w:pPr>
      <w:r>
        <w:rPr>
          <w:lang w:val="en-US"/>
        </w:rPr>
        <w:t>Concluding parts where recommendations as a health consultant based on what the body of the essay contains will be given.</w:t>
      </w:r>
    </w:p>
    <w:p w14:paraId="0294A862" w14:textId="206BE4FF" w:rsidR="00D64A17" w:rsidRPr="00D64A17" w:rsidRDefault="00D64A17" w:rsidP="00D64A17">
      <w:pPr>
        <w:spacing w:after="160" w:line="259" w:lineRule="auto"/>
        <w:rPr>
          <w:rFonts w:eastAsia="+mj-ea" w:cstheme="minorHAnsi"/>
          <w:kern w:val="24"/>
          <w:sz w:val="24"/>
          <w:szCs w:val="24"/>
          <w:lang w:val="en-GB" w:eastAsia="en-GB"/>
        </w:rPr>
      </w:pPr>
      <w:r w:rsidRPr="00D64A17">
        <w:rPr>
          <w:rFonts w:eastAsia="+mj-ea" w:cstheme="minorHAnsi"/>
          <w:kern w:val="24"/>
          <w:sz w:val="24"/>
          <w:szCs w:val="24"/>
          <w:lang w:val="en-GB" w:eastAsia="en-GB"/>
        </w:rPr>
        <w:t>Goal</w:t>
      </w:r>
      <w:r w:rsidRPr="00D64A17">
        <w:rPr>
          <w:rFonts w:eastAsia="+mj-ea" w:cstheme="minorHAnsi"/>
          <w:kern w:val="24"/>
          <w:sz w:val="24"/>
          <w:szCs w:val="24"/>
          <w:lang w:val="en-GB" w:eastAsia="en-GB"/>
        </w:rPr>
        <w:t xml:space="preserve"> 1. End </w:t>
      </w:r>
      <w:r w:rsidRPr="00D64A17">
        <w:rPr>
          <w:rFonts w:eastAsia="+mj-ea" w:cstheme="minorHAnsi"/>
          <w:kern w:val="24"/>
          <w:sz w:val="24"/>
          <w:szCs w:val="24"/>
          <w:lang w:val="en-GB" w:eastAsia="en-GB"/>
        </w:rPr>
        <w:t>poverty</w:t>
      </w:r>
      <w:r w:rsidRPr="00D64A17">
        <w:rPr>
          <w:rFonts w:eastAsia="+mj-ea" w:cstheme="minorHAnsi"/>
          <w:kern w:val="24"/>
          <w:sz w:val="24"/>
          <w:szCs w:val="24"/>
          <w:lang w:val="en-GB" w:eastAsia="en-GB"/>
        </w:rPr>
        <w:t xml:space="preserve"> in the entirety of its structures wherever Backing the most hindered and improve social versatility by planning and conveying comprehensive approaches for every supporting family and giving compelling lodging support.</w:t>
      </w:r>
    </w:p>
    <w:p w14:paraId="1C0C61CA" w14:textId="6BD9FD65" w:rsidR="00D64A17" w:rsidRPr="00D64A17" w:rsidRDefault="00D64A17" w:rsidP="00D64A17">
      <w:pPr>
        <w:spacing w:after="160" w:line="259" w:lineRule="auto"/>
        <w:rPr>
          <w:rFonts w:eastAsia="+mj-ea" w:cstheme="minorHAnsi"/>
          <w:kern w:val="24"/>
          <w:sz w:val="24"/>
          <w:szCs w:val="24"/>
          <w:lang w:val="en-GB" w:eastAsia="en-GB"/>
        </w:rPr>
      </w:pPr>
      <w:r w:rsidRPr="00D64A17">
        <w:rPr>
          <w:rFonts w:eastAsia="+mj-ea" w:cstheme="minorHAnsi"/>
          <w:kern w:val="24"/>
          <w:sz w:val="24"/>
          <w:szCs w:val="24"/>
          <w:lang w:val="en-GB" w:eastAsia="en-GB"/>
        </w:rPr>
        <w:t xml:space="preserve"> </w:t>
      </w:r>
      <w:r w:rsidRPr="00D64A17">
        <w:rPr>
          <w:rFonts w:eastAsia="+mj-ea" w:cstheme="minorHAnsi"/>
          <w:kern w:val="24"/>
          <w:sz w:val="24"/>
          <w:szCs w:val="24"/>
          <w:lang w:val="en-GB" w:eastAsia="en-GB"/>
        </w:rPr>
        <w:t xml:space="preserve">Goal </w:t>
      </w:r>
      <w:r w:rsidRPr="00D64A17">
        <w:rPr>
          <w:rFonts w:eastAsia="+mj-ea" w:cstheme="minorHAnsi"/>
          <w:kern w:val="24"/>
          <w:sz w:val="24"/>
          <w:szCs w:val="24"/>
          <w:lang w:val="en-GB" w:eastAsia="en-GB"/>
        </w:rPr>
        <w:t xml:space="preserve">2. End hunger, accomplish food security and further developed nourishment and advance supportable farming Foster a homegrown horticulture strategy that conveys an Ecological Land The board framework </w:t>
      </w:r>
      <w:r w:rsidRPr="00D64A17">
        <w:rPr>
          <w:rFonts w:eastAsia="+mj-ea" w:cstheme="minorHAnsi"/>
          <w:kern w:val="24"/>
          <w:sz w:val="24"/>
          <w:szCs w:val="24"/>
          <w:lang w:val="en-GB" w:eastAsia="en-GB"/>
        </w:rPr>
        <w:t>considering</w:t>
      </w:r>
      <w:r w:rsidRPr="00D64A17">
        <w:rPr>
          <w:rFonts w:eastAsia="+mj-ea" w:cstheme="minorHAnsi"/>
          <w:kern w:val="24"/>
          <w:sz w:val="24"/>
          <w:szCs w:val="24"/>
          <w:lang w:val="en-GB" w:eastAsia="en-GB"/>
        </w:rPr>
        <w:t xml:space="preserve"> public cash for public products.</w:t>
      </w:r>
    </w:p>
    <w:p w14:paraId="22103FFA" w14:textId="3BFA2ABA" w:rsidR="00D64A17" w:rsidRPr="00D64A17" w:rsidRDefault="00D64A17" w:rsidP="00D64A17">
      <w:pPr>
        <w:spacing w:after="160" w:line="259" w:lineRule="auto"/>
        <w:rPr>
          <w:rFonts w:eastAsia="+mj-ea" w:cstheme="minorHAnsi"/>
          <w:kern w:val="24"/>
          <w:sz w:val="24"/>
          <w:szCs w:val="24"/>
          <w:lang w:val="en-GB" w:eastAsia="en-GB"/>
        </w:rPr>
      </w:pPr>
      <w:r w:rsidRPr="00D64A17">
        <w:rPr>
          <w:rFonts w:eastAsia="+mj-ea" w:cstheme="minorHAnsi"/>
          <w:kern w:val="24"/>
          <w:sz w:val="24"/>
          <w:szCs w:val="24"/>
          <w:lang w:val="en-GB" w:eastAsia="en-GB"/>
        </w:rPr>
        <w:t xml:space="preserve"> </w:t>
      </w:r>
      <w:r w:rsidRPr="00D64A17">
        <w:rPr>
          <w:rFonts w:eastAsia="+mj-ea" w:cstheme="minorHAnsi"/>
          <w:kern w:val="24"/>
          <w:sz w:val="24"/>
          <w:szCs w:val="24"/>
          <w:lang w:val="en-GB" w:eastAsia="en-GB"/>
        </w:rPr>
        <w:t>Goal</w:t>
      </w:r>
      <w:r w:rsidRPr="00D64A17">
        <w:rPr>
          <w:rFonts w:eastAsia="+mj-ea" w:cstheme="minorHAnsi"/>
          <w:kern w:val="24"/>
          <w:sz w:val="24"/>
          <w:szCs w:val="24"/>
          <w:lang w:val="en-GB" w:eastAsia="en-GB"/>
        </w:rPr>
        <w:t xml:space="preserve"> 3. Guarantee sound lives and advance prosperity for all at all ages (Service of Equity will work with the Division of Wellbeing and Social Consideration, NHS Britain, and General Wellbeing Britain to guarantee all guilty parties get the emotional well-being and medication and liquor misuse treatment they need.</w:t>
      </w:r>
    </w:p>
    <w:p w14:paraId="64733023" w14:textId="2A9B9979" w:rsidR="00D64A17" w:rsidRPr="00D64A17" w:rsidRDefault="00D64A17" w:rsidP="00D64A17">
      <w:pPr>
        <w:spacing w:after="160" w:line="259" w:lineRule="auto"/>
        <w:rPr>
          <w:rFonts w:eastAsia="+mj-ea" w:cstheme="minorHAnsi"/>
          <w:kern w:val="24"/>
          <w:sz w:val="24"/>
          <w:szCs w:val="24"/>
          <w:lang w:val="en-GB" w:eastAsia="en-GB"/>
        </w:rPr>
      </w:pPr>
      <w:r w:rsidRPr="00D64A17">
        <w:rPr>
          <w:rFonts w:eastAsia="+mj-ea" w:cstheme="minorHAnsi"/>
          <w:kern w:val="24"/>
          <w:sz w:val="24"/>
          <w:szCs w:val="24"/>
          <w:lang w:val="en-GB" w:eastAsia="en-GB"/>
        </w:rPr>
        <w:t>Goal</w:t>
      </w:r>
      <w:r w:rsidRPr="00D64A17">
        <w:rPr>
          <w:rFonts w:eastAsia="+mj-ea" w:cstheme="minorHAnsi"/>
          <w:kern w:val="24"/>
          <w:sz w:val="24"/>
          <w:szCs w:val="24"/>
          <w:lang w:val="en-GB" w:eastAsia="en-GB"/>
        </w:rPr>
        <w:t xml:space="preserve"> 4. Guarantee comprehensive and fair quality training and advance long lasting learning open doors for all. (Advance the instructive results of burdened kids and youngsters including through carrying out the responsibilities made </w:t>
      </w:r>
      <w:r w:rsidRPr="00D64A17">
        <w:rPr>
          <w:rFonts w:eastAsia="+mj-ea" w:cstheme="minorHAnsi"/>
          <w:kern w:val="24"/>
          <w:sz w:val="24"/>
          <w:szCs w:val="24"/>
          <w:lang w:val="en-GB" w:eastAsia="en-GB"/>
        </w:rPr>
        <w:t>considering</w:t>
      </w:r>
      <w:r w:rsidRPr="00D64A17">
        <w:rPr>
          <w:rFonts w:eastAsia="+mj-ea" w:cstheme="minorHAnsi"/>
          <w:kern w:val="24"/>
          <w:sz w:val="24"/>
          <w:szCs w:val="24"/>
          <w:lang w:val="en-GB" w:eastAsia="en-GB"/>
        </w:rPr>
        <w:t xml:space="preserve"> the Timpson audit to guarantee schools can uphold kids in danger of prohibition, and guarantee they approach excellent training after avoidance.</w:t>
      </w:r>
    </w:p>
    <w:p w14:paraId="320A9225" w14:textId="24666445" w:rsidR="00D64A17" w:rsidRPr="00D64A17" w:rsidRDefault="00D64A17" w:rsidP="00D64A17">
      <w:pPr>
        <w:spacing w:after="160" w:line="259" w:lineRule="auto"/>
        <w:rPr>
          <w:rFonts w:ascii="Times New Roman" w:eastAsia="+mj-ea" w:hAnsi="Times New Roman" w:cstheme="minorHAnsi"/>
          <w:color w:val="000000"/>
          <w:kern w:val="24"/>
          <w:sz w:val="24"/>
          <w:szCs w:val="24"/>
          <w:lang w:val="en-GB" w:eastAsia="en-GB"/>
        </w:rPr>
      </w:pPr>
      <w:r w:rsidRPr="00D64A17">
        <w:rPr>
          <w:rFonts w:eastAsia="+mj-ea" w:cstheme="minorHAnsi"/>
          <w:kern w:val="24"/>
          <w:sz w:val="24"/>
          <w:szCs w:val="24"/>
          <w:lang w:val="en-GB" w:eastAsia="en-GB"/>
        </w:rPr>
        <w:t>Goal</w:t>
      </w:r>
      <w:r w:rsidRPr="00D64A17">
        <w:rPr>
          <w:rFonts w:eastAsia="+mj-ea" w:cstheme="minorHAnsi"/>
          <w:kern w:val="24"/>
          <w:sz w:val="24"/>
          <w:szCs w:val="24"/>
          <w:lang w:val="en-GB" w:eastAsia="en-GB"/>
        </w:rPr>
        <w:t xml:space="preserve"> 5. Accomplish orientation uniformity and enable all ladies and young ladies (Drive variety and support in the work market by eliminating boundaries to under-addressed bunches accomplishing their maximum capacity at work. </w:t>
      </w:r>
      <w:r w:rsidRPr="00D64A17">
        <w:rPr>
          <w:rFonts w:eastAsia="+mj-ea" w:cstheme="minorHAnsi"/>
          <w:kern w:val="24"/>
          <w:sz w:val="24"/>
          <w:szCs w:val="24"/>
          <w:lang w:val="en-GB" w:eastAsia="en-GB"/>
        </w:rPr>
        <w:t>This incorporate straightforwardness</w:t>
      </w:r>
      <w:r w:rsidRPr="00D64A17">
        <w:rPr>
          <w:rFonts w:eastAsia="+mj-ea" w:cstheme="minorHAnsi"/>
          <w:kern w:val="24"/>
          <w:sz w:val="24"/>
          <w:szCs w:val="24"/>
          <w:lang w:val="en-GB" w:eastAsia="en-GB"/>
        </w:rPr>
        <w:t>, adaptability from managers, as well as legal qualifications</w:t>
      </w:r>
      <w:r w:rsidRPr="00D64A17">
        <w:rPr>
          <w:rFonts w:ascii="Times New Roman" w:eastAsia="+mj-ea" w:hAnsi="Times New Roman" w:cstheme="minorHAnsi"/>
          <w:color w:val="000000"/>
          <w:kern w:val="24"/>
          <w:sz w:val="24"/>
          <w:szCs w:val="24"/>
          <w:lang w:val="en-GB" w:eastAsia="en-GB"/>
        </w:rPr>
        <w:t>.</w:t>
      </w:r>
    </w:p>
    <w:p w14:paraId="5A9570B4" w14:textId="022F73C8" w:rsidR="00D64A17" w:rsidRPr="00D64A17" w:rsidRDefault="00D64A17" w:rsidP="00D64A17">
      <w:pPr>
        <w:spacing w:after="160" w:line="259" w:lineRule="auto"/>
        <w:rPr>
          <w:rFonts w:eastAsia="+mj-ea" w:cstheme="minorHAnsi"/>
          <w:color w:val="000000"/>
          <w:kern w:val="24"/>
          <w:sz w:val="24"/>
          <w:szCs w:val="24"/>
          <w:lang w:val="en-GB" w:eastAsia="en-GB"/>
        </w:rPr>
      </w:pPr>
      <w:r w:rsidRPr="00D64A17">
        <w:rPr>
          <w:rFonts w:eastAsia="+mj-ea" w:cstheme="minorHAnsi"/>
          <w:color w:val="000000"/>
          <w:kern w:val="24"/>
          <w:sz w:val="24"/>
          <w:szCs w:val="24"/>
          <w:lang w:val="en-GB" w:eastAsia="en-GB"/>
        </w:rPr>
        <w:t>Goal</w:t>
      </w:r>
      <w:r w:rsidRPr="00D64A17">
        <w:rPr>
          <w:rFonts w:eastAsia="+mj-ea" w:cstheme="minorHAnsi"/>
          <w:color w:val="000000"/>
          <w:kern w:val="24"/>
          <w:sz w:val="24"/>
          <w:szCs w:val="24"/>
          <w:lang w:val="en-GB" w:eastAsia="en-GB"/>
        </w:rPr>
        <w:t xml:space="preserve"> 6. Guarantee accessibility and practical administration of water and disinfection for all (Guarantee strong, economical, reasonable water administrations to homes and organizations, through an essential structure for water area arranging and venture, and a reinforced administrative system.</w:t>
      </w:r>
    </w:p>
    <w:p w14:paraId="26165769" w14:textId="77777777" w:rsidR="00D64A17" w:rsidRDefault="00D64A17" w:rsidP="00D64A17">
      <w:pPr>
        <w:spacing w:after="160" w:line="259" w:lineRule="auto"/>
        <w:rPr>
          <w:rFonts w:ascii="Calibri" w:eastAsia="+mn-ea" w:hAnsi="Calibri" w:cs="Calibri"/>
          <w:color w:val="000000"/>
          <w:kern w:val="24"/>
          <w:sz w:val="24"/>
          <w:szCs w:val="24"/>
        </w:rPr>
      </w:pPr>
      <w:r w:rsidRPr="00D64A17">
        <w:rPr>
          <w:rFonts w:eastAsia="+mj-ea" w:cstheme="minorHAnsi"/>
          <w:color w:val="000000"/>
          <w:kern w:val="24"/>
          <w:sz w:val="24"/>
          <w:szCs w:val="24"/>
          <w:lang w:val="en-GB" w:eastAsia="en-GB"/>
        </w:rPr>
        <w:t>Goal</w:t>
      </w:r>
      <w:r w:rsidRPr="00D64A17">
        <w:rPr>
          <w:rFonts w:eastAsia="+mj-ea" w:cstheme="minorHAnsi"/>
          <w:color w:val="000000"/>
          <w:kern w:val="24"/>
          <w:sz w:val="24"/>
          <w:szCs w:val="24"/>
          <w:lang w:val="en-GB" w:eastAsia="en-GB"/>
        </w:rPr>
        <w:t xml:space="preserve"> 7. Guarantee admittance to reasonable, dependable, manageable, and </w:t>
      </w:r>
      <w:r w:rsidRPr="00D64A17">
        <w:rPr>
          <w:rFonts w:eastAsia="+mj-ea" w:cstheme="minorHAnsi"/>
          <w:color w:val="000000"/>
          <w:kern w:val="24"/>
          <w:sz w:val="24"/>
          <w:szCs w:val="24"/>
          <w:lang w:val="en-GB" w:eastAsia="en-GB"/>
        </w:rPr>
        <w:t>present-day</w:t>
      </w:r>
      <w:r w:rsidRPr="00D64A17">
        <w:rPr>
          <w:rFonts w:eastAsia="+mj-ea" w:cstheme="minorHAnsi"/>
          <w:color w:val="000000"/>
          <w:kern w:val="24"/>
          <w:sz w:val="24"/>
          <w:szCs w:val="24"/>
          <w:lang w:val="en-GB" w:eastAsia="en-GB"/>
        </w:rPr>
        <w:t xml:space="preserve"> energy for all (Work with business, the scholarly community, and common society to convey the Perfect Development Procedure, our lawfully restricting ozone depleting substance discharges decreases targets and the Spotless Development Challenge of the Modern Technique</w:t>
      </w:r>
      <w:r w:rsidR="001B513D" w:rsidRPr="001B513D">
        <w:rPr>
          <w:rFonts w:ascii="Calibri" w:eastAsia="+mn-ea" w:hAnsi="Calibri" w:cs="Calibri"/>
          <w:color w:val="000000"/>
          <w:kern w:val="24"/>
          <w:sz w:val="24"/>
          <w:szCs w:val="24"/>
        </w:rPr>
        <w:t>.</w:t>
      </w:r>
    </w:p>
    <w:p w14:paraId="5F47CFD3" w14:textId="422419FB" w:rsidR="00D64A17" w:rsidRPr="00D64A17" w:rsidRDefault="001B513D" w:rsidP="00D64A17">
      <w:pPr>
        <w:spacing w:after="160" w:line="259" w:lineRule="auto"/>
        <w:rPr>
          <w:rFonts w:ascii="Calibri" w:eastAsia="+mj-ea" w:hAnsi="Calibri" w:cs="Calibri"/>
          <w:color w:val="000000"/>
          <w:kern w:val="24"/>
          <w:sz w:val="24"/>
          <w:szCs w:val="24"/>
        </w:rPr>
      </w:pPr>
      <w:r w:rsidRPr="001B513D">
        <w:rPr>
          <w:rFonts w:ascii="Calibri" w:eastAsia="+mj-ea" w:hAnsi="Calibri" w:cs="Calibri"/>
          <w:color w:val="000000"/>
          <w:kern w:val="24"/>
          <w:sz w:val="24"/>
          <w:szCs w:val="24"/>
        </w:rPr>
        <w:lastRenderedPageBreak/>
        <w:t xml:space="preserve"> </w:t>
      </w:r>
      <w:r w:rsidR="00D64A17">
        <w:rPr>
          <w:rFonts w:ascii="Calibri" w:eastAsia="+mj-ea" w:hAnsi="Calibri" w:cs="Calibri"/>
          <w:color w:val="000000"/>
          <w:kern w:val="24"/>
          <w:sz w:val="24"/>
          <w:szCs w:val="24"/>
        </w:rPr>
        <w:t xml:space="preserve">Goal </w:t>
      </w:r>
      <w:r w:rsidR="00D64A17" w:rsidRPr="00D64A17">
        <w:rPr>
          <w:rFonts w:ascii="Calibri" w:eastAsia="+mj-ea" w:hAnsi="Calibri" w:cs="Calibri"/>
          <w:color w:val="000000"/>
          <w:kern w:val="24"/>
          <w:sz w:val="24"/>
          <w:szCs w:val="24"/>
        </w:rPr>
        <w:t>8. Advance maintained, comprehensive, and practical monetary development, full and useful business, and respectable work for all (Increment work and efficiency, guaranteeing solid development and seriousness across all districts of the UK through a complete bundle of underlying changes, making the most of the potential open doors given by leaving the EU.</w:t>
      </w:r>
    </w:p>
    <w:p w14:paraId="60FCC8B6" w14:textId="2EF88A35" w:rsidR="00D64A17" w:rsidRPr="00D64A17" w:rsidRDefault="00D64A17" w:rsidP="00D64A17">
      <w:pPr>
        <w:spacing w:line="360" w:lineRule="auto"/>
        <w:jc w:val="both"/>
        <w:rPr>
          <w:rFonts w:ascii="Calibri" w:eastAsia="+mj-ea" w:hAnsi="Calibri" w:cs="Calibri"/>
          <w:color w:val="000000"/>
          <w:kern w:val="24"/>
          <w:sz w:val="24"/>
          <w:szCs w:val="24"/>
        </w:rPr>
      </w:pPr>
      <w:r>
        <w:rPr>
          <w:rFonts w:ascii="Calibri" w:eastAsia="+mj-ea" w:hAnsi="Calibri" w:cs="Calibri"/>
          <w:color w:val="000000"/>
          <w:kern w:val="24"/>
          <w:sz w:val="24"/>
          <w:szCs w:val="24"/>
        </w:rPr>
        <w:t>Goal</w:t>
      </w:r>
      <w:r w:rsidRPr="00D64A17">
        <w:rPr>
          <w:rFonts w:ascii="Calibri" w:eastAsia="+mj-ea" w:hAnsi="Calibri" w:cs="Calibri"/>
          <w:color w:val="000000"/>
          <w:kern w:val="24"/>
          <w:sz w:val="24"/>
          <w:szCs w:val="24"/>
        </w:rPr>
        <w:t xml:space="preserve"> 9. This objective is tied in with assuming the liability to foster quality, solid, practical, and strong foundation for supporting monetary turn of events and social prosperity.</w:t>
      </w:r>
    </w:p>
    <w:p w14:paraId="5CACE002" w14:textId="78BB315E" w:rsidR="00D64A17" w:rsidRPr="00D64A17" w:rsidRDefault="00D64A17" w:rsidP="00D64A17">
      <w:pPr>
        <w:spacing w:line="360" w:lineRule="auto"/>
        <w:jc w:val="both"/>
        <w:rPr>
          <w:rFonts w:ascii="Calibri" w:eastAsia="+mj-ea" w:hAnsi="Calibri" w:cs="Calibri"/>
          <w:color w:val="000000"/>
          <w:kern w:val="24"/>
          <w:sz w:val="24"/>
          <w:szCs w:val="24"/>
        </w:rPr>
      </w:pPr>
      <w:r>
        <w:rPr>
          <w:rFonts w:ascii="Calibri" w:eastAsia="+mj-ea" w:hAnsi="Calibri" w:cs="Calibri"/>
          <w:color w:val="000000"/>
          <w:kern w:val="24"/>
          <w:sz w:val="24"/>
          <w:szCs w:val="24"/>
        </w:rPr>
        <w:t>Goal</w:t>
      </w:r>
      <w:r w:rsidRPr="00D64A17">
        <w:rPr>
          <w:rFonts w:ascii="Calibri" w:eastAsia="+mj-ea" w:hAnsi="Calibri" w:cs="Calibri"/>
          <w:color w:val="000000"/>
          <w:kern w:val="24"/>
          <w:sz w:val="24"/>
          <w:szCs w:val="24"/>
        </w:rPr>
        <w:t xml:space="preserve"> 10. Social prohibition implies that people are impeded or denied admittance to central freedoms, valuable open doors, or assets like lodging, business, medical services, or </w:t>
      </w:r>
      <w:r w:rsidRPr="00D64A17">
        <w:rPr>
          <w:rFonts w:ascii="Calibri" w:eastAsia="+mj-ea" w:hAnsi="Calibri" w:cs="Calibri"/>
          <w:color w:val="000000"/>
          <w:kern w:val="24"/>
          <w:sz w:val="24"/>
          <w:szCs w:val="24"/>
        </w:rPr>
        <w:t>popularity-based</w:t>
      </w:r>
      <w:r w:rsidRPr="00D64A17">
        <w:rPr>
          <w:rFonts w:ascii="Calibri" w:eastAsia="+mj-ea" w:hAnsi="Calibri" w:cs="Calibri"/>
          <w:color w:val="000000"/>
          <w:kern w:val="24"/>
          <w:sz w:val="24"/>
          <w:szCs w:val="24"/>
        </w:rPr>
        <w:t xml:space="preserve"> cooperation, it is essential we delete it.</w:t>
      </w:r>
    </w:p>
    <w:p w14:paraId="0F641CA0" w14:textId="3D8089A6" w:rsidR="00D64A17" w:rsidRDefault="00D64A17" w:rsidP="00D64A17">
      <w:pPr>
        <w:spacing w:line="360" w:lineRule="auto"/>
        <w:jc w:val="both"/>
        <w:rPr>
          <w:rFonts w:ascii="Calibri" w:eastAsia="+mj-ea" w:hAnsi="Calibri" w:cs="Calibri"/>
          <w:color w:val="000000"/>
          <w:kern w:val="24"/>
          <w:sz w:val="24"/>
          <w:szCs w:val="24"/>
        </w:rPr>
      </w:pPr>
      <w:r>
        <w:rPr>
          <w:rFonts w:ascii="Calibri" w:eastAsia="+mj-ea" w:hAnsi="Calibri" w:cs="Calibri"/>
          <w:color w:val="000000"/>
          <w:kern w:val="24"/>
          <w:sz w:val="24"/>
          <w:szCs w:val="24"/>
        </w:rPr>
        <w:t xml:space="preserve">Goal </w:t>
      </w:r>
      <w:r w:rsidRPr="00D64A17">
        <w:rPr>
          <w:rFonts w:ascii="Calibri" w:eastAsia="+mj-ea" w:hAnsi="Calibri" w:cs="Calibri"/>
          <w:color w:val="000000"/>
          <w:kern w:val="24"/>
          <w:sz w:val="24"/>
          <w:szCs w:val="24"/>
        </w:rPr>
        <w:t>11. This objective exclusively depends on making comprehensive, safe, and economical urban communities expects fully supported by great neighborhood administration and vote based organizations.</w:t>
      </w:r>
    </w:p>
    <w:p w14:paraId="134E1D3A" w14:textId="68333423" w:rsidR="00D64A17" w:rsidRPr="00D64A17" w:rsidRDefault="00D64A17" w:rsidP="00D64A17">
      <w:pPr>
        <w:spacing w:line="360" w:lineRule="auto"/>
        <w:jc w:val="both"/>
        <w:rPr>
          <w:rFonts w:ascii="Calibri" w:eastAsia="DengXian" w:hAnsi="Calibri" w:cs="Calibri"/>
          <w:kern w:val="24"/>
          <w:sz w:val="24"/>
          <w:szCs w:val="24"/>
          <w:lang w:val="en-GB"/>
        </w:rPr>
      </w:pPr>
      <w:r w:rsidRPr="00D64A17">
        <w:rPr>
          <w:rFonts w:ascii="Calibri" w:eastAsia="DengXian" w:hAnsi="Calibri" w:cs="Times New Roman"/>
          <w:sz w:val="28"/>
          <w:szCs w:val="24"/>
          <w:lang w:val="en-GB"/>
        </w:rPr>
        <w:t>Goal</w:t>
      </w:r>
      <w:r>
        <w:rPr>
          <w:rFonts w:ascii="Calibri" w:eastAsia="DengXian" w:hAnsi="Calibri" w:cs="Times New Roman"/>
          <w:color w:val="E48312"/>
          <w:sz w:val="28"/>
          <w:szCs w:val="24"/>
          <w:lang w:val="en-GB"/>
        </w:rPr>
        <w:t xml:space="preserve"> </w:t>
      </w:r>
      <w:r w:rsidRPr="00D64A17">
        <w:rPr>
          <w:rFonts w:ascii="Calibri" w:eastAsia="DengXian" w:hAnsi="Calibri" w:cs="Calibri"/>
          <w:kern w:val="24"/>
          <w:sz w:val="24"/>
          <w:szCs w:val="24"/>
          <w:lang w:val="en-GB"/>
        </w:rPr>
        <w:t>12. This objective is essential for the monetary, ecological, social, and serious advancement of urban areas, that should settle on practical utilization and creation.</w:t>
      </w:r>
    </w:p>
    <w:p w14:paraId="36C4072C" w14:textId="4E4FC94B" w:rsidR="00D64A17" w:rsidRPr="00D64A17" w:rsidRDefault="00D64A17" w:rsidP="00D64A17">
      <w:pPr>
        <w:spacing w:line="360" w:lineRule="auto"/>
        <w:jc w:val="both"/>
        <w:rPr>
          <w:rFonts w:ascii="Calibri" w:eastAsia="DengXian" w:hAnsi="Calibri" w:cs="Calibri"/>
          <w:kern w:val="24"/>
          <w:sz w:val="24"/>
          <w:szCs w:val="24"/>
          <w:lang w:val="en-GB"/>
        </w:rPr>
      </w:pPr>
      <w:r>
        <w:rPr>
          <w:rFonts w:ascii="Calibri" w:eastAsia="DengXian" w:hAnsi="Calibri" w:cs="Calibri"/>
          <w:kern w:val="24"/>
          <w:sz w:val="24"/>
          <w:szCs w:val="24"/>
          <w:lang w:val="en-GB"/>
        </w:rPr>
        <w:t xml:space="preserve">Goal </w:t>
      </w:r>
      <w:r w:rsidRPr="00D64A17">
        <w:rPr>
          <w:rFonts w:ascii="Calibri" w:eastAsia="DengXian" w:hAnsi="Calibri" w:cs="Calibri"/>
          <w:kern w:val="24"/>
          <w:sz w:val="24"/>
          <w:szCs w:val="24"/>
          <w:lang w:val="en-GB"/>
        </w:rPr>
        <w:t>13. Environmental change is influencing each country on each mainland. It is upsetting public economies and influencing lives. Atmospheric conditions are changing, ocean levels are rising, and climate occasions are turning out to be more limit.</w:t>
      </w:r>
    </w:p>
    <w:p w14:paraId="1953F94E" w14:textId="65EA32F0" w:rsidR="00D64A17" w:rsidRPr="00D64A17" w:rsidRDefault="00D64A17" w:rsidP="00D64A17">
      <w:pPr>
        <w:spacing w:line="360" w:lineRule="auto"/>
        <w:jc w:val="both"/>
        <w:rPr>
          <w:rFonts w:ascii="Calibri" w:eastAsia="DengXian" w:hAnsi="Calibri" w:cs="Calibri"/>
          <w:kern w:val="24"/>
          <w:sz w:val="24"/>
          <w:szCs w:val="24"/>
          <w:lang w:val="en-GB"/>
        </w:rPr>
      </w:pPr>
      <w:r>
        <w:rPr>
          <w:rFonts w:ascii="Calibri" w:eastAsia="DengXian" w:hAnsi="Calibri" w:cs="Calibri"/>
          <w:kern w:val="24"/>
          <w:sz w:val="24"/>
          <w:szCs w:val="24"/>
          <w:lang w:val="en-GB"/>
        </w:rPr>
        <w:t xml:space="preserve">Goal </w:t>
      </w:r>
      <w:r w:rsidRPr="00D64A17">
        <w:rPr>
          <w:rFonts w:ascii="Calibri" w:eastAsia="DengXian" w:hAnsi="Calibri" w:cs="Calibri"/>
          <w:kern w:val="24"/>
          <w:sz w:val="24"/>
          <w:szCs w:val="24"/>
          <w:lang w:val="en-GB"/>
        </w:rPr>
        <w:t>14. Save and reasonably utilize the seas, oceans, and marine assets</w:t>
      </w:r>
    </w:p>
    <w:p w14:paraId="458FE267" w14:textId="64B10238" w:rsidR="00D64A17" w:rsidRPr="00D64A17" w:rsidRDefault="00D64A17" w:rsidP="00D64A17">
      <w:pPr>
        <w:spacing w:line="360" w:lineRule="auto"/>
        <w:jc w:val="both"/>
        <w:rPr>
          <w:rFonts w:ascii="Calibri" w:eastAsia="DengXian" w:hAnsi="Calibri" w:cs="Calibri"/>
          <w:kern w:val="24"/>
          <w:sz w:val="24"/>
          <w:szCs w:val="24"/>
          <w:lang w:val="en-GB"/>
        </w:rPr>
      </w:pPr>
      <w:r w:rsidRPr="00D64A17">
        <w:rPr>
          <w:rFonts w:ascii="Calibri" w:eastAsia="DengXian" w:hAnsi="Calibri" w:cs="Calibri"/>
          <w:kern w:val="24"/>
          <w:sz w:val="24"/>
          <w:szCs w:val="24"/>
          <w:lang w:val="en-GB"/>
        </w:rPr>
        <w:t xml:space="preserve"> Goal</w:t>
      </w:r>
      <w:r>
        <w:rPr>
          <w:rFonts w:ascii="Calibri" w:eastAsia="DengXian" w:hAnsi="Calibri" w:cs="Calibri"/>
          <w:kern w:val="24"/>
          <w:sz w:val="24"/>
          <w:szCs w:val="24"/>
          <w:lang w:val="en-GB"/>
        </w:rPr>
        <w:t xml:space="preserve"> </w:t>
      </w:r>
      <w:r w:rsidRPr="00D64A17">
        <w:rPr>
          <w:rFonts w:ascii="Calibri" w:eastAsia="DengXian" w:hAnsi="Calibri" w:cs="Calibri"/>
          <w:kern w:val="24"/>
          <w:sz w:val="24"/>
          <w:szCs w:val="24"/>
          <w:lang w:val="en-GB"/>
        </w:rPr>
        <w:t>15. Guarantee sound lives and advance prosperity for all at all ages.</w:t>
      </w:r>
    </w:p>
    <w:p w14:paraId="3BED64AE" w14:textId="5A9AF16F" w:rsidR="00D64A17" w:rsidRPr="00D64A17" w:rsidRDefault="00D64A17" w:rsidP="00D64A17">
      <w:pPr>
        <w:spacing w:line="360" w:lineRule="auto"/>
        <w:jc w:val="both"/>
        <w:rPr>
          <w:rFonts w:ascii="Calibri" w:eastAsia="DengXian" w:hAnsi="Calibri" w:cs="Calibri"/>
          <w:kern w:val="24"/>
          <w:sz w:val="24"/>
          <w:szCs w:val="24"/>
          <w:lang w:val="en-GB"/>
        </w:rPr>
      </w:pPr>
      <w:r>
        <w:rPr>
          <w:rFonts w:ascii="Calibri" w:eastAsia="DengXian" w:hAnsi="Calibri" w:cs="Calibri"/>
          <w:kern w:val="24"/>
          <w:sz w:val="24"/>
          <w:szCs w:val="24"/>
          <w:lang w:val="en-GB"/>
        </w:rPr>
        <w:t xml:space="preserve">Goal </w:t>
      </w:r>
      <w:r w:rsidRPr="00D64A17">
        <w:rPr>
          <w:rFonts w:ascii="Calibri" w:eastAsia="DengXian" w:hAnsi="Calibri" w:cs="Calibri"/>
          <w:kern w:val="24"/>
          <w:sz w:val="24"/>
          <w:szCs w:val="24"/>
          <w:lang w:val="en-GB"/>
        </w:rPr>
        <w:t>16: Advance just, quiet, and comprehensive social orders for practical turn of events, give admittance to equity to all and construct compelling, responsible, and comprehensive foundations at all levels.</w:t>
      </w:r>
    </w:p>
    <w:p w14:paraId="4E39DEA5" w14:textId="7DA015E4" w:rsidR="001B513D" w:rsidRDefault="00D64A17" w:rsidP="00D64A17">
      <w:pPr>
        <w:spacing w:line="360" w:lineRule="auto"/>
        <w:jc w:val="both"/>
        <w:rPr>
          <w:sz w:val="24"/>
          <w:szCs w:val="24"/>
        </w:rPr>
      </w:pPr>
      <w:r>
        <w:rPr>
          <w:rFonts w:ascii="Calibri" w:eastAsia="DengXian" w:hAnsi="Calibri" w:cs="Calibri"/>
          <w:kern w:val="24"/>
          <w:sz w:val="24"/>
          <w:szCs w:val="24"/>
          <w:lang w:val="en-GB"/>
        </w:rPr>
        <w:t>Goal</w:t>
      </w:r>
      <w:r w:rsidRPr="00D64A17">
        <w:rPr>
          <w:rFonts w:ascii="Calibri" w:eastAsia="DengXian" w:hAnsi="Calibri" w:cs="Calibri"/>
          <w:kern w:val="24"/>
          <w:sz w:val="24"/>
          <w:szCs w:val="24"/>
          <w:lang w:val="en-GB"/>
        </w:rPr>
        <w:t xml:space="preserve"> 17: Rejuvenate the worldwide association for maintainable turn of events. The SDGs must be acknowledged areas of strength for with associations and collaboration</w:t>
      </w:r>
    </w:p>
    <w:p w14:paraId="3C0B8781" w14:textId="77777777" w:rsidR="000F1161" w:rsidRDefault="000F1161">
      <w:pPr>
        <w:spacing w:line="360" w:lineRule="auto"/>
        <w:jc w:val="both"/>
        <w:rPr>
          <w:sz w:val="24"/>
          <w:szCs w:val="24"/>
        </w:rPr>
      </w:pPr>
    </w:p>
    <w:p w14:paraId="060ED8A7" w14:textId="77777777" w:rsidR="001B513D" w:rsidRDefault="001B513D">
      <w:pPr>
        <w:spacing w:line="360" w:lineRule="auto"/>
        <w:jc w:val="both"/>
        <w:rPr>
          <w:b/>
          <w:bCs/>
          <w:sz w:val="24"/>
          <w:szCs w:val="24"/>
        </w:rPr>
      </w:pPr>
    </w:p>
    <w:p w14:paraId="6EA847F2" w14:textId="77777777" w:rsidR="001B513D" w:rsidRDefault="001B513D">
      <w:pPr>
        <w:spacing w:line="360" w:lineRule="auto"/>
        <w:jc w:val="both"/>
        <w:rPr>
          <w:b/>
          <w:bCs/>
          <w:sz w:val="24"/>
          <w:szCs w:val="24"/>
        </w:rPr>
      </w:pPr>
    </w:p>
    <w:p w14:paraId="63009B79" w14:textId="77777777" w:rsidR="001B513D" w:rsidRDefault="001B513D">
      <w:pPr>
        <w:spacing w:line="360" w:lineRule="auto"/>
        <w:jc w:val="both"/>
        <w:rPr>
          <w:b/>
          <w:bCs/>
          <w:sz w:val="24"/>
          <w:szCs w:val="24"/>
        </w:rPr>
      </w:pPr>
    </w:p>
    <w:p w14:paraId="215A3F79" w14:textId="76FC208C" w:rsidR="000F1161" w:rsidRPr="001B36CE" w:rsidRDefault="001B36CE">
      <w:pPr>
        <w:spacing w:line="360" w:lineRule="auto"/>
        <w:jc w:val="both"/>
        <w:rPr>
          <w:b/>
          <w:bCs/>
          <w:color w:val="5B9BD5" w:themeColor="accent1"/>
          <w:sz w:val="24"/>
          <w:szCs w:val="24"/>
        </w:rPr>
      </w:pPr>
      <w:r>
        <w:rPr>
          <w:b/>
          <w:bCs/>
          <w:color w:val="5B9BD5" w:themeColor="accent1"/>
          <w:sz w:val="24"/>
          <w:szCs w:val="24"/>
        </w:rPr>
        <w:lastRenderedPageBreak/>
        <w:t xml:space="preserve">2.1 </w:t>
      </w:r>
      <w:r w:rsidR="00000000" w:rsidRPr="001B36CE">
        <w:rPr>
          <w:b/>
          <w:bCs/>
          <w:color w:val="5B9BD5" w:themeColor="accent1"/>
          <w:sz w:val="24"/>
          <w:szCs w:val="24"/>
        </w:rPr>
        <w:t>SEARCHLIGHT ON UK TOWARDS ACHIEVING GOALS ON GOOD HEALTH AND WELLBEING, QUALITY EDUCATION AND PARTNERSHIPS IN ACCORDANCE WITH THE SUSTAINABLE DEVELOPMENT GOALS</w:t>
      </w:r>
    </w:p>
    <w:p w14:paraId="1E41D61B" w14:textId="726035BA" w:rsidR="000F1161" w:rsidRDefault="00000000">
      <w:pPr>
        <w:spacing w:line="360" w:lineRule="auto"/>
        <w:jc w:val="both"/>
        <w:rPr>
          <w:sz w:val="24"/>
          <w:szCs w:val="24"/>
        </w:rPr>
      </w:pPr>
      <w:r>
        <w:rPr>
          <w:sz w:val="24"/>
          <w:szCs w:val="24"/>
        </w:rPr>
        <w:t xml:space="preserve">As a result of inconsistent despite the advancements and achievements recorded from the implementation of the eight goals with 21 targets of the Millennium development goals, the United Nations, in 2015 set sustainable development goals which contained 17 goals, 169 targets and 231 indicators signed by 193 member-nations with the aim of achieving the goals by 2030 (UN, 2021). Without doubt, by indicators such as rising birth rate, the world population is fast rising. Migration from rural to urban as well as from the poor nations to the advanced economies adds to the rise in population of the urban cities paving way for slums or informal houses in the cities (UN, 2021). The global citizens living in the rural and urban, poor and advanced nations are facing different challenges. The global challenges are adversely affecting the rising human population as shown in rising insecurity, food deficits, inaccessible to clean water, negative effects of climate change, decline economy and others. Quality of living, accessible to basic needs, the health needs and others require collaborative partnership efforts of nations particularly UK. United Nations general assembly developed Millennium Development Goals with a 2020 target for the set goals in which UK played a prominent role in different forms of supports. In 2013, A 30-member constituted by the same General assembly of United Nation (UN) open working group developed a proposal on the sustainable development goals (SDGs). Post-2015 development agenda culminated into the birth of the SDG agenda. Sustainable development goals </w:t>
      </w:r>
      <w:r w:rsidR="002B191A">
        <w:rPr>
          <w:sz w:val="24"/>
          <w:szCs w:val="24"/>
        </w:rPr>
        <w:t>contain</w:t>
      </w:r>
      <w:r>
        <w:rPr>
          <w:sz w:val="24"/>
          <w:szCs w:val="24"/>
        </w:rPr>
        <w:t xml:space="preserve"> 17 items namely zero poverty, zero hunger, good health and well-being, quality education, gender equality, clean water and sanitation, affordable clean energy, decent work and economic growth, industry, innovation and infrastructure, reduced inequalities, sustainable cities and communities, responsible consumption and production, climate action, life below water, life on land, peace, justice and strong institutions and partnerships for the goals. Poverty of basic needs of healthy foods, quality housing and clothing especially the low developed countries (LDCs) is major among the top goals set to be achieved. Continents which are endowed with unused large expanse of fertile lands for farming as well as the agriculture ecology climate in Africa, Asia are most hit with deficit </w:t>
      </w:r>
      <w:r>
        <w:rPr>
          <w:sz w:val="24"/>
          <w:szCs w:val="24"/>
        </w:rPr>
        <w:lastRenderedPageBreak/>
        <w:t xml:space="preserve">beneficial foods to feed the rising population. Population that is sufficiently fed is a factor in wealth creation and healthy economy. The working age should be able to earn enough that ensure the zero hunger is achieved through the employment opportunities for the healthy working population at farms and firms. Decent housing with all the facilities needed for the inhabitants is an agenda under the SDGs to find decent homes for the rising population of homeless wherever they are populated. The third goal is focused on the health and wellbeing of residents across the boroughs in UK The gender equality is set to be achieved by 2030 when it is expected that violence against women, old and young, which has become endemic shall be a thing of the past. By 2030 set for the actualization of the 17 goals of the SDGs by the 193 signatory nations, women should be actively participating in decision making, no more suffering from child marriage, female genital mutilation, access to leadership position in political and economic spheres. In addition, clean and healthy water shall be accessible to global citizens as well as sustainable energy to meet the climate goals. Others include </w:t>
      </w:r>
      <w:r w:rsidR="002B191A">
        <w:rPr>
          <w:sz w:val="24"/>
          <w:szCs w:val="24"/>
        </w:rPr>
        <w:t>labor</w:t>
      </w:r>
      <w:r>
        <w:rPr>
          <w:sz w:val="24"/>
          <w:szCs w:val="24"/>
        </w:rPr>
        <w:t xml:space="preserve"> market challenges for the global citizens in decent workplaces, right social welfare packages and remuneration, the uncertainties of policies affecting the incomes of </w:t>
      </w:r>
      <w:r w:rsidR="002B191A">
        <w:rPr>
          <w:sz w:val="24"/>
          <w:szCs w:val="24"/>
        </w:rPr>
        <w:t>labor</w:t>
      </w:r>
      <w:r>
        <w:rPr>
          <w:sz w:val="24"/>
          <w:szCs w:val="24"/>
        </w:rPr>
        <w:t xml:space="preserve"> and others resulting in the consequences of the rising inflation on people. The SDG is technology-driven where innovations, industry and the infrastructures are </w:t>
      </w:r>
      <w:r w:rsidR="002B191A">
        <w:rPr>
          <w:sz w:val="24"/>
          <w:szCs w:val="24"/>
        </w:rPr>
        <w:t>focused,</w:t>
      </w:r>
      <w:r>
        <w:rPr>
          <w:sz w:val="24"/>
          <w:szCs w:val="24"/>
        </w:rPr>
        <w:t xml:space="preserve"> and these give rise to industries. The goal aimed at reducing inequalities in earning that often result in migration from rural to urban, poor nations to advanced economies. Working on sustainable cities and communities as migrations from rural to cities and poor nations to the rich nations are soaring is a goal. It was reported that more than half of global population live in </w:t>
      </w:r>
      <w:r w:rsidR="002B191A">
        <w:rPr>
          <w:sz w:val="24"/>
          <w:szCs w:val="24"/>
        </w:rPr>
        <w:t>cities,</w:t>
      </w:r>
      <w:r>
        <w:rPr>
          <w:sz w:val="24"/>
          <w:szCs w:val="24"/>
        </w:rPr>
        <w:t xml:space="preserve"> and this shall rise to 70% by 2050 despite the challenge of 25% among those in the cities lived in slums as at 2020. the SDG is also working on responsible consumption and production hence people globally have access to health consumption and all spheres of production that would not adversely affect climate goals, the life on land and below water. Every citizen shall not be discriminated with, suffer marginalization through access to justice administration. All the goals are attainable in collaboration with partners.</w:t>
      </w:r>
    </w:p>
    <w:p w14:paraId="5EBF98C8" w14:textId="05A633BE" w:rsidR="000F1161" w:rsidRDefault="00000000">
      <w:pPr>
        <w:spacing w:line="360" w:lineRule="auto"/>
        <w:jc w:val="both"/>
        <w:rPr>
          <w:sz w:val="24"/>
          <w:szCs w:val="24"/>
        </w:rPr>
      </w:pPr>
      <w:r>
        <w:rPr>
          <w:sz w:val="24"/>
          <w:szCs w:val="24"/>
        </w:rPr>
        <w:t xml:space="preserve">UK has done greatly in the actualization of the 17 goals by series of sustainable development initiatives from relevant departments in which our focus </w:t>
      </w:r>
      <w:r w:rsidR="002B191A">
        <w:rPr>
          <w:sz w:val="24"/>
          <w:szCs w:val="24"/>
        </w:rPr>
        <w:t>is</w:t>
      </w:r>
      <w:r>
        <w:rPr>
          <w:sz w:val="24"/>
          <w:szCs w:val="24"/>
        </w:rPr>
        <w:t xml:space="preserve"> on the goals, </w:t>
      </w:r>
      <w:r>
        <w:rPr>
          <w:sz w:val="24"/>
          <w:szCs w:val="24"/>
        </w:rPr>
        <w:lastRenderedPageBreak/>
        <w:t xml:space="preserve">3, 4 and 17 namely good health and wellbeing, quality education and partnerships to achieve the goals. Starting from the educational policies comprising the tripartite system that has 11+ exams, grammar schools, technical schools and secondary modern; </w:t>
      </w:r>
      <w:r w:rsidR="002B191A">
        <w:rPr>
          <w:sz w:val="24"/>
          <w:szCs w:val="24"/>
        </w:rPr>
        <w:t>complementization</w:t>
      </w:r>
      <w:r>
        <w:rPr>
          <w:sz w:val="24"/>
          <w:szCs w:val="24"/>
        </w:rPr>
        <w:t xml:space="preserve">, new </w:t>
      </w:r>
      <w:r w:rsidR="002B191A">
        <w:rPr>
          <w:sz w:val="24"/>
          <w:szCs w:val="24"/>
        </w:rPr>
        <w:t>vocationalism</w:t>
      </w:r>
      <w:r>
        <w:rPr>
          <w:sz w:val="24"/>
          <w:szCs w:val="24"/>
        </w:rPr>
        <w:t xml:space="preserve">, the education reform acts and policies in relation to gender and ethnic differences. These policies are powered towards sustainable development goals of creating equal learning opportunities. UK invested 5.6% of its GDP by 2007/08, 6.6% in 2014 showing breakdowns of 45.7% on post-secondary diploma, 88% on secondary diploma where primary languages namely English, Irish, </w:t>
      </w:r>
      <w:r w:rsidR="002B191A">
        <w:rPr>
          <w:sz w:val="24"/>
          <w:szCs w:val="24"/>
        </w:rPr>
        <w:t>Scottish</w:t>
      </w:r>
      <w:r>
        <w:rPr>
          <w:sz w:val="24"/>
          <w:szCs w:val="24"/>
        </w:rPr>
        <w:t xml:space="preserve"> Gaelic and Welsh are used (Machin, 2016). But by SDGs statistics, it was poorly rated, internationally particularly in Europe among the nations in the continent, UK was a mid-table ranked for many subjective and objective wellbeing indicators; UK was also </w:t>
      </w:r>
      <w:r w:rsidR="002B191A">
        <w:rPr>
          <w:sz w:val="24"/>
          <w:szCs w:val="24"/>
        </w:rPr>
        <w:t>ranked</w:t>
      </w:r>
      <w:r>
        <w:rPr>
          <w:sz w:val="24"/>
          <w:szCs w:val="24"/>
        </w:rPr>
        <w:t xml:space="preserve"> 20</w:t>
      </w:r>
      <w:r>
        <w:rPr>
          <w:sz w:val="24"/>
          <w:szCs w:val="24"/>
          <w:vertAlign w:val="superscript"/>
        </w:rPr>
        <w:t>th</w:t>
      </w:r>
      <w:r>
        <w:rPr>
          <w:sz w:val="24"/>
          <w:szCs w:val="24"/>
        </w:rPr>
        <w:t xml:space="preserve"> out of the 27 nations on the mental wellbeing index in Europe; 14</w:t>
      </w:r>
      <w:r>
        <w:rPr>
          <w:sz w:val="24"/>
          <w:szCs w:val="24"/>
          <w:vertAlign w:val="superscript"/>
        </w:rPr>
        <w:t>th</w:t>
      </w:r>
      <w:r>
        <w:rPr>
          <w:sz w:val="24"/>
          <w:szCs w:val="24"/>
        </w:rPr>
        <w:t xml:space="preserve"> of 29 in 2007 and 2013, 18</w:t>
      </w:r>
      <w:r>
        <w:rPr>
          <w:sz w:val="24"/>
          <w:szCs w:val="24"/>
          <w:vertAlign w:val="superscript"/>
        </w:rPr>
        <w:t>th</w:t>
      </w:r>
      <w:r>
        <w:rPr>
          <w:sz w:val="24"/>
          <w:szCs w:val="24"/>
        </w:rPr>
        <w:t xml:space="preserve"> of 36 in average for life satisfaction, 10</w:t>
      </w:r>
      <w:r>
        <w:rPr>
          <w:sz w:val="24"/>
          <w:szCs w:val="24"/>
          <w:vertAlign w:val="superscript"/>
        </w:rPr>
        <w:t>th</w:t>
      </w:r>
      <w:r>
        <w:rPr>
          <w:sz w:val="24"/>
          <w:szCs w:val="24"/>
        </w:rPr>
        <w:t xml:space="preserve"> of  27 in happiness, 10</w:t>
      </w:r>
      <w:r>
        <w:rPr>
          <w:sz w:val="24"/>
          <w:szCs w:val="24"/>
          <w:vertAlign w:val="superscript"/>
        </w:rPr>
        <w:t>th</w:t>
      </w:r>
      <w:r>
        <w:rPr>
          <w:sz w:val="24"/>
          <w:szCs w:val="24"/>
        </w:rPr>
        <w:t xml:space="preserve"> of 36 in self-reported health (OECD, 2013, ONS, 2009-2011,), and scoring above average for self-reported health issues by adults but low self-reported by the children (Department of Health, 2013). Policies are implemented for the accomplishment of the listed goals.  Under goal 3 as published by department of health 2013, such sustainable development policies are starting well for age zero to five and the pregnant mothers, developing well for age 6-13 years, living well for 11-19 years, working well for working populace, ageing well for the old people, staff wellbeing targeted at the healthcare workers in order to provide quality health services to those in need, wellbeing and longevity, health </w:t>
      </w:r>
      <w:r w:rsidR="002B191A">
        <w:rPr>
          <w:sz w:val="24"/>
          <w:szCs w:val="24"/>
        </w:rPr>
        <w:t>behaviors</w:t>
      </w:r>
      <w:r>
        <w:rPr>
          <w:sz w:val="24"/>
          <w:szCs w:val="24"/>
        </w:rPr>
        <w:t xml:space="preserve"> and wellbeing among others are in place (</w:t>
      </w:r>
      <w:proofErr w:type="spellStart"/>
      <w:r>
        <w:rPr>
          <w:sz w:val="24"/>
          <w:szCs w:val="24"/>
        </w:rPr>
        <w:t>DoH</w:t>
      </w:r>
      <w:proofErr w:type="spellEnd"/>
      <w:r>
        <w:rPr>
          <w:sz w:val="24"/>
          <w:szCs w:val="24"/>
        </w:rPr>
        <w:t>, 2013).</w:t>
      </w:r>
    </w:p>
    <w:p w14:paraId="77551BBA" w14:textId="793D8EED" w:rsidR="000F1161" w:rsidRDefault="00000000">
      <w:pPr>
        <w:spacing w:line="360" w:lineRule="auto"/>
        <w:jc w:val="both"/>
        <w:rPr>
          <w:sz w:val="24"/>
          <w:szCs w:val="24"/>
        </w:rPr>
      </w:pPr>
      <w:r>
        <w:rPr>
          <w:sz w:val="24"/>
          <w:szCs w:val="24"/>
        </w:rPr>
        <w:t xml:space="preserve">According to the publication of department of health, on ground by the health and wellbeing facility and structures, </w:t>
      </w:r>
      <w:r w:rsidR="002B191A">
        <w:rPr>
          <w:sz w:val="24"/>
          <w:szCs w:val="24"/>
        </w:rPr>
        <w:t>there</w:t>
      </w:r>
      <w:r>
        <w:rPr>
          <w:sz w:val="24"/>
          <w:szCs w:val="24"/>
        </w:rPr>
        <w:t xml:space="preserve"> is relationship between wellbeing and </w:t>
      </w:r>
      <w:proofErr w:type="spellStart"/>
      <w:r>
        <w:rPr>
          <w:sz w:val="24"/>
          <w:szCs w:val="24"/>
        </w:rPr>
        <w:t>ongevity</w:t>
      </w:r>
      <w:proofErr w:type="spellEnd"/>
      <w:r>
        <w:rPr>
          <w:sz w:val="24"/>
          <w:szCs w:val="24"/>
        </w:rPr>
        <w:t xml:space="preserve"> (Diener et al, 2011). UK invested in promoting and researching to global health issue through promotion, protection and supports for sexual and reproductive health as well as creating the safest and topmost quality healthcare services. The research and innovations and ensuring that mental healthcare and treatment are supported by UK. The nation tackles the spread of diseases from outside as part of her national health interest. The intervention of UK has saved 1.4m children. The immunization of 76m against killer diseases by 2020 is another initiative. Funds were to produce vaccines </w:t>
      </w:r>
      <w:r>
        <w:rPr>
          <w:sz w:val="24"/>
          <w:szCs w:val="24"/>
        </w:rPr>
        <w:lastRenderedPageBreak/>
        <w:t xml:space="preserve">and drugs to exterminate world’s deadliest and preventable diseases. This effort saves lives from killer-malaria and other diseases. There are supports for 5.6m births with skilled birth attendants as well as saving 103,000 women in pregnancy and </w:t>
      </w:r>
      <w:r w:rsidR="002B191A">
        <w:rPr>
          <w:sz w:val="24"/>
          <w:szCs w:val="24"/>
        </w:rPr>
        <w:t>childbirth</w:t>
      </w:r>
      <w:r>
        <w:rPr>
          <w:sz w:val="24"/>
          <w:szCs w:val="24"/>
        </w:rPr>
        <w:t xml:space="preserve"> by immunizing of 67.1m children. 9.9m girls and women have access to voluntary family planning (DVID, 2015-16). UK is a key donor in support of sexual and reproductive health and rights (SHHR) the country met some of the SDGs to reduce mortality rate having stood at 9.02 per 100,000 in 2015 making it joint 30 in rank globally (World Bank, 2015). Towards ensuring that those suffering from mental health receive right healthcare services or supports in form of right treatment, the funds for the target </w:t>
      </w:r>
      <w:r w:rsidR="002B191A">
        <w:rPr>
          <w:sz w:val="24"/>
          <w:szCs w:val="24"/>
        </w:rPr>
        <w:t>were</w:t>
      </w:r>
      <w:r>
        <w:rPr>
          <w:sz w:val="24"/>
          <w:szCs w:val="24"/>
        </w:rPr>
        <w:t xml:space="preserve"> increased to the extent that </w:t>
      </w:r>
      <w:r w:rsidR="002B191A">
        <w:rPr>
          <w:sz w:val="24"/>
          <w:szCs w:val="24"/>
        </w:rPr>
        <w:t>one-billion-pound</w:t>
      </w:r>
      <w:r>
        <w:rPr>
          <w:sz w:val="24"/>
          <w:szCs w:val="24"/>
        </w:rPr>
        <w:t xml:space="preserve"> sterling was budgeted by 2020-21. this included provisions towards improving access to psychological therapies (IAPT) scheme. For accessibility of data for references of users, office of national </w:t>
      </w:r>
      <w:r w:rsidR="002B191A">
        <w:rPr>
          <w:sz w:val="24"/>
          <w:szCs w:val="24"/>
        </w:rPr>
        <w:t>statistics (</w:t>
      </w:r>
      <w:r>
        <w:rPr>
          <w:sz w:val="24"/>
          <w:szCs w:val="24"/>
        </w:rPr>
        <w:t xml:space="preserve">ONS) published wellbeing report </w:t>
      </w:r>
      <w:r w:rsidR="002B191A">
        <w:rPr>
          <w:sz w:val="24"/>
          <w:szCs w:val="24"/>
        </w:rPr>
        <w:t>based on</w:t>
      </w:r>
      <w:r>
        <w:rPr>
          <w:sz w:val="24"/>
          <w:szCs w:val="24"/>
        </w:rPr>
        <w:t xml:space="preserve"> the 10 areas of life where the wellbeing of citizens </w:t>
      </w:r>
      <w:r w:rsidR="002B191A">
        <w:rPr>
          <w:sz w:val="24"/>
          <w:szCs w:val="24"/>
        </w:rPr>
        <w:t>is</w:t>
      </w:r>
      <w:r>
        <w:rPr>
          <w:sz w:val="24"/>
          <w:szCs w:val="24"/>
        </w:rPr>
        <w:t xml:space="preserve"> vital. The ONS has published how personal wellbeing has changed in geographical areas in UK over a five-year period based on this report, through partnership, Brent brings four partners with the aim of delivering private and affordable housing, sharing teaching space and improving hospital and university services and facilities (DIT, 2022). </w:t>
      </w:r>
      <w:r w:rsidR="002B191A">
        <w:rPr>
          <w:sz w:val="24"/>
          <w:szCs w:val="24"/>
        </w:rPr>
        <w:t>To</w:t>
      </w:r>
      <w:r>
        <w:rPr>
          <w:sz w:val="24"/>
          <w:szCs w:val="24"/>
        </w:rPr>
        <w:t xml:space="preserve"> achieve the set goals on health and wellbeing and quality education, UK partnerships are important. By the partnership, since 2017, One Public Estate (OPE) has awarded 530,000 Pounds Sterling to Brent partnership’s Northwick Park Project. London borough of Brent also has a successful bid of 9.9m pounds sterling Housing Infrastructure Funding (HIF). The hospital trust has built an energy </w:t>
      </w:r>
      <w:r w:rsidR="002B191A">
        <w:rPr>
          <w:sz w:val="24"/>
          <w:szCs w:val="24"/>
        </w:rPr>
        <w:t>center</w:t>
      </w:r>
      <w:r>
        <w:rPr>
          <w:sz w:val="24"/>
          <w:szCs w:val="24"/>
        </w:rPr>
        <w:t xml:space="preserve"> which will reduce carbon emissions at Northwick Park Hospital by over 2,500 </w:t>
      </w:r>
      <w:r w:rsidR="002B191A">
        <w:rPr>
          <w:sz w:val="24"/>
          <w:szCs w:val="24"/>
        </w:rPr>
        <w:t>tons</w:t>
      </w:r>
      <w:r>
        <w:rPr>
          <w:sz w:val="24"/>
          <w:szCs w:val="24"/>
        </w:rPr>
        <w:t xml:space="preserve"> annually and saving of 25.5m pounds sterling over the next 15 years. All these add value to health and wellbeing of the residents. The UK partnership on health and social care in one public estate, housing in (OPE) and integrated public services regeneration. By the partnership, cost </w:t>
      </w:r>
      <w:r w:rsidR="002B191A">
        <w:rPr>
          <w:sz w:val="24"/>
          <w:szCs w:val="24"/>
        </w:rPr>
        <w:t>is</w:t>
      </w:r>
      <w:r>
        <w:rPr>
          <w:sz w:val="24"/>
          <w:szCs w:val="24"/>
        </w:rPr>
        <w:t xml:space="preserve"> </w:t>
      </w:r>
      <w:r w:rsidR="002B191A">
        <w:rPr>
          <w:sz w:val="24"/>
          <w:szCs w:val="24"/>
        </w:rPr>
        <w:t>reduced,</w:t>
      </w:r>
      <w:r>
        <w:rPr>
          <w:sz w:val="24"/>
          <w:szCs w:val="24"/>
        </w:rPr>
        <w:t xml:space="preserve"> and more income are generated as well as creating of jobs in realization of working well policy of UK. Estimated forecast for Northwick in the next decade has 35.7m pounds is expected as capital receipt, 550, 000 in running cost reduction, land released for circa 1500 new homes and 250 jobs </w:t>
      </w:r>
      <w:r w:rsidR="002B191A">
        <w:rPr>
          <w:sz w:val="24"/>
          <w:szCs w:val="24"/>
        </w:rPr>
        <w:t>created. The</w:t>
      </w:r>
      <w:r>
        <w:rPr>
          <w:sz w:val="24"/>
          <w:szCs w:val="24"/>
        </w:rPr>
        <w:t xml:space="preserve"> new Brent Cross west station and associated </w:t>
      </w:r>
      <w:r w:rsidR="002B191A">
        <w:rPr>
          <w:sz w:val="24"/>
          <w:szCs w:val="24"/>
        </w:rPr>
        <w:t>rail works</w:t>
      </w:r>
      <w:r>
        <w:rPr>
          <w:sz w:val="24"/>
          <w:szCs w:val="24"/>
        </w:rPr>
        <w:t xml:space="preserve"> are being funded as a part of a 419m pounds government </w:t>
      </w:r>
      <w:r>
        <w:rPr>
          <w:sz w:val="24"/>
          <w:szCs w:val="24"/>
        </w:rPr>
        <w:lastRenderedPageBreak/>
        <w:t xml:space="preserve">funding agreement and others which help in the clean environment which promote healthy living. The council produced strategic flood risk assessment (SFRA) done in accordance with Government and London Plan Policy 4A which is considered before anyone erects a building in the council. Developers, traders, and householders are expected to play their parts in reducing the overall waste arising and ensure that all waste is managed toward the upper end of the Waste Hierarchy. Brent cross town by partnering with Vattenfall, is committed to a net zero carbon town by 2030 set by the SDGs. The development will include a series of other progressive health and wellbeing strategies like a sound and music strategy, an area walking and cycling strategy, park and playing fields and sporting facilities and a biodiversity plan. In 2016, Barnet council and Argent Related formed Brent Cross South Limited Partnership to be the master developer at Brent Cross Town simply to bring developments require to attain the SDGs in the council. On the UK’s policies on the fourth item on the list of the SDG which is quality education, UK policies comprise how to help children in the poorest nations gaining decent education and promoting girls’ education as well as ensuring the expansion of good schools, delivering of 3 million new apprenticeships and making improvements to the higher education system. By the set target and implementations, UK had supported 11.3m in primary and low secondary schools of which 5.3 million are girls. With global partners, 30,000 teachers were trained (DFID, 2015-16). In addition, UK invested in Girls’ Education Challenge (GEC) to assist a further 175,000 of the marginalized girls to have access to quality education. The children living with disabilities were not ignored from UK interventionist policy on quality education. In partnership with UNICEF and other global partnership on education, right learning facilities such as accessible classrooms, trained </w:t>
      </w:r>
      <w:r w:rsidR="002B191A">
        <w:rPr>
          <w:sz w:val="24"/>
          <w:szCs w:val="24"/>
        </w:rPr>
        <w:t>teachers’</w:t>
      </w:r>
      <w:r>
        <w:rPr>
          <w:sz w:val="24"/>
          <w:szCs w:val="24"/>
        </w:rPr>
        <w:t xml:space="preserve"> community leaders and parents’ sensitization were done to tackle discrimination and stigmatization of those children with physical body challenges. As a form of prevention of producing children with disabilities, there is huge investment on start life </w:t>
      </w:r>
      <w:r w:rsidR="002B191A">
        <w:rPr>
          <w:sz w:val="24"/>
          <w:szCs w:val="24"/>
        </w:rPr>
        <w:t>program</w:t>
      </w:r>
      <w:r>
        <w:rPr>
          <w:sz w:val="24"/>
          <w:szCs w:val="24"/>
        </w:rPr>
        <w:t xml:space="preserve"> in UK (</w:t>
      </w:r>
      <w:proofErr w:type="spellStart"/>
      <w:r>
        <w:rPr>
          <w:sz w:val="24"/>
          <w:szCs w:val="24"/>
        </w:rPr>
        <w:t>DoH</w:t>
      </w:r>
      <w:proofErr w:type="spellEnd"/>
      <w:r>
        <w:rPr>
          <w:sz w:val="24"/>
          <w:szCs w:val="24"/>
        </w:rPr>
        <w:t xml:space="preserve">, 2013). Under starting wellbeing, the child is catered from age zero as well as the pregnant mother. The first stage is age zero to three years when temperament of the child is used to access his or her wellbeing and how the child is emotionally coping by the expressions. From age two, the quality of health of the child is accessed by rating of the problem </w:t>
      </w:r>
      <w:r w:rsidR="002B191A">
        <w:rPr>
          <w:sz w:val="24"/>
          <w:szCs w:val="24"/>
        </w:rPr>
        <w:t>behaviors</w:t>
      </w:r>
      <w:r>
        <w:rPr>
          <w:sz w:val="24"/>
          <w:szCs w:val="24"/>
        </w:rPr>
        <w:t xml:space="preserve">. For the pregnant mothers, the wellbeing in pregnancy and </w:t>
      </w:r>
      <w:r>
        <w:rPr>
          <w:sz w:val="24"/>
          <w:szCs w:val="24"/>
        </w:rPr>
        <w:lastRenderedPageBreak/>
        <w:t xml:space="preserve">early parenthood </w:t>
      </w:r>
      <w:r w:rsidR="002B191A">
        <w:rPr>
          <w:sz w:val="24"/>
          <w:szCs w:val="24"/>
        </w:rPr>
        <w:t>determines</w:t>
      </w:r>
      <w:r>
        <w:rPr>
          <w:sz w:val="24"/>
          <w:szCs w:val="24"/>
        </w:rPr>
        <w:t xml:space="preserve"> the wellbeing of the child. The mothers must have quality mental health enjoyable from the professional cares from the healthcare workers at public health facilities. Several social, economic and </w:t>
      </w:r>
      <w:r w:rsidR="002B191A">
        <w:rPr>
          <w:sz w:val="24"/>
          <w:szCs w:val="24"/>
        </w:rPr>
        <w:t>other</w:t>
      </w:r>
      <w:r>
        <w:rPr>
          <w:sz w:val="24"/>
          <w:szCs w:val="24"/>
        </w:rPr>
        <w:t xml:space="preserve"> factors which could negatively affect the mothers are worked upon (</w:t>
      </w:r>
      <w:proofErr w:type="spellStart"/>
      <w:r>
        <w:rPr>
          <w:sz w:val="24"/>
          <w:szCs w:val="24"/>
        </w:rPr>
        <w:t>DoH</w:t>
      </w:r>
      <w:proofErr w:type="spellEnd"/>
      <w:r>
        <w:rPr>
          <w:sz w:val="24"/>
          <w:szCs w:val="24"/>
        </w:rPr>
        <w:t xml:space="preserve">, 2014). This starting wellbeing initiative, that focuses on child’s experience within 1-5 years of life, immensely helps in improving the life chances of the children. In addition, developing well policy adds values to the health and wellbeing by its focus on how relationship influence the child. The living well policy is helping as self-reporting of illness at health facility is done especially by the adults as well as the care for those living with disabilities. The working well initiatives ensure that the workplace is free of hazards and safety of workers is not compromised. The citizens are sufficiently motivated by the workplace measures on safety and the remuneration packages. Although wellbeing declines as people age, the ageing well policy is used to enable the aged enjoy quality health at the period of their lives. The focus is on greater enjoyment of life and survival of hazards and illnesses attributed to old age. Towards achieving all these listed and being worked upon by the department of health, the wellbeing of the healthcare workers who are working at the public health facilities is attached huge importance by UK simply because sick healthcare workers would affect the quality healthcare delivery to the sick patients requiring medical attention. In fact, 15 hours per week access to quality education to all </w:t>
      </w:r>
      <w:r w:rsidR="002B191A">
        <w:rPr>
          <w:sz w:val="24"/>
          <w:szCs w:val="24"/>
        </w:rPr>
        <w:t>3- and 4-year-old</w:t>
      </w:r>
      <w:r>
        <w:rPr>
          <w:sz w:val="24"/>
          <w:szCs w:val="24"/>
        </w:rPr>
        <w:t xml:space="preserve"> children in UK tremendously help the efforts on quality education access contained in the SDGs. In addition, there is post-16 skills aimed at strengthening the young people to be actively involved in the national security of the economy. They are groomed to secure jobs and thereby contribute positively to the national economy. The scheme is done by simplifying the post-16 education and training landscape, establishing clear, high-quality technical routes to skilled employment for all young people in England as recommended by the panel headed by Lord Sainsbury. The initiative simply prepares the young UK citizens for skilled jobs which require technical and practical skills which are valuable to industries. UK also created 3m apprenticeships by 2020 hence the young citizens could access high-quality employment and training. The efforts yielded result by the set year as 503,700 apprenticeships </w:t>
      </w:r>
      <w:r w:rsidR="002B191A">
        <w:rPr>
          <w:sz w:val="24"/>
          <w:szCs w:val="24"/>
        </w:rPr>
        <w:t>starts,</w:t>
      </w:r>
      <w:r>
        <w:rPr>
          <w:sz w:val="24"/>
          <w:szCs w:val="24"/>
        </w:rPr>
        <w:t xml:space="preserve"> and 904,800 funded apprenticeships participated on an apprenticeship during the same year. Higher </w:t>
      </w:r>
      <w:r>
        <w:rPr>
          <w:sz w:val="24"/>
          <w:szCs w:val="24"/>
        </w:rPr>
        <w:lastRenderedPageBreak/>
        <w:t>Education is strengthened. Towards strengthening the higher education in line with the goal of SDG on quality education, UK ensures it is financially sustainable, allow new entrants to the markets. For legislative support targeting at strengthening and meeting the targets for the higher education, a bill titled Higher Education and Research Bill was sent to the parliament as published by the website of UCAS undergraduate end of cycle reports. On the 17</w:t>
      </w:r>
      <w:r>
        <w:rPr>
          <w:sz w:val="24"/>
          <w:szCs w:val="24"/>
          <w:vertAlign w:val="superscript"/>
        </w:rPr>
        <w:t>th</w:t>
      </w:r>
      <w:r>
        <w:rPr>
          <w:sz w:val="24"/>
          <w:szCs w:val="24"/>
        </w:rPr>
        <w:t xml:space="preserve"> goal of SDG, UK shows its commitment to strengthening and developing sustainable partnerships for development overseas and the initiatives assist the boroughs. The set target of 0.7% of gross national income (GNI) on international development, department of international trade (DIT) work closely with DFID for deeper UK’s trade relationships with developing nations. UK opens all markets to the poorest nations and brings trade opportunities to those that mostly need them. By so doing, UK was aiming at promoting a strong agenda by 2030. Part of the agenda of UK is exporting of economic prosperity, security and stability aside using them internally. Among its contribution is the supply of statistical data with the efficient use of digital technology. With this, UK is one of the largest bilateral donors in statistical capacity building. The country, as parts of its partnership agenda, planned to continue to invest in capacity of partner countries to produce and disseminate data more efficiently using digital technology as well as sourcing and collecting new data from the private sector and civil society. The UK economic growth is supported through trade for development team formed by the combined team of department of international trade and DFID. UK is promoting a universal, open, and multilateral trading system through</w:t>
      </w:r>
      <w:r w:rsidR="00E834B8">
        <w:rPr>
          <w:sz w:val="24"/>
          <w:szCs w:val="24"/>
        </w:rPr>
        <w:t xml:space="preserve"> </w:t>
      </w:r>
      <w:r>
        <w:rPr>
          <w:sz w:val="24"/>
          <w:szCs w:val="24"/>
        </w:rPr>
        <w:t xml:space="preserve">the works of World Trade Organization (WTO). it also </w:t>
      </w:r>
      <w:r w:rsidR="00E834B8">
        <w:rPr>
          <w:sz w:val="24"/>
          <w:szCs w:val="24"/>
        </w:rPr>
        <w:t>fostering partnership</w:t>
      </w:r>
      <w:r>
        <w:rPr>
          <w:sz w:val="24"/>
          <w:szCs w:val="24"/>
        </w:rPr>
        <w:t xml:space="preserve"> between UK and least developed nations to tackle trade barriers. By the standard set by UK, all the borough or cities must domicile and key into the set sustainable development goals as policies for advancement of the 17 goals of the SDG. Sharing the inputs of Brent council in the policies as being managed by the Department of Health, there are provisions such as the Brent Resident Support Fund (RSF) that is a discretionary support fund for Brent residents who are facing financial difficulties to pay for foods, utility bills and other household essentials. About 1,000 pounds sterling is released for the beneficiary of the fund. This financial support keys into the living well which is a primary in the health and wellbeing policy of the sustainable development goals. Also, there is Brent </w:t>
      </w:r>
      <w:r>
        <w:rPr>
          <w:sz w:val="24"/>
          <w:szCs w:val="24"/>
        </w:rPr>
        <w:lastRenderedPageBreak/>
        <w:t xml:space="preserve">Pension Fund headed by the </w:t>
      </w:r>
      <w:r w:rsidR="00E834B8">
        <w:rPr>
          <w:sz w:val="24"/>
          <w:szCs w:val="24"/>
        </w:rPr>
        <w:t>councilor</w:t>
      </w:r>
      <w:r>
        <w:rPr>
          <w:sz w:val="24"/>
          <w:szCs w:val="24"/>
        </w:rPr>
        <w:t xml:space="preserve"> of the council. The committee in charge of the fund comprises the </w:t>
      </w:r>
      <w:r w:rsidR="00E834B8">
        <w:rPr>
          <w:sz w:val="24"/>
          <w:szCs w:val="24"/>
        </w:rPr>
        <w:t>councilor</w:t>
      </w:r>
      <w:r>
        <w:rPr>
          <w:sz w:val="24"/>
          <w:szCs w:val="24"/>
        </w:rPr>
        <w:t xml:space="preserve">, the substitute members and non-voting co-opted members. The fund is advancing by the progress reports on financing. For instance, the annual report of year 2020/21 showed that the value of pension fund investment had increased to </w:t>
      </w:r>
      <w:r w:rsidR="00E834B8">
        <w:rPr>
          <w:sz w:val="24"/>
          <w:szCs w:val="24"/>
        </w:rPr>
        <w:t>1,032-billion-pound</w:t>
      </w:r>
      <w:r>
        <w:rPr>
          <w:sz w:val="24"/>
          <w:szCs w:val="24"/>
        </w:rPr>
        <w:t xml:space="preserve"> sterling from 835 million pounds sterling declared in 2019/20. this achievement has been traced to the strong performance of the funds’ investment managers. The funds and partnerships are keyed into the wellbeing and longevity of the beneficiaries living in the council (DIT, 2021). On the area of education, London borough of Brent, having 87 schools, has impressive results in early years education and at key stage 1. its GSCE results are close to the London </w:t>
      </w:r>
      <w:r w:rsidR="00E834B8">
        <w:rPr>
          <w:sz w:val="24"/>
          <w:szCs w:val="24"/>
        </w:rPr>
        <w:t>average,</w:t>
      </w:r>
      <w:r>
        <w:rPr>
          <w:sz w:val="24"/>
          <w:szCs w:val="24"/>
        </w:rPr>
        <w:t xml:space="preserve"> and its key 5 results are higher than the London </w:t>
      </w:r>
      <w:r w:rsidR="00E834B8">
        <w:rPr>
          <w:sz w:val="24"/>
          <w:szCs w:val="24"/>
        </w:rPr>
        <w:t>average. The</w:t>
      </w:r>
      <w:r>
        <w:rPr>
          <w:sz w:val="24"/>
          <w:szCs w:val="24"/>
        </w:rPr>
        <w:t xml:space="preserve"> Brent schools comprises 46 primary schools, infant and junior schools of 8 each, 11-18 years secondary schools that are 12 in number, 8 PRUs, health needs education schools. School children are from the Black and Asian Minority Ethnic (BAME) and a relatively high level of pupil mobility simply because the council has average deprivation levels among the council in the whole of London. The youngest children in the council receive excellent education until there is decline leading to the inauguration of Brent Education Commission (BEC) saddled with the responsibility of returning the education to the old status when the results outperformed the London authorities at GSCE. BEC is burdened to review education in the council and to make recommendation on how it should be accelerated. The commission is to build on the existing effective practice to identify areas of concerned to enhance the extent to which schools and academies learn from each other. Through the commission review of school performance data, critical assessment of the contextual and performance data supplied by the local authority, discussion with range of stakeholders comprising teachers, school governors, the Brent school partnership, trade union representatives among others, there were recommendations targeted at advancing the quality of education in the council. The recommendations are: working on education strategy and leadership, planning school places, knowing Brent schools simply to focus on school improvement from the qualitative and quantitative indicators, promoting and supporting school-school networks, providing challenge to address weakness and improving school governance (Brent.gov.uk). </w:t>
      </w:r>
    </w:p>
    <w:p w14:paraId="17159E11" w14:textId="77777777" w:rsidR="000F1161" w:rsidRPr="001B36CE" w:rsidRDefault="00000000">
      <w:pPr>
        <w:spacing w:line="360" w:lineRule="auto"/>
        <w:jc w:val="both"/>
        <w:rPr>
          <w:b/>
          <w:bCs/>
          <w:color w:val="5B9BD5" w:themeColor="accent1"/>
          <w:sz w:val="24"/>
          <w:szCs w:val="24"/>
        </w:rPr>
      </w:pPr>
      <w:r w:rsidRPr="001B36CE">
        <w:rPr>
          <w:b/>
          <w:bCs/>
          <w:color w:val="5B9BD5" w:themeColor="accent1"/>
          <w:sz w:val="24"/>
          <w:szCs w:val="24"/>
        </w:rPr>
        <w:lastRenderedPageBreak/>
        <w:t>CONCLUSION</w:t>
      </w:r>
    </w:p>
    <w:p w14:paraId="335DB071" w14:textId="2F345500" w:rsidR="000F1161" w:rsidRDefault="00000000">
      <w:pPr>
        <w:spacing w:line="360" w:lineRule="auto"/>
        <w:jc w:val="both"/>
        <w:rPr>
          <w:sz w:val="24"/>
          <w:szCs w:val="24"/>
        </w:rPr>
      </w:pPr>
      <w:r>
        <w:rPr>
          <w:sz w:val="24"/>
          <w:szCs w:val="24"/>
        </w:rPr>
        <w:t xml:space="preserve">In conjunction with the government policies supporting the sustainable development initiatives of the UK government simply to actualize the sustainable development goals, Brent council which inaugurated education commission to improve the quality of education, should also improve on the health and wellbeing through the provision of relevant personal protective equipment for healthcare workers, employ  more healthcare professionals, further training and exposure to innovations for the workers in the health sectors, quality service motivational advancements for the health facilities within the council. In addition, the resident support funds should be regularly reviewed upward and periodically increased for the beneficiaries as inflation rises. The council should improve better the performance of investments of the pensions for the beneficiaries as these would enhance better living for the residents, old and </w:t>
      </w:r>
      <w:r w:rsidR="00E834B8">
        <w:rPr>
          <w:sz w:val="24"/>
          <w:szCs w:val="24"/>
        </w:rPr>
        <w:t>young education,</w:t>
      </w:r>
      <w:r>
        <w:rPr>
          <w:sz w:val="24"/>
          <w:szCs w:val="24"/>
        </w:rPr>
        <w:t xml:space="preserve"> and partnerships. There should be zero complacent </w:t>
      </w:r>
      <w:r w:rsidR="00E834B8">
        <w:rPr>
          <w:sz w:val="24"/>
          <w:szCs w:val="24"/>
        </w:rPr>
        <w:t>to</w:t>
      </w:r>
      <w:r>
        <w:rPr>
          <w:sz w:val="24"/>
          <w:szCs w:val="24"/>
        </w:rPr>
        <w:t xml:space="preserve"> stay focus and achieve greater height than the current gains by ranks on what the borough recorded on the three discussed goals. The healthcare workers who are responsible for healthy population requires to be sufficient for the healthcare services job and personal protective equipment (PPE). The collection of data and clinical information for professional care for the patients demand the use of digital technology which should be made available for the workers. In addition, the partnership-based on infrastructural projects that would enable further growth of the SDGs must be continually invited to actualize the growth of the council and others in the UK.</w:t>
      </w:r>
    </w:p>
    <w:p w14:paraId="2C46B6B8" w14:textId="77777777" w:rsidR="000F1161" w:rsidRDefault="000F1161">
      <w:pPr>
        <w:spacing w:line="360" w:lineRule="auto"/>
        <w:jc w:val="both"/>
        <w:rPr>
          <w:sz w:val="24"/>
          <w:szCs w:val="24"/>
        </w:rPr>
      </w:pPr>
    </w:p>
    <w:p w14:paraId="2FDC7840" w14:textId="77777777" w:rsidR="000F1161" w:rsidRDefault="00000000">
      <w:pPr>
        <w:spacing w:line="360" w:lineRule="auto"/>
        <w:jc w:val="both"/>
        <w:rPr>
          <w:b/>
          <w:bCs/>
          <w:sz w:val="24"/>
          <w:szCs w:val="24"/>
        </w:rPr>
      </w:pPr>
      <w:r>
        <w:rPr>
          <w:b/>
          <w:bCs/>
          <w:sz w:val="24"/>
          <w:szCs w:val="24"/>
        </w:rPr>
        <w:t>REFERENCES</w:t>
      </w:r>
    </w:p>
    <w:p w14:paraId="37FE0D10" w14:textId="77777777" w:rsidR="000F1161" w:rsidRDefault="00000000">
      <w:pPr>
        <w:numPr>
          <w:ilvl w:val="0"/>
          <w:numId w:val="2"/>
        </w:numPr>
        <w:spacing w:line="360" w:lineRule="auto"/>
        <w:jc w:val="both"/>
        <w:rPr>
          <w:sz w:val="24"/>
          <w:szCs w:val="24"/>
        </w:rPr>
      </w:pPr>
      <w:proofErr w:type="spellStart"/>
      <w:r>
        <w:rPr>
          <w:sz w:val="24"/>
          <w:szCs w:val="24"/>
        </w:rPr>
        <w:t>Bruntland</w:t>
      </w:r>
      <w:proofErr w:type="spellEnd"/>
      <w:r>
        <w:rPr>
          <w:sz w:val="24"/>
          <w:szCs w:val="24"/>
        </w:rPr>
        <w:t xml:space="preserve"> Report (1987). Our common Future: Report of the world commission for environment and development; WCED: New York. NY, USA</w:t>
      </w:r>
    </w:p>
    <w:p w14:paraId="2847E22D" w14:textId="77777777" w:rsidR="000F1161" w:rsidRDefault="00000000">
      <w:pPr>
        <w:numPr>
          <w:ilvl w:val="0"/>
          <w:numId w:val="2"/>
        </w:numPr>
        <w:spacing w:line="360" w:lineRule="auto"/>
        <w:jc w:val="both"/>
        <w:rPr>
          <w:sz w:val="24"/>
          <w:szCs w:val="24"/>
        </w:rPr>
      </w:pPr>
      <w:r>
        <w:rPr>
          <w:sz w:val="24"/>
          <w:szCs w:val="24"/>
        </w:rPr>
        <w:t>Diener &amp; Chan (2011). Happy people live longer: subjective wellbeing contributes to health and longevity. Applied Psychology: health and wellbeing, 3(1)1-43.</w:t>
      </w:r>
    </w:p>
    <w:p w14:paraId="68BC9723" w14:textId="77777777" w:rsidR="000F1161" w:rsidRDefault="00000000">
      <w:pPr>
        <w:numPr>
          <w:ilvl w:val="0"/>
          <w:numId w:val="2"/>
        </w:numPr>
        <w:spacing w:line="360" w:lineRule="auto"/>
        <w:jc w:val="both"/>
        <w:rPr>
          <w:sz w:val="24"/>
          <w:szCs w:val="24"/>
        </w:rPr>
      </w:pPr>
      <w:r>
        <w:rPr>
          <w:sz w:val="24"/>
          <w:szCs w:val="24"/>
        </w:rPr>
        <w:t>Machin (2016). Education policy in UK Researchgate.net</w:t>
      </w:r>
    </w:p>
    <w:p w14:paraId="25FEFBCC" w14:textId="77777777" w:rsidR="000F1161" w:rsidRDefault="00000000">
      <w:pPr>
        <w:numPr>
          <w:ilvl w:val="0"/>
          <w:numId w:val="2"/>
        </w:numPr>
        <w:spacing w:line="360" w:lineRule="auto"/>
        <w:jc w:val="both"/>
        <w:rPr>
          <w:sz w:val="24"/>
          <w:szCs w:val="24"/>
        </w:rPr>
      </w:pPr>
      <w:r>
        <w:rPr>
          <w:sz w:val="24"/>
          <w:szCs w:val="24"/>
        </w:rPr>
        <w:t>Elkington, J., (1997). Cannibals with forks: The Triple Bottomline of 21</w:t>
      </w:r>
      <w:r>
        <w:rPr>
          <w:sz w:val="24"/>
          <w:szCs w:val="24"/>
          <w:vertAlign w:val="superscript"/>
        </w:rPr>
        <w:t>st</w:t>
      </w:r>
      <w:r>
        <w:rPr>
          <w:sz w:val="24"/>
          <w:szCs w:val="24"/>
        </w:rPr>
        <w:t xml:space="preserve"> century business; Capstone:  Oxford, UK.</w:t>
      </w:r>
    </w:p>
    <w:p w14:paraId="420E9208" w14:textId="77777777" w:rsidR="000F1161" w:rsidRDefault="00000000">
      <w:pPr>
        <w:numPr>
          <w:ilvl w:val="0"/>
          <w:numId w:val="2"/>
        </w:numPr>
        <w:spacing w:line="360" w:lineRule="auto"/>
        <w:jc w:val="both"/>
        <w:rPr>
          <w:sz w:val="24"/>
          <w:szCs w:val="24"/>
        </w:rPr>
      </w:pPr>
      <w:r>
        <w:rPr>
          <w:sz w:val="24"/>
          <w:szCs w:val="24"/>
        </w:rPr>
        <w:lastRenderedPageBreak/>
        <w:t xml:space="preserve">OECD. (2013). Your better life index, Data accessed at </w:t>
      </w:r>
      <w:hyperlink r:id="rId7" w:history="1">
        <w:r>
          <w:rPr>
            <w:rStyle w:val="Hyperlink"/>
            <w:sz w:val="24"/>
            <w:szCs w:val="24"/>
          </w:rPr>
          <w:t>http://stats.oecd.org/index.aspx?datasetcode.BLI:Index</w:t>
        </w:r>
      </w:hyperlink>
      <w:r>
        <w:rPr>
          <w:sz w:val="24"/>
          <w:szCs w:val="24"/>
        </w:rPr>
        <w:t xml:space="preserve"> website: http://stats.oecdbetterlifeindex.org/ </w:t>
      </w:r>
    </w:p>
    <w:p w14:paraId="44051D57" w14:textId="77777777" w:rsidR="000F1161" w:rsidRDefault="00000000">
      <w:pPr>
        <w:numPr>
          <w:ilvl w:val="0"/>
          <w:numId w:val="2"/>
        </w:numPr>
        <w:spacing w:line="360" w:lineRule="auto"/>
        <w:jc w:val="both"/>
        <w:rPr>
          <w:sz w:val="24"/>
          <w:szCs w:val="24"/>
        </w:rPr>
      </w:pPr>
      <w:r>
        <w:rPr>
          <w:sz w:val="24"/>
          <w:szCs w:val="24"/>
        </w:rPr>
        <w:t>ONS. (2009-2011). Interim life tables  for England and Wales.</w:t>
      </w:r>
    </w:p>
    <w:p w14:paraId="134363AE" w14:textId="77777777" w:rsidR="000F1161" w:rsidRDefault="00000000">
      <w:pPr>
        <w:numPr>
          <w:ilvl w:val="0"/>
          <w:numId w:val="2"/>
        </w:numPr>
        <w:spacing w:line="360" w:lineRule="auto"/>
        <w:jc w:val="both"/>
        <w:rPr>
          <w:sz w:val="24"/>
          <w:szCs w:val="24"/>
        </w:rPr>
      </w:pPr>
      <w:r>
        <w:rPr>
          <w:sz w:val="24"/>
          <w:szCs w:val="24"/>
        </w:rPr>
        <w:t xml:space="preserve">ONS. (2012). Measuring National Wellbeing. Life in the UK. Available at </w:t>
      </w:r>
      <w:hyperlink r:id="rId8" w:history="1">
        <w:r>
          <w:rPr>
            <w:rStyle w:val="Hyperlink"/>
            <w:sz w:val="24"/>
            <w:szCs w:val="24"/>
          </w:rPr>
          <w:t>http://www.ons.gov.uk/ons/dcp1717666.287415pdf</w:t>
        </w:r>
      </w:hyperlink>
      <w:r>
        <w:rPr>
          <w:sz w:val="24"/>
          <w:szCs w:val="24"/>
        </w:rPr>
        <w:t xml:space="preserve"> </w:t>
      </w:r>
    </w:p>
    <w:p w14:paraId="1B53D238" w14:textId="77777777" w:rsidR="000F1161" w:rsidRDefault="00000000">
      <w:pPr>
        <w:numPr>
          <w:ilvl w:val="0"/>
          <w:numId w:val="2"/>
        </w:numPr>
        <w:spacing w:line="360" w:lineRule="auto"/>
        <w:jc w:val="both"/>
        <w:rPr>
          <w:sz w:val="24"/>
          <w:szCs w:val="24"/>
        </w:rPr>
      </w:pPr>
      <w:r>
        <w:rPr>
          <w:sz w:val="24"/>
          <w:szCs w:val="24"/>
        </w:rPr>
        <w:t xml:space="preserve">ONS. (2013). Personal wellbeing in UK. (online). Available at </w:t>
      </w:r>
      <w:hyperlink r:id="rId9" w:history="1">
        <w:r>
          <w:rPr>
            <w:rStyle w:val="Hyperlink"/>
            <w:sz w:val="24"/>
            <w:szCs w:val="24"/>
          </w:rPr>
          <w:t>http://www.ons.gov.uk/ons/dcp171778.319478pdf</w:t>
        </w:r>
      </w:hyperlink>
      <w:r>
        <w:rPr>
          <w:sz w:val="24"/>
          <w:szCs w:val="24"/>
        </w:rPr>
        <w:t xml:space="preserve">  </w:t>
      </w:r>
    </w:p>
    <w:p w14:paraId="79B4772C" w14:textId="77777777" w:rsidR="000F1161" w:rsidRDefault="00000000">
      <w:pPr>
        <w:numPr>
          <w:ilvl w:val="0"/>
          <w:numId w:val="2"/>
        </w:numPr>
        <w:spacing w:line="360" w:lineRule="auto"/>
        <w:jc w:val="both"/>
        <w:rPr>
          <w:sz w:val="24"/>
          <w:szCs w:val="24"/>
        </w:rPr>
      </w:pPr>
      <w:r>
        <w:rPr>
          <w:sz w:val="24"/>
          <w:szCs w:val="24"/>
        </w:rPr>
        <w:t>Raworth, K., (2012). A safe and just space for humanity: Can we live within the doughnut; Oxfam, Oxford, UK.</w:t>
      </w:r>
    </w:p>
    <w:p w14:paraId="1B4CC21B" w14:textId="77777777" w:rsidR="000F1161" w:rsidRDefault="00000000">
      <w:pPr>
        <w:numPr>
          <w:ilvl w:val="0"/>
          <w:numId w:val="2"/>
        </w:numPr>
        <w:spacing w:line="360" w:lineRule="auto"/>
        <w:jc w:val="both"/>
        <w:rPr>
          <w:sz w:val="24"/>
          <w:szCs w:val="24"/>
        </w:rPr>
      </w:pPr>
      <w:proofErr w:type="spellStart"/>
      <w:r>
        <w:rPr>
          <w:sz w:val="24"/>
          <w:szCs w:val="24"/>
        </w:rPr>
        <w:t>Rockstrom</w:t>
      </w:r>
      <w:proofErr w:type="spellEnd"/>
      <w:r>
        <w:rPr>
          <w:sz w:val="24"/>
          <w:szCs w:val="24"/>
        </w:rPr>
        <w:t xml:space="preserve">, J., et </w:t>
      </w:r>
      <w:proofErr w:type="spellStart"/>
      <w:r>
        <w:rPr>
          <w:sz w:val="24"/>
          <w:szCs w:val="24"/>
        </w:rPr>
        <w:t>al,m</w:t>
      </w:r>
      <w:proofErr w:type="spellEnd"/>
      <w:r>
        <w:rPr>
          <w:sz w:val="24"/>
          <w:szCs w:val="24"/>
        </w:rPr>
        <w:t xml:space="preserve"> (2009). Planetary boundaries: Exploring the safe operating space for humanity, Ecol. Soc. 14, 1708-3087. (</w:t>
      </w:r>
      <w:proofErr w:type="spellStart"/>
      <w:r>
        <w:rPr>
          <w:sz w:val="24"/>
          <w:szCs w:val="24"/>
        </w:rPr>
        <w:t>crossref</w:t>
      </w:r>
      <w:proofErr w:type="spellEnd"/>
      <w:r>
        <w:rPr>
          <w:sz w:val="24"/>
          <w:szCs w:val="24"/>
        </w:rPr>
        <w:t>).</w:t>
      </w:r>
    </w:p>
    <w:p w14:paraId="6ABF47AB" w14:textId="77777777" w:rsidR="000F1161" w:rsidRDefault="00000000">
      <w:pPr>
        <w:numPr>
          <w:ilvl w:val="0"/>
          <w:numId w:val="2"/>
        </w:numPr>
        <w:spacing w:line="360" w:lineRule="auto"/>
        <w:jc w:val="both"/>
        <w:rPr>
          <w:sz w:val="24"/>
          <w:szCs w:val="24"/>
        </w:rPr>
      </w:pPr>
      <w:r>
        <w:rPr>
          <w:sz w:val="24"/>
          <w:szCs w:val="24"/>
        </w:rPr>
        <w:t xml:space="preserve">United Nations (2021). Sustainable Development Goals: 17 goals to transform our world. Available online:  </w:t>
      </w:r>
      <w:hyperlink r:id="rId10" w:history="1">
        <w:r>
          <w:rPr>
            <w:rStyle w:val="Hyperlink"/>
            <w:sz w:val="24"/>
            <w:szCs w:val="24"/>
          </w:rPr>
          <w:t>https://www.un.org/sustainabledevelopment/sustainabledevelopmentgoals/accessed</w:t>
        </w:r>
      </w:hyperlink>
      <w:r>
        <w:rPr>
          <w:sz w:val="24"/>
          <w:szCs w:val="24"/>
        </w:rPr>
        <w:t xml:space="preserve"> on 30 July 2021.</w:t>
      </w:r>
    </w:p>
    <w:p w14:paraId="472D5E5C" w14:textId="77777777" w:rsidR="000F1161" w:rsidRDefault="000F1161">
      <w:pPr>
        <w:spacing w:line="360" w:lineRule="auto"/>
        <w:jc w:val="both"/>
        <w:rPr>
          <w:sz w:val="24"/>
          <w:szCs w:val="24"/>
        </w:rPr>
      </w:pPr>
    </w:p>
    <w:p w14:paraId="3289D733" w14:textId="77777777" w:rsidR="000F1161" w:rsidRDefault="00000000">
      <w:pPr>
        <w:numPr>
          <w:ilvl w:val="0"/>
          <w:numId w:val="2"/>
        </w:numPr>
        <w:spacing w:line="360" w:lineRule="auto"/>
        <w:jc w:val="both"/>
        <w:rPr>
          <w:sz w:val="24"/>
          <w:szCs w:val="24"/>
        </w:rPr>
      </w:pPr>
      <w:r>
        <w:rPr>
          <w:sz w:val="24"/>
          <w:szCs w:val="24"/>
        </w:rPr>
        <w:t xml:space="preserve">Starting well (2013). A Compendium of Factsheets: Wellbeing Across the </w:t>
      </w:r>
      <w:proofErr w:type="spellStart"/>
      <w:r>
        <w:rPr>
          <w:sz w:val="24"/>
          <w:szCs w:val="24"/>
        </w:rPr>
        <w:t>Lifecourse</w:t>
      </w:r>
      <w:proofErr w:type="spellEnd"/>
      <w:r>
        <w:rPr>
          <w:sz w:val="24"/>
          <w:szCs w:val="24"/>
        </w:rPr>
        <w:t>. Department of Health</w:t>
      </w:r>
    </w:p>
    <w:p w14:paraId="6D1188F4" w14:textId="77777777" w:rsidR="000F1161" w:rsidRDefault="00000000">
      <w:pPr>
        <w:numPr>
          <w:ilvl w:val="0"/>
          <w:numId w:val="2"/>
        </w:numPr>
        <w:spacing w:line="360" w:lineRule="auto"/>
        <w:jc w:val="both"/>
        <w:rPr>
          <w:sz w:val="24"/>
          <w:szCs w:val="24"/>
        </w:rPr>
      </w:pPr>
      <w:r>
        <w:rPr>
          <w:sz w:val="24"/>
          <w:szCs w:val="24"/>
        </w:rPr>
        <w:t xml:space="preserve">Developing well-6-13 years (2013). A Compendium of Factsheets: Wellbeing Across the </w:t>
      </w:r>
      <w:proofErr w:type="spellStart"/>
      <w:r>
        <w:rPr>
          <w:sz w:val="24"/>
          <w:szCs w:val="24"/>
        </w:rPr>
        <w:t>Lifecourse</w:t>
      </w:r>
      <w:proofErr w:type="spellEnd"/>
      <w:r>
        <w:rPr>
          <w:sz w:val="24"/>
          <w:szCs w:val="24"/>
        </w:rPr>
        <w:t>. Department of Health</w:t>
      </w:r>
    </w:p>
    <w:p w14:paraId="54BFF924" w14:textId="77777777" w:rsidR="000F1161" w:rsidRDefault="00000000">
      <w:pPr>
        <w:numPr>
          <w:ilvl w:val="0"/>
          <w:numId w:val="2"/>
        </w:numPr>
        <w:spacing w:line="360" w:lineRule="auto"/>
        <w:jc w:val="both"/>
        <w:rPr>
          <w:sz w:val="24"/>
          <w:szCs w:val="24"/>
        </w:rPr>
      </w:pPr>
      <w:r>
        <w:rPr>
          <w:sz w:val="24"/>
          <w:szCs w:val="24"/>
        </w:rPr>
        <w:t xml:space="preserve">Developing well-11-19 years (2013). A Compendium of Factsheets: Wellbeing Across the </w:t>
      </w:r>
      <w:proofErr w:type="spellStart"/>
      <w:r>
        <w:rPr>
          <w:sz w:val="24"/>
          <w:szCs w:val="24"/>
        </w:rPr>
        <w:t>Lifecourse</w:t>
      </w:r>
      <w:proofErr w:type="spellEnd"/>
      <w:r>
        <w:rPr>
          <w:sz w:val="24"/>
          <w:szCs w:val="24"/>
        </w:rPr>
        <w:t>. Department of Health</w:t>
      </w:r>
    </w:p>
    <w:p w14:paraId="63C5C7B2" w14:textId="77777777" w:rsidR="000F1161" w:rsidRDefault="00000000">
      <w:pPr>
        <w:numPr>
          <w:ilvl w:val="0"/>
          <w:numId w:val="2"/>
        </w:numPr>
        <w:spacing w:line="360" w:lineRule="auto"/>
        <w:jc w:val="both"/>
        <w:rPr>
          <w:sz w:val="24"/>
          <w:szCs w:val="24"/>
        </w:rPr>
      </w:pPr>
      <w:r>
        <w:rPr>
          <w:sz w:val="24"/>
          <w:szCs w:val="24"/>
        </w:rPr>
        <w:t xml:space="preserve">Living well-11-19 years (2013). A Compendium of Factsheets: Wellbeing Across the </w:t>
      </w:r>
      <w:proofErr w:type="spellStart"/>
      <w:r>
        <w:rPr>
          <w:sz w:val="24"/>
          <w:szCs w:val="24"/>
        </w:rPr>
        <w:t>Lifecourse</w:t>
      </w:r>
      <w:proofErr w:type="spellEnd"/>
      <w:r>
        <w:rPr>
          <w:sz w:val="24"/>
          <w:szCs w:val="24"/>
        </w:rPr>
        <w:t>. Department of Health</w:t>
      </w:r>
    </w:p>
    <w:p w14:paraId="358AEDE7" w14:textId="77777777" w:rsidR="000F1161" w:rsidRDefault="00000000">
      <w:pPr>
        <w:numPr>
          <w:ilvl w:val="0"/>
          <w:numId w:val="2"/>
        </w:numPr>
        <w:spacing w:line="360" w:lineRule="auto"/>
        <w:jc w:val="both"/>
        <w:rPr>
          <w:sz w:val="24"/>
          <w:szCs w:val="24"/>
        </w:rPr>
      </w:pPr>
      <w:r>
        <w:rPr>
          <w:sz w:val="24"/>
          <w:szCs w:val="24"/>
        </w:rPr>
        <w:t xml:space="preserve">Working well (2013). A Compendium of Factsheets: Wellbeing Across the </w:t>
      </w:r>
      <w:proofErr w:type="spellStart"/>
      <w:r>
        <w:rPr>
          <w:sz w:val="24"/>
          <w:szCs w:val="24"/>
        </w:rPr>
        <w:t>Lifecourse</w:t>
      </w:r>
      <w:proofErr w:type="spellEnd"/>
      <w:r>
        <w:rPr>
          <w:sz w:val="24"/>
          <w:szCs w:val="24"/>
        </w:rPr>
        <w:t>. Department of Health</w:t>
      </w:r>
    </w:p>
    <w:p w14:paraId="2DD58286" w14:textId="77777777" w:rsidR="000F1161" w:rsidRDefault="00000000">
      <w:pPr>
        <w:numPr>
          <w:ilvl w:val="0"/>
          <w:numId w:val="2"/>
        </w:numPr>
        <w:spacing w:line="360" w:lineRule="auto"/>
        <w:jc w:val="both"/>
        <w:rPr>
          <w:sz w:val="24"/>
          <w:szCs w:val="24"/>
        </w:rPr>
      </w:pPr>
      <w:r>
        <w:rPr>
          <w:sz w:val="24"/>
          <w:szCs w:val="24"/>
        </w:rPr>
        <w:t xml:space="preserve">Ageing well (2013). A Compendium of Factsheets: Wellbeing Across the </w:t>
      </w:r>
      <w:proofErr w:type="spellStart"/>
      <w:r>
        <w:rPr>
          <w:sz w:val="24"/>
          <w:szCs w:val="24"/>
        </w:rPr>
        <w:t>Lifecourse</w:t>
      </w:r>
      <w:proofErr w:type="spellEnd"/>
      <w:r>
        <w:rPr>
          <w:sz w:val="24"/>
          <w:szCs w:val="24"/>
        </w:rPr>
        <w:t>. Department of Health</w:t>
      </w:r>
    </w:p>
    <w:p w14:paraId="72FD0CB8" w14:textId="77777777" w:rsidR="000F1161" w:rsidRDefault="00000000">
      <w:pPr>
        <w:numPr>
          <w:ilvl w:val="0"/>
          <w:numId w:val="2"/>
        </w:numPr>
        <w:spacing w:line="360" w:lineRule="auto"/>
        <w:jc w:val="both"/>
        <w:rPr>
          <w:sz w:val="24"/>
          <w:szCs w:val="24"/>
        </w:rPr>
      </w:pPr>
      <w:r>
        <w:rPr>
          <w:sz w:val="24"/>
          <w:szCs w:val="24"/>
        </w:rPr>
        <w:t xml:space="preserve">The Relationship between wellbeing and health (2013). A Compendium of Factsheets: Wellbeing Across the </w:t>
      </w:r>
      <w:proofErr w:type="spellStart"/>
      <w:r>
        <w:rPr>
          <w:sz w:val="24"/>
          <w:szCs w:val="24"/>
        </w:rPr>
        <w:t>Lifecourse</w:t>
      </w:r>
      <w:proofErr w:type="spellEnd"/>
      <w:r>
        <w:rPr>
          <w:sz w:val="24"/>
          <w:szCs w:val="24"/>
        </w:rPr>
        <w:t>. Department of Health</w:t>
      </w:r>
    </w:p>
    <w:p w14:paraId="70DDD7F7" w14:textId="77777777" w:rsidR="000F1161" w:rsidRDefault="00000000">
      <w:pPr>
        <w:numPr>
          <w:ilvl w:val="0"/>
          <w:numId w:val="2"/>
        </w:numPr>
        <w:spacing w:line="360" w:lineRule="auto"/>
        <w:jc w:val="both"/>
        <w:rPr>
          <w:sz w:val="24"/>
          <w:szCs w:val="24"/>
        </w:rPr>
      </w:pPr>
      <w:r>
        <w:rPr>
          <w:sz w:val="24"/>
          <w:szCs w:val="24"/>
        </w:rPr>
        <w:lastRenderedPageBreak/>
        <w:t xml:space="preserve">Health </w:t>
      </w:r>
      <w:proofErr w:type="spellStart"/>
      <w:r>
        <w:rPr>
          <w:sz w:val="24"/>
          <w:szCs w:val="24"/>
        </w:rPr>
        <w:t>behaviours</w:t>
      </w:r>
      <w:proofErr w:type="spellEnd"/>
      <w:r>
        <w:rPr>
          <w:sz w:val="24"/>
          <w:szCs w:val="24"/>
        </w:rPr>
        <w:t xml:space="preserve"> and wellbeing (2013). A Compendium of Factsheets: Wellbeing Across the </w:t>
      </w:r>
      <w:proofErr w:type="spellStart"/>
      <w:r>
        <w:rPr>
          <w:sz w:val="24"/>
          <w:szCs w:val="24"/>
        </w:rPr>
        <w:t>Lifecourse</w:t>
      </w:r>
      <w:proofErr w:type="spellEnd"/>
      <w:r>
        <w:rPr>
          <w:sz w:val="24"/>
          <w:szCs w:val="24"/>
        </w:rPr>
        <w:t>. Department of Health</w:t>
      </w:r>
    </w:p>
    <w:p w14:paraId="09B318F1" w14:textId="77777777" w:rsidR="000F1161" w:rsidRDefault="00000000">
      <w:pPr>
        <w:numPr>
          <w:ilvl w:val="0"/>
          <w:numId w:val="2"/>
        </w:numPr>
        <w:spacing w:line="360" w:lineRule="auto"/>
        <w:jc w:val="both"/>
        <w:rPr>
          <w:sz w:val="24"/>
          <w:szCs w:val="24"/>
        </w:rPr>
      </w:pPr>
      <w:r>
        <w:rPr>
          <w:sz w:val="24"/>
          <w:szCs w:val="24"/>
        </w:rPr>
        <w:t xml:space="preserve">Staff wellbeing, service delivery and health outcomes (2013). A Compendium of Factsheets: Wellbeing Across the </w:t>
      </w:r>
      <w:proofErr w:type="spellStart"/>
      <w:r>
        <w:rPr>
          <w:sz w:val="24"/>
          <w:szCs w:val="24"/>
        </w:rPr>
        <w:t>Lifecourse</w:t>
      </w:r>
      <w:proofErr w:type="spellEnd"/>
      <w:r>
        <w:rPr>
          <w:sz w:val="24"/>
          <w:szCs w:val="24"/>
        </w:rPr>
        <w:t>. Department of Health</w:t>
      </w:r>
    </w:p>
    <w:p w14:paraId="36D092EB" w14:textId="77777777" w:rsidR="000F1161" w:rsidRDefault="00000000">
      <w:pPr>
        <w:numPr>
          <w:ilvl w:val="0"/>
          <w:numId w:val="2"/>
        </w:numPr>
        <w:spacing w:line="360" w:lineRule="auto"/>
        <w:jc w:val="both"/>
        <w:rPr>
          <w:sz w:val="24"/>
          <w:szCs w:val="24"/>
        </w:rPr>
      </w:pPr>
      <w:r>
        <w:rPr>
          <w:sz w:val="24"/>
          <w:szCs w:val="24"/>
        </w:rPr>
        <w:t xml:space="preserve">International comparison of health and wellbeing: Where does the UK stand? (2013). A Compendium of Factsheets: Wellbeing Across the </w:t>
      </w:r>
      <w:proofErr w:type="spellStart"/>
      <w:r>
        <w:rPr>
          <w:sz w:val="24"/>
          <w:szCs w:val="24"/>
        </w:rPr>
        <w:t>Lifecourse</w:t>
      </w:r>
      <w:proofErr w:type="spellEnd"/>
      <w:r>
        <w:rPr>
          <w:sz w:val="24"/>
          <w:szCs w:val="24"/>
        </w:rPr>
        <w:t>. Department of Health</w:t>
      </w:r>
    </w:p>
    <w:p w14:paraId="7AA11224" w14:textId="77777777" w:rsidR="000F1161" w:rsidRDefault="00000000">
      <w:pPr>
        <w:numPr>
          <w:ilvl w:val="0"/>
          <w:numId w:val="2"/>
        </w:numPr>
        <w:spacing w:line="360" w:lineRule="auto"/>
        <w:jc w:val="both"/>
        <w:rPr>
          <w:sz w:val="24"/>
          <w:szCs w:val="24"/>
        </w:rPr>
      </w:pPr>
      <w:r>
        <w:rPr>
          <w:sz w:val="24"/>
          <w:szCs w:val="24"/>
        </w:rPr>
        <w:t xml:space="preserve">What works to improve wellbeing? (2013). A Compendium of Factsheets: Wellbeing Across the </w:t>
      </w:r>
      <w:proofErr w:type="spellStart"/>
      <w:r>
        <w:rPr>
          <w:sz w:val="24"/>
          <w:szCs w:val="24"/>
        </w:rPr>
        <w:t>Lifecourse</w:t>
      </w:r>
      <w:proofErr w:type="spellEnd"/>
      <w:r>
        <w:rPr>
          <w:sz w:val="24"/>
          <w:szCs w:val="24"/>
        </w:rPr>
        <w:t>. Department of Health</w:t>
      </w:r>
    </w:p>
    <w:p w14:paraId="1041E7F1" w14:textId="77777777" w:rsidR="000F1161" w:rsidRDefault="00000000">
      <w:pPr>
        <w:numPr>
          <w:ilvl w:val="0"/>
          <w:numId w:val="2"/>
        </w:numPr>
        <w:spacing w:line="360" w:lineRule="auto"/>
        <w:jc w:val="both"/>
        <w:rPr>
          <w:sz w:val="24"/>
          <w:szCs w:val="24"/>
        </w:rPr>
      </w:pPr>
      <w:hyperlink r:id="rId11" w:history="1">
        <w:r>
          <w:rPr>
            <w:rStyle w:val="Hyperlink"/>
            <w:sz w:val="24"/>
            <w:szCs w:val="24"/>
          </w:rPr>
          <w:t>www.brent.gov.uk/benefits</w:t>
        </w:r>
      </w:hyperlink>
      <w:r>
        <w:rPr>
          <w:sz w:val="24"/>
          <w:szCs w:val="24"/>
        </w:rPr>
        <w:t xml:space="preserve"> of </w:t>
      </w:r>
      <w:proofErr w:type="spellStart"/>
      <w:r>
        <w:rPr>
          <w:sz w:val="24"/>
          <w:szCs w:val="24"/>
        </w:rPr>
        <w:t>sdgs</w:t>
      </w:r>
      <w:proofErr w:type="spellEnd"/>
      <w:r>
        <w:rPr>
          <w:sz w:val="24"/>
          <w:szCs w:val="24"/>
        </w:rPr>
        <w:t>. Department of International Trade, 2021</w:t>
      </w:r>
    </w:p>
    <w:sectPr w:rsidR="000F1161">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j-ea">
    <w:panose1 w:val="00000000000000000000"/>
    <w:charset w:val="00"/>
    <w:family w:val="roman"/>
    <w:notTrueType/>
    <w:pitch w:val="default"/>
  </w:font>
  <w:font w:name="+mn-e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3C2135B"/>
    <w:multiLevelType w:val="singleLevel"/>
    <w:tmpl w:val="93C2135B"/>
    <w:lvl w:ilvl="0">
      <w:start w:val="1"/>
      <w:numFmt w:val="decimal"/>
      <w:suff w:val="space"/>
      <w:lvlText w:val="%1."/>
      <w:lvlJc w:val="left"/>
    </w:lvl>
  </w:abstractNum>
  <w:abstractNum w:abstractNumId="1" w15:restartNumberingAfterBreak="0">
    <w:nsid w:val="CA128814"/>
    <w:multiLevelType w:val="singleLevel"/>
    <w:tmpl w:val="CA128814"/>
    <w:lvl w:ilvl="0">
      <w:start w:val="1"/>
      <w:numFmt w:val="upperLetter"/>
      <w:suff w:val="space"/>
      <w:lvlText w:val="%1)"/>
      <w:lvlJc w:val="left"/>
    </w:lvl>
  </w:abstractNum>
  <w:num w:numId="1" w16cid:durableId="634062513">
    <w:abstractNumId w:val="1"/>
  </w:num>
  <w:num w:numId="2" w16cid:durableId="1493132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26F0A2C"/>
    <w:rsid w:val="000F1161"/>
    <w:rsid w:val="001B36CE"/>
    <w:rsid w:val="001B513D"/>
    <w:rsid w:val="002B191A"/>
    <w:rsid w:val="003B4168"/>
    <w:rsid w:val="00557FB1"/>
    <w:rsid w:val="00582350"/>
    <w:rsid w:val="005E7193"/>
    <w:rsid w:val="008930BC"/>
    <w:rsid w:val="009D3C40"/>
    <w:rsid w:val="00BB715C"/>
    <w:rsid w:val="00D64A17"/>
    <w:rsid w:val="00E834B8"/>
    <w:rsid w:val="00F62E2C"/>
    <w:rsid w:val="02B44F4E"/>
    <w:rsid w:val="02DB4A96"/>
    <w:rsid w:val="03005AF0"/>
    <w:rsid w:val="03974F26"/>
    <w:rsid w:val="03EE4401"/>
    <w:rsid w:val="05185E11"/>
    <w:rsid w:val="05C1608F"/>
    <w:rsid w:val="05C51103"/>
    <w:rsid w:val="05E07E17"/>
    <w:rsid w:val="05F2320E"/>
    <w:rsid w:val="05FE5EEA"/>
    <w:rsid w:val="063D30BB"/>
    <w:rsid w:val="06E11CA1"/>
    <w:rsid w:val="06E52E0D"/>
    <w:rsid w:val="06EE0611"/>
    <w:rsid w:val="078566C4"/>
    <w:rsid w:val="08073889"/>
    <w:rsid w:val="0826762E"/>
    <w:rsid w:val="085F66C1"/>
    <w:rsid w:val="091E299D"/>
    <w:rsid w:val="0933209E"/>
    <w:rsid w:val="0B621195"/>
    <w:rsid w:val="0B813C88"/>
    <w:rsid w:val="0B8725CF"/>
    <w:rsid w:val="0B8F522E"/>
    <w:rsid w:val="0BD645E6"/>
    <w:rsid w:val="0F52785C"/>
    <w:rsid w:val="0F5C04AC"/>
    <w:rsid w:val="0F77659A"/>
    <w:rsid w:val="0FCB48B7"/>
    <w:rsid w:val="100844A2"/>
    <w:rsid w:val="100E06A0"/>
    <w:rsid w:val="10492EDB"/>
    <w:rsid w:val="105E5AFC"/>
    <w:rsid w:val="10757426"/>
    <w:rsid w:val="107658AA"/>
    <w:rsid w:val="113027F4"/>
    <w:rsid w:val="11526BE3"/>
    <w:rsid w:val="116F0939"/>
    <w:rsid w:val="11C7432B"/>
    <w:rsid w:val="11D44959"/>
    <w:rsid w:val="120750C6"/>
    <w:rsid w:val="124F1E06"/>
    <w:rsid w:val="12944657"/>
    <w:rsid w:val="12E76943"/>
    <w:rsid w:val="136C60C8"/>
    <w:rsid w:val="13942BFD"/>
    <w:rsid w:val="139450CF"/>
    <w:rsid w:val="14E3157F"/>
    <w:rsid w:val="157E34C2"/>
    <w:rsid w:val="161C6A44"/>
    <w:rsid w:val="177B1721"/>
    <w:rsid w:val="17A81A71"/>
    <w:rsid w:val="17A95CEB"/>
    <w:rsid w:val="17C54D09"/>
    <w:rsid w:val="17CA74FC"/>
    <w:rsid w:val="17FA1A66"/>
    <w:rsid w:val="18560351"/>
    <w:rsid w:val="195219D6"/>
    <w:rsid w:val="19F27E0D"/>
    <w:rsid w:val="1A4533F3"/>
    <w:rsid w:val="1A6C60F9"/>
    <w:rsid w:val="1B3E7094"/>
    <w:rsid w:val="1B5C2388"/>
    <w:rsid w:val="1BB02DB7"/>
    <w:rsid w:val="1C877772"/>
    <w:rsid w:val="1D7B0899"/>
    <w:rsid w:val="1EB43361"/>
    <w:rsid w:val="1EB66447"/>
    <w:rsid w:val="1F23035F"/>
    <w:rsid w:val="1FA256A5"/>
    <w:rsid w:val="20072121"/>
    <w:rsid w:val="203C0BDC"/>
    <w:rsid w:val="20402374"/>
    <w:rsid w:val="207A29CC"/>
    <w:rsid w:val="21006AD6"/>
    <w:rsid w:val="212224B3"/>
    <w:rsid w:val="2123756D"/>
    <w:rsid w:val="219123EF"/>
    <w:rsid w:val="21AB7859"/>
    <w:rsid w:val="22DA241D"/>
    <w:rsid w:val="236C6D0D"/>
    <w:rsid w:val="23D57D5A"/>
    <w:rsid w:val="24383AB7"/>
    <w:rsid w:val="249A252A"/>
    <w:rsid w:val="24DB4B01"/>
    <w:rsid w:val="25027A56"/>
    <w:rsid w:val="25B9593A"/>
    <w:rsid w:val="266844D1"/>
    <w:rsid w:val="276A2329"/>
    <w:rsid w:val="277F442F"/>
    <w:rsid w:val="27F93EDC"/>
    <w:rsid w:val="28282986"/>
    <w:rsid w:val="283E36AD"/>
    <w:rsid w:val="284063FE"/>
    <w:rsid w:val="284B3A42"/>
    <w:rsid w:val="284B5A52"/>
    <w:rsid w:val="28645A9D"/>
    <w:rsid w:val="28C561C2"/>
    <w:rsid w:val="28D20494"/>
    <w:rsid w:val="291C3095"/>
    <w:rsid w:val="293F0AD3"/>
    <w:rsid w:val="298954D2"/>
    <w:rsid w:val="299401A4"/>
    <w:rsid w:val="29D04260"/>
    <w:rsid w:val="2A3128EF"/>
    <w:rsid w:val="2AF637CB"/>
    <w:rsid w:val="2B062EB3"/>
    <w:rsid w:val="2B8D188E"/>
    <w:rsid w:val="2C2579D9"/>
    <w:rsid w:val="2CA61F1B"/>
    <w:rsid w:val="2D101A4A"/>
    <w:rsid w:val="2DDF59AE"/>
    <w:rsid w:val="2E911A55"/>
    <w:rsid w:val="2FC932E1"/>
    <w:rsid w:val="2FFD428B"/>
    <w:rsid w:val="30AF5E21"/>
    <w:rsid w:val="30C61378"/>
    <w:rsid w:val="311110DC"/>
    <w:rsid w:val="32851C3A"/>
    <w:rsid w:val="32885048"/>
    <w:rsid w:val="335F0BD5"/>
    <w:rsid w:val="33D81709"/>
    <w:rsid w:val="33E53B4C"/>
    <w:rsid w:val="342C3366"/>
    <w:rsid w:val="34475493"/>
    <w:rsid w:val="344C1881"/>
    <w:rsid w:val="355B2902"/>
    <w:rsid w:val="361A2A01"/>
    <w:rsid w:val="36445DC3"/>
    <w:rsid w:val="367C73C5"/>
    <w:rsid w:val="369C1D39"/>
    <w:rsid w:val="36B8763F"/>
    <w:rsid w:val="36BB60E9"/>
    <w:rsid w:val="36D12C63"/>
    <w:rsid w:val="37891709"/>
    <w:rsid w:val="378D251A"/>
    <w:rsid w:val="38091DF2"/>
    <w:rsid w:val="38266734"/>
    <w:rsid w:val="38AE39AD"/>
    <w:rsid w:val="38B947DA"/>
    <w:rsid w:val="39057465"/>
    <w:rsid w:val="390C4B27"/>
    <w:rsid w:val="392749F2"/>
    <w:rsid w:val="394B340C"/>
    <w:rsid w:val="399A3961"/>
    <w:rsid w:val="3A2A385E"/>
    <w:rsid w:val="3A5D3372"/>
    <w:rsid w:val="3A6351DC"/>
    <w:rsid w:val="3AD32357"/>
    <w:rsid w:val="3B490C4F"/>
    <w:rsid w:val="3BC93E29"/>
    <w:rsid w:val="3C060CBB"/>
    <w:rsid w:val="3C286B48"/>
    <w:rsid w:val="3C5426B6"/>
    <w:rsid w:val="3CB771F5"/>
    <w:rsid w:val="3D2D14FE"/>
    <w:rsid w:val="3DA74C37"/>
    <w:rsid w:val="3DD149EF"/>
    <w:rsid w:val="3E384993"/>
    <w:rsid w:val="3E710EAD"/>
    <w:rsid w:val="3EEC3201"/>
    <w:rsid w:val="3F56064B"/>
    <w:rsid w:val="41507F9E"/>
    <w:rsid w:val="41CC2DFD"/>
    <w:rsid w:val="424D0D87"/>
    <w:rsid w:val="42624A60"/>
    <w:rsid w:val="42925AAA"/>
    <w:rsid w:val="42AA6F9D"/>
    <w:rsid w:val="42D8234B"/>
    <w:rsid w:val="42DD7849"/>
    <w:rsid w:val="43726BC7"/>
    <w:rsid w:val="43753F19"/>
    <w:rsid w:val="43C27B94"/>
    <w:rsid w:val="44020989"/>
    <w:rsid w:val="440B19DC"/>
    <w:rsid w:val="44BA15FE"/>
    <w:rsid w:val="44DB0516"/>
    <w:rsid w:val="455D154F"/>
    <w:rsid w:val="45D5163D"/>
    <w:rsid w:val="45DA3C36"/>
    <w:rsid w:val="46261D5C"/>
    <w:rsid w:val="46CD12C2"/>
    <w:rsid w:val="46E664BD"/>
    <w:rsid w:val="46EC50D6"/>
    <w:rsid w:val="46F130B2"/>
    <w:rsid w:val="4798422D"/>
    <w:rsid w:val="47B16C7C"/>
    <w:rsid w:val="487E0BD5"/>
    <w:rsid w:val="492C4909"/>
    <w:rsid w:val="498B3834"/>
    <w:rsid w:val="4A536CF2"/>
    <w:rsid w:val="4A5D5574"/>
    <w:rsid w:val="4AF55B1F"/>
    <w:rsid w:val="4AFA7809"/>
    <w:rsid w:val="4B415F20"/>
    <w:rsid w:val="4C1A0845"/>
    <w:rsid w:val="4C217D03"/>
    <w:rsid w:val="4C417694"/>
    <w:rsid w:val="4C57273B"/>
    <w:rsid w:val="4C981274"/>
    <w:rsid w:val="4CBF21CE"/>
    <w:rsid w:val="4CED76D3"/>
    <w:rsid w:val="4D7F4BAA"/>
    <w:rsid w:val="4E284F6F"/>
    <w:rsid w:val="4E4F4F01"/>
    <w:rsid w:val="4ED97484"/>
    <w:rsid w:val="4EDA792E"/>
    <w:rsid w:val="4F41712B"/>
    <w:rsid w:val="4F5B0CEB"/>
    <w:rsid w:val="4F6325D0"/>
    <w:rsid w:val="4F670DC5"/>
    <w:rsid w:val="4F811DD4"/>
    <w:rsid w:val="4F915691"/>
    <w:rsid w:val="4FC35C32"/>
    <w:rsid w:val="50DF0180"/>
    <w:rsid w:val="51531B1D"/>
    <w:rsid w:val="51735A12"/>
    <w:rsid w:val="517A2386"/>
    <w:rsid w:val="51D61AB3"/>
    <w:rsid w:val="52890D2E"/>
    <w:rsid w:val="52F94A17"/>
    <w:rsid w:val="532F54FF"/>
    <w:rsid w:val="534D7542"/>
    <w:rsid w:val="538755FA"/>
    <w:rsid w:val="53F608E2"/>
    <w:rsid w:val="541E2262"/>
    <w:rsid w:val="545057DC"/>
    <w:rsid w:val="54880B8A"/>
    <w:rsid w:val="54AF11AE"/>
    <w:rsid w:val="55841BED"/>
    <w:rsid w:val="559F3231"/>
    <w:rsid w:val="55D5716C"/>
    <w:rsid w:val="561A3285"/>
    <w:rsid w:val="56D330C1"/>
    <w:rsid w:val="57075142"/>
    <w:rsid w:val="574E6AD3"/>
    <w:rsid w:val="5773222E"/>
    <w:rsid w:val="57A9668B"/>
    <w:rsid w:val="57C82FBA"/>
    <w:rsid w:val="580834DE"/>
    <w:rsid w:val="58524BFE"/>
    <w:rsid w:val="589306C8"/>
    <w:rsid w:val="590D4AD4"/>
    <w:rsid w:val="59335E5D"/>
    <w:rsid w:val="59705D9F"/>
    <w:rsid w:val="59A05A28"/>
    <w:rsid w:val="59F22C92"/>
    <w:rsid w:val="5A3069A6"/>
    <w:rsid w:val="5A75363A"/>
    <w:rsid w:val="5AAD3375"/>
    <w:rsid w:val="5BAD6AC6"/>
    <w:rsid w:val="5BCF452D"/>
    <w:rsid w:val="5C367165"/>
    <w:rsid w:val="5C7D30FC"/>
    <w:rsid w:val="5D3E7AB2"/>
    <w:rsid w:val="5E1440E8"/>
    <w:rsid w:val="5E445343"/>
    <w:rsid w:val="5E583C48"/>
    <w:rsid w:val="5EE14E8C"/>
    <w:rsid w:val="5F4C48CF"/>
    <w:rsid w:val="5F89742C"/>
    <w:rsid w:val="5F9D265B"/>
    <w:rsid w:val="5FA97F27"/>
    <w:rsid w:val="6018173C"/>
    <w:rsid w:val="61B74BA4"/>
    <w:rsid w:val="62BC6408"/>
    <w:rsid w:val="633664C6"/>
    <w:rsid w:val="634E268B"/>
    <w:rsid w:val="63C3293F"/>
    <w:rsid w:val="646F7BD5"/>
    <w:rsid w:val="656531DF"/>
    <w:rsid w:val="658D71FD"/>
    <w:rsid w:val="661F60AA"/>
    <w:rsid w:val="66555880"/>
    <w:rsid w:val="6710642E"/>
    <w:rsid w:val="68027597"/>
    <w:rsid w:val="68142DD1"/>
    <w:rsid w:val="690F0BF8"/>
    <w:rsid w:val="69423DC5"/>
    <w:rsid w:val="6A087672"/>
    <w:rsid w:val="6A7C5D35"/>
    <w:rsid w:val="6BE42BF7"/>
    <w:rsid w:val="6CAC06F9"/>
    <w:rsid w:val="6CDE5701"/>
    <w:rsid w:val="6D3766CD"/>
    <w:rsid w:val="6DDF3D04"/>
    <w:rsid w:val="6EB87748"/>
    <w:rsid w:val="6F171E75"/>
    <w:rsid w:val="6FD6330C"/>
    <w:rsid w:val="707544C3"/>
    <w:rsid w:val="7176055A"/>
    <w:rsid w:val="71790730"/>
    <w:rsid w:val="71851417"/>
    <w:rsid w:val="721E0BDD"/>
    <w:rsid w:val="726F0A2C"/>
    <w:rsid w:val="72A1308C"/>
    <w:rsid w:val="72C00F59"/>
    <w:rsid w:val="73455F5C"/>
    <w:rsid w:val="73657A4F"/>
    <w:rsid w:val="736D1DEF"/>
    <w:rsid w:val="738A6C26"/>
    <w:rsid w:val="73C12B51"/>
    <w:rsid w:val="74810785"/>
    <w:rsid w:val="748D12C7"/>
    <w:rsid w:val="74A4274C"/>
    <w:rsid w:val="74A56B98"/>
    <w:rsid w:val="74A94749"/>
    <w:rsid w:val="754A13A8"/>
    <w:rsid w:val="75C908B8"/>
    <w:rsid w:val="75D242F0"/>
    <w:rsid w:val="761A291F"/>
    <w:rsid w:val="764B1F44"/>
    <w:rsid w:val="76BD71D2"/>
    <w:rsid w:val="777C1F55"/>
    <w:rsid w:val="77D52869"/>
    <w:rsid w:val="78844169"/>
    <w:rsid w:val="7910406E"/>
    <w:rsid w:val="793E48FA"/>
    <w:rsid w:val="79E460BC"/>
    <w:rsid w:val="7A910ABF"/>
    <w:rsid w:val="7A9B66D7"/>
    <w:rsid w:val="7AA00730"/>
    <w:rsid w:val="7AD74022"/>
    <w:rsid w:val="7B6B28BF"/>
    <w:rsid w:val="7B761E2E"/>
    <w:rsid w:val="7CAD5097"/>
    <w:rsid w:val="7CD02DB7"/>
    <w:rsid w:val="7D7B4B7E"/>
    <w:rsid w:val="7E21050B"/>
    <w:rsid w:val="7E622150"/>
    <w:rsid w:val="7E665F57"/>
    <w:rsid w:val="7E702196"/>
    <w:rsid w:val="7EC34C2E"/>
    <w:rsid w:val="7ECB4EBB"/>
    <w:rsid w:val="7F291FAB"/>
    <w:rsid w:val="7FAD1C77"/>
    <w:rsid w:val="7FCE48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07EAFD"/>
  <w15:docId w15:val="{2169E864-E201-4C82-BD89-96DCF5F60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qFormat/>
    <w:rPr>
      <w:color w:val="0000FF"/>
      <w:u w:val="single"/>
    </w:rPr>
  </w:style>
  <w:style w:type="paragraph" w:styleId="NormalWeb">
    <w:name w:val="Normal (Web)"/>
    <w:basedOn w:val="Normal"/>
    <w:uiPriority w:val="99"/>
    <w:unhideWhenUsed/>
    <w:rsid w:val="001B513D"/>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ons.gov.uk/ons/dcp1717666.287415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tats.oecd.org/index.aspx?datasetcode.BLI:Index"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brent.gov.uk/benefits" TargetMode="External"/><Relationship Id="rId5" Type="http://schemas.openxmlformats.org/officeDocument/2006/relationships/webSettings" Target="webSettings.xml"/><Relationship Id="rId10" Type="http://schemas.openxmlformats.org/officeDocument/2006/relationships/hyperlink" Target="https://www.un.org/sustainabledevelopment/sustainabledevelopmentgoals/accessed" TargetMode="External"/><Relationship Id="rId4" Type="http://schemas.openxmlformats.org/officeDocument/2006/relationships/settings" Target="settings.xml"/><Relationship Id="rId9" Type="http://schemas.openxmlformats.org/officeDocument/2006/relationships/hyperlink" Target="http://www.ons.gov.uk/ons/dcp171778.319478pdf"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1432</TotalTime>
  <Pages>15</Pages>
  <Words>4922</Words>
  <Characters>28058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Temitope Shukurat Dauda</cp:lastModifiedBy>
  <cp:revision>6</cp:revision>
  <dcterms:created xsi:type="dcterms:W3CDTF">2023-01-03T15:14:00Z</dcterms:created>
  <dcterms:modified xsi:type="dcterms:W3CDTF">2023-01-04T15:19:00Z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1033-11.2.0.10463</vt:lpwstr>
  </property>
  <property fmtid="{D5CDD505-2E9C-101B-9397-08002B2CF9AE}" pid="3" name="ICV">
    <vt:lpwstr>D46CD10FCA294CA0982A37C46A7B9853</vt:lpwstr>
  </property>
</Properties>
</file>