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25A2B" w14:textId="44233B3D" w:rsidR="0030385B" w:rsidRPr="00272146" w:rsidRDefault="00522637">
      <w:pPr>
        <w:rPr>
          <w:b/>
          <w:bCs/>
          <w:sz w:val="24"/>
          <w:szCs w:val="24"/>
          <w:u w:val="single"/>
        </w:rPr>
      </w:pPr>
      <w:r w:rsidRPr="00272146">
        <w:rPr>
          <w:b/>
          <w:bCs/>
          <w:sz w:val="24"/>
          <w:szCs w:val="24"/>
          <w:u w:val="single"/>
        </w:rPr>
        <w:t>Appendi</w:t>
      </w:r>
      <w:r w:rsidR="00272146">
        <w:rPr>
          <w:b/>
          <w:bCs/>
          <w:sz w:val="24"/>
          <w:szCs w:val="24"/>
          <w:u w:val="single"/>
        </w:rPr>
        <w:t>ces</w:t>
      </w:r>
    </w:p>
    <w:p w14:paraId="72778801" w14:textId="77777777" w:rsidR="00272146" w:rsidRPr="00272146" w:rsidRDefault="00272146">
      <w:pPr>
        <w:rPr>
          <w:sz w:val="24"/>
          <w:szCs w:val="24"/>
        </w:rPr>
      </w:pPr>
    </w:p>
    <w:tbl>
      <w:tblPr>
        <w:tblStyle w:val="TableGrid"/>
        <w:tblW w:w="0" w:type="auto"/>
        <w:tblLook w:val="04A0" w:firstRow="1" w:lastRow="0" w:firstColumn="1" w:lastColumn="0" w:noHBand="0" w:noVBand="1"/>
      </w:tblPr>
      <w:tblGrid>
        <w:gridCol w:w="8926"/>
      </w:tblGrid>
      <w:tr w:rsidR="00272146" w:rsidRPr="00272146" w14:paraId="4AC06959" w14:textId="77777777" w:rsidTr="00401FDB">
        <w:tc>
          <w:tcPr>
            <w:tcW w:w="8926" w:type="dxa"/>
          </w:tcPr>
          <w:p w14:paraId="4C84086C" w14:textId="77777777" w:rsidR="00272146" w:rsidRPr="00272146" w:rsidRDefault="00272146" w:rsidP="00272146">
            <w:pPr>
              <w:widowControl w:val="0"/>
              <w:autoSpaceDE w:val="0"/>
              <w:autoSpaceDN w:val="0"/>
              <w:adjustRightInd w:val="0"/>
              <w:rPr>
                <w:rFonts w:eastAsia="Times New Roman"/>
                <w:lang w:val="cy-GB" w:eastAsia="cy-GB"/>
              </w:rPr>
            </w:pPr>
            <w:r w:rsidRPr="00272146">
              <w:rPr>
                <w:rFonts w:eastAsia="Times New Roman"/>
                <w:lang w:val="cy-GB" w:eastAsia="cy-GB"/>
              </w:rPr>
              <w:t xml:space="preserve">Date and time, year group: </w:t>
            </w:r>
          </w:p>
          <w:p w14:paraId="0043F952" w14:textId="77777777" w:rsidR="00272146" w:rsidRPr="00272146" w:rsidRDefault="00272146" w:rsidP="00272146">
            <w:pPr>
              <w:widowControl w:val="0"/>
              <w:autoSpaceDE w:val="0"/>
              <w:autoSpaceDN w:val="0"/>
              <w:adjustRightInd w:val="0"/>
              <w:rPr>
                <w:rFonts w:eastAsia="Times New Roman"/>
                <w:lang w:val="cy-GB" w:eastAsia="cy-GB"/>
              </w:rPr>
            </w:pPr>
          </w:p>
        </w:tc>
      </w:tr>
      <w:tr w:rsidR="00272146" w:rsidRPr="00272146" w14:paraId="24C38F05" w14:textId="77777777" w:rsidTr="00401FDB">
        <w:tc>
          <w:tcPr>
            <w:tcW w:w="8926" w:type="dxa"/>
          </w:tcPr>
          <w:p w14:paraId="52965BC4" w14:textId="77777777" w:rsidR="00272146" w:rsidRPr="00272146" w:rsidRDefault="00272146" w:rsidP="00272146">
            <w:pPr>
              <w:widowControl w:val="0"/>
              <w:autoSpaceDE w:val="0"/>
              <w:autoSpaceDN w:val="0"/>
              <w:adjustRightInd w:val="0"/>
              <w:rPr>
                <w:rFonts w:eastAsia="Times New Roman"/>
                <w:lang w:val="cy-GB" w:eastAsia="cy-GB"/>
              </w:rPr>
            </w:pPr>
            <w:r w:rsidRPr="00272146">
              <w:rPr>
                <w:rFonts w:eastAsia="Times New Roman"/>
                <w:b/>
                <w:bCs/>
                <w:lang w:val="cy-GB" w:eastAsia="cy-GB"/>
              </w:rPr>
              <w:t>Where and When:</w:t>
            </w:r>
            <w:r w:rsidRPr="00272146">
              <w:rPr>
                <w:rFonts w:eastAsia="Times New Roman"/>
                <w:lang w:val="cy-GB" w:eastAsia="cy-GB"/>
              </w:rPr>
              <w:t xml:space="preserve"> Context of the observation – subject/AOLE, general classroom context</w:t>
            </w:r>
          </w:p>
          <w:p w14:paraId="6D4B4DA9" w14:textId="77777777" w:rsidR="00272146" w:rsidRPr="00272146" w:rsidRDefault="00272146" w:rsidP="00272146">
            <w:pPr>
              <w:widowControl w:val="0"/>
              <w:autoSpaceDE w:val="0"/>
              <w:autoSpaceDN w:val="0"/>
              <w:adjustRightInd w:val="0"/>
              <w:rPr>
                <w:rFonts w:eastAsia="Times New Roman"/>
                <w:lang w:val="cy-GB" w:eastAsia="cy-GB"/>
              </w:rPr>
            </w:pPr>
          </w:p>
          <w:p w14:paraId="7CEF35F7" w14:textId="77777777" w:rsidR="00272146" w:rsidRPr="00272146" w:rsidRDefault="00272146" w:rsidP="00272146">
            <w:pPr>
              <w:widowControl w:val="0"/>
              <w:autoSpaceDE w:val="0"/>
              <w:autoSpaceDN w:val="0"/>
              <w:adjustRightInd w:val="0"/>
              <w:rPr>
                <w:rFonts w:eastAsia="Times New Roman"/>
                <w:lang w:val="cy-GB" w:eastAsia="cy-GB"/>
              </w:rPr>
            </w:pPr>
            <w:r w:rsidRPr="00272146">
              <w:rPr>
                <w:rFonts w:eastAsia="Times New Roman"/>
                <w:lang w:val="cy-GB" w:eastAsia="cy-GB"/>
              </w:rPr>
              <w:t xml:space="preserve">Classroom video. Observing Year 4 in St Thomas Primary School. They are learning about inferences and how to make inferences. </w:t>
            </w:r>
          </w:p>
          <w:p w14:paraId="7FF64262" w14:textId="77777777" w:rsidR="00272146" w:rsidRPr="00272146" w:rsidRDefault="00272146" w:rsidP="00272146">
            <w:pPr>
              <w:widowControl w:val="0"/>
              <w:autoSpaceDE w:val="0"/>
              <w:autoSpaceDN w:val="0"/>
              <w:adjustRightInd w:val="0"/>
              <w:rPr>
                <w:rFonts w:eastAsia="Times New Roman"/>
                <w:lang w:val="cy-GB" w:eastAsia="cy-GB"/>
              </w:rPr>
            </w:pPr>
          </w:p>
          <w:p w14:paraId="255D9AF8" w14:textId="77777777" w:rsidR="00272146" w:rsidRPr="00272146" w:rsidRDefault="00272146" w:rsidP="00272146">
            <w:pPr>
              <w:widowControl w:val="0"/>
              <w:autoSpaceDE w:val="0"/>
              <w:autoSpaceDN w:val="0"/>
              <w:adjustRightInd w:val="0"/>
              <w:rPr>
                <w:rFonts w:eastAsia="Times New Roman"/>
                <w:lang w:val="cy-GB" w:eastAsia="cy-GB"/>
              </w:rPr>
            </w:pPr>
            <w:r w:rsidRPr="00272146">
              <w:rPr>
                <w:rFonts w:eastAsia="Times New Roman"/>
                <w:lang w:val="cy-GB" w:eastAsia="cy-GB"/>
              </w:rPr>
              <w:t>AOLE- Languages, literacy and communications.</w:t>
            </w:r>
          </w:p>
          <w:p w14:paraId="130EEF31" w14:textId="77777777" w:rsidR="00272146" w:rsidRPr="00272146" w:rsidRDefault="00272146" w:rsidP="00272146">
            <w:pPr>
              <w:widowControl w:val="0"/>
              <w:autoSpaceDE w:val="0"/>
              <w:autoSpaceDN w:val="0"/>
              <w:adjustRightInd w:val="0"/>
              <w:rPr>
                <w:rFonts w:eastAsia="Times New Roman"/>
                <w:lang w:val="cy-GB" w:eastAsia="cy-GB"/>
              </w:rPr>
            </w:pPr>
          </w:p>
          <w:p w14:paraId="3EFAEF23" w14:textId="77777777" w:rsidR="00272146" w:rsidRPr="00272146" w:rsidRDefault="00272146" w:rsidP="00272146">
            <w:pPr>
              <w:widowControl w:val="0"/>
              <w:autoSpaceDE w:val="0"/>
              <w:autoSpaceDN w:val="0"/>
              <w:adjustRightInd w:val="0"/>
              <w:rPr>
                <w:rFonts w:eastAsia="Times New Roman"/>
                <w:lang w:val="cy-GB" w:eastAsia="cy-GB"/>
              </w:rPr>
            </w:pPr>
            <w:r w:rsidRPr="00272146">
              <w:rPr>
                <w:rFonts w:eastAsia="Times New Roman"/>
                <w:lang w:val="cy-GB" w:eastAsia="cy-GB"/>
              </w:rPr>
              <w:t>Topic- inferences.</w:t>
            </w:r>
          </w:p>
          <w:p w14:paraId="3BB4DE5E" w14:textId="77777777" w:rsidR="00272146" w:rsidRPr="00272146" w:rsidRDefault="00272146" w:rsidP="00272146">
            <w:pPr>
              <w:widowControl w:val="0"/>
              <w:autoSpaceDE w:val="0"/>
              <w:autoSpaceDN w:val="0"/>
              <w:adjustRightInd w:val="0"/>
              <w:rPr>
                <w:rFonts w:eastAsia="Times New Roman"/>
                <w:lang w:val="cy-GB" w:eastAsia="cy-GB"/>
              </w:rPr>
            </w:pPr>
          </w:p>
        </w:tc>
      </w:tr>
      <w:tr w:rsidR="00272146" w:rsidRPr="00272146" w14:paraId="7EB16F96" w14:textId="77777777" w:rsidTr="00401FDB">
        <w:tc>
          <w:tcPr>
            <w:tcW w:w="8926" w:type="dxa"/>
          </w:tcPr>
          <w:p w14:paraId="7D52889B" w14:textId="77777777" w:rsidR="00272146" w:rsidRPr="00272146" w:rsidRDefault="00272146" w:rsidP="00272146">
            <w:pPr>
              <w:widowControl w:val="0"/>
              <w:autoSpaceDE w:val="0"/>
              <w:autoSpaceDN w:val="0"/>
              <w:adjustRightInd w:val="0"/>
              <w:rPr>
                <w:rFonts w:eastAsia="Times New Roman"/>
                <w:b/>
                <w:bCs/>
                <w:lang w:eastAsia="cy-GB"/>
              </w:rPr>
            </w:pPr>
            <w:r w:rsidRPr="00272146">
              <w:rPr>
                <w:rFonts w:eastAsia="Times New Roman"/>
                <w:b/>
                <w:bCs/>
                <w:lang w:val="en-US" w:eastAsia="cy-GB"/>
              </w:rPr>
              <w:t xml:space="preserve">What happened: </w:t>
            </w:r>
            <w:r w:rsidRPr="00272146">
              <w:rPr>
                <w:rFonts w:eastAsia="Times New Roman"/>
                <w:lang w:val="en-US" w:eastAsia="cy-GB"/>
              </w:rPr>
              <w:t>a detailed description of the critical incident (the more detail the better to refer to in your later work)</w:t>
            </w:r>
          </w:p>
          <w:p w14:paraId="624FA1AF" w14:textId="77777777" w:rsidR="00272146" w:rsidRPr="00272146" w:rsidRDefault="00272146" w:rsidP="00272146">
            <w:pPr>
              <w:widowControl w:val="0"/>
              <w:autoSpaceDE w:val="0"/>
              <w:autoSpaceDN w:val="0"/>
              <w:adjustRightInd w:val="0"/>
              <w:rPr>
                <w:rFonts w:eastAsia="Times New Roman"/>
                <w:bCs/>
                <w:lang w:val="en-US" w:eastAsia="cy-GB"/>
              </w:rPr>
            </w:pPr>
          </w:p>
          <w:p w14:paraId="23FAAEB0" w14:textId="77777777" w:rsidR="00272146" w:rsidRPr="00272146" w:rsidRDefault="00272146" w:rsidP="00272146">
            <w:pPr>
              <w:widowControl w:val="0"/>
              <w:autoSpaceDE w:val="0"/>
              <w:autoSpaceDN w:val="0"/>
              <w:adjustRightInd w:val="0"/>
              <w:rPr>
                <w:rFonts w:eastAsia="Times New Roman"/>
                <w:bCs/>
                <w:lang w:val="en-US" w:eastAsia="cy-GB"/>
              </w:rPr>
            </w:pPr>
            <w:r w:rsidRPr="00272146">
              <w:rPr>
                <w:rFonts w:eastAsia="Times New Roman"/>
                <w:bCs/>
                <w:lang w:val="en-US" w:eastAsia="cy-GB"/>
              </w:rPr>
              <w:t xml:space="preserve">The children were asked to volunteer to read the learning objectives aloud, from the board. It seemed that the teacher kept choosing students from the lower ability group to read the objectives. A learner from one of the higher ability tables wanted to volunteer to participate in class so, he put his hand up and kept it up for a long period of time, despite the fact that the teacher was not choosing him to read from the board. </w:t>
            </w:r>
          </w:p>
          <w:p w14:paraId="630C4FEE" w14:textId="77777777" w:rsidR="00272146" w:rsidRPr="00272146" w:rsidRDefault="00272146" w:rsidP="00272146">
            <w:pPr>
              <w:widowControl w:val="0"/>
              <w:autoSpaceDE w:val="0"/>
              <w:autoSpaceDN w:val="0"/>
              <w:adjustRightInd w:val="0"/>
              <w:rPr>
                <w:rFonts w:eastAsia="Times New Roman"/>
                <w:bCs/>
                <w:lang w:val="en-US" w:eastAsia="cy-GB"/>
              </w:rPr>
            </w:pPr>
            <w:r w:rsidRPr="00272146">
              <w:rPr>
                <w:rFonts w:eastAsia="Times New Roman"/>
                <w:bCs/>
                <w:lang w:val="en-US" w:eastAsia="cy-GB"/>
              </w:rPr>
              <w:t>There were a few instances where the learner kept his hand up. It happened when they were asked to volunteer to share their ideas and work. Still, he was not chosen to speak. Again, when they were completing an independent task, the same learner put his hand up to gain the teacher’s attention. It was a while until the teacher eventually, attended to the child which meant that his hand was up for a long time before even attempting the task.</w:t>
            </w:r>
          </w:p>
          <w:p w14:paraId="6A634DED" w14:textId="77777777" w:rsidR="00272146" w:rsidRPr="00272146" w:rsidRDefault="00272146" w:rsidP="00272146">
            <w:pPr>
              <w:widowControl w:val="0"/>
              <w:autoSpaceDE w:val="0"/>
              <w:autoSpaceDN w:val="0"/>
              <w:adjustRightInd w:val="0"/>
              <w:rPr>
                <w:rFonts w:eastAsia="Times New Roman"/>
                <w:lang w:val="cy-GB" w:eastAsia="cy-GB"/>
              </w:rPr>
            </w:pPr>
          </w:p>
        </w:tc>
      </w:tr>
      <w:tr w:rsidR="00272146" w:rsidRPr="00272146" w14:paraId="12FBD47A" w14:textId="77777777" w:rsidTr="00401FDB">
        <w:tc>
          <w:tcPr>
            <w:tcW w:w="8926" w:type="dxa"/>
          </w:tcPr>
          <w:p w14:paraId="7812BC4F" w14:textId="77777777" w:rsidR="00272146" w:rsidRPr="00272146" w:rsidRDefault="00272146" w:rsidP="00272146">
            <w:pPr>
              <w:widowControl w:val="0"/>
              <w:autoSpaceDE w:val="0"/>
              <w:autoSpaceDN w:val="0"/>
              <w:adjustRightInd w:val="0"/>
              <w:rPr>
                <w:rFonts w:eastAsia="Times New Roman"/>
                <w:b/>
                <w:lang w:eastAsia="cy-GB"/>
              </w:rPr>
            </w:pPr>
            <w:r w:rsidRPr="00272146">
              <w:rPr>
                <w:rFonts w:eastAsia="Times New Roman"/>
                <w:b/>
                <w:lang w:val="en-US" w:eastAsia="cy-GB"/>
              </w:rPr>
              <w:t xml:space="preserve">Areas of possible exploration: </w:t>
            </w:r>
            <w:r w:rsidRPr="00272146">
              <w:rPr>
                <w:rFonts w:eastAsia="Times New Roman"/>
                <w:bCs/>
                <w:lang w:val="en-US" w:eastAsia="cy-GB"/>
              </w:rPr>
              <w:t>what you think could be” under the hood” in these incidents? What avenues of research could you consider?</w:t>
            </w:r>
          </w:p>
          <w:p w14:paraId="01CF156B" w14:textId="77777777" w:rsidR="00272146" w:rsidRPr="00272146" w:rsidRDefault="00272146" w:rsidP="00272146">
            <w:pPr>
              <w:widowControl w:val="0"/>
              <w:autoSpaceDE w:val="0"/>
              <w:autoSpaceDN w:val="0"/>
              <w:adjustRightInd w:val="0"/>
              <w:rPr>
                <w:rFonts w:eastAsia="Times New Roman"/>
                <w:lang w:val="cy-GB" w:eastAsia="cy-GB"/>
              </w:rPr>
            </w:pPr>
          </w:p>
          <w:p w14:paraId="007560F3" w14:textId="77777777" w:rsidR="00272146" w:rsidRPr="00272146" w:rsidRDefault="00272146" w:rsidP="00272146">
            <w:pPr>
              <w:widowControl w:val="0"/>
              <w:autoSpaceDE w:val="0"/>
              <w:autoSpaceDN w:val="0"/>
              <w:adjustRightInd w:val="0"/>
              <w:rPr>
                <w:rFonts w:eastAsia="Times New Roman"/>
                <w:lang w:val="cy-GB" w:eastAsia="cy-GB"/>
              </w:rPr>
            </w:pPr>
            <w:r w:rsidRPr="00272146">
              <w:rPr>
                <w:rFonts w:eastAsia="Times New Roman"/>
                <w:lang w:val="cy-GB" w:eastAsia="cy-GB"/>
              </w:rPr>
              <w:t xml:space="preserve">I could focus on why the lower ability table was chosen time and time again to read the objectives that were shown on the white board and the majority of other children were not. Especially, the higher ability groups. </w:t>
            </w:r>
          </w:p>
          <w:p w14:paraId="3214EACD" w14:textId="77777777" w:rsidR="00272146" w:rsidRPr="00272146" w:rsidRDefault="00272146" w:rsidP="00272146">
            <w:pPr>
              <w:widowControl w:val="0"/>
              <w:autoSpaceDE w:val="0"/>
              <w:autoSpaceDN w:val="0"/>
              <w:adjustRightInd w:val="0"/>
              <w:rPr>
                <w:rFonts w:eastAsia="Times New Roman"/>
                <w:lang w:val="cy-GB" w:eastAsia="cy-GB"/>
              </w:rPr>
            </w:pPr>
          </w:p>
          <w:p w14:paraId="67807E80" w14:textId="77777777" w:rsidR="00272146" w:rsidRPr="00272146" w:rsidRDefault="00272146" w:rsidP="00272146">
            <w:pPr>
              <w:widowControl w:val="0"/>
              <w:autoSpaceDE w:val="0"/>
              <w:autoSpaceDN w:val="0"/>
              <w:adjustRightInd w:val="0"/>
              <w:rPr>
                <w:rFonts w:eastAsia="Times New Roman"/>
                <w:lang w:val="cy-GB" w:eastAsia="cy-GB"/>
              </w:rPr>
            </w:pPr>
            <w:r w:rsidRPr="00272146">
              <w:rPr>
                <w:rFonts w:eastAsia="Times New Roman"/>
                <w:lang w:val="cy-GB" w:eastAsia="cy-GB"/>
              </w:rPr>
              <w:t xml:space="preserve">I could discuss keeping the attention of children and some facts behind it. Look into research as to why children lose interest and the attention span of young students in school. </w:t>
            </w:r>
          </w:p>
          <w:p w14:paraId="4781DEDC" w14:textId="77777777" w:rsidR="00272146" w:rsidRPr="00272146" w:rsidRDefault="00272146" w:rsidP="00272146">
            <w:pPr>
              <w:widowControl w:val="0"/>
              <w:autoSpaceDE w:val="0"/>
              <w:autoSpaceDN w:val="0"/>
              <w:adjustRightInd w:val="0"/>
              <w:rPr>
                <w:rFonts w:eastAsia="Times New Roman"/>
                <w:lang w:val="cy-GB" w:eastAsia="cy-GB"/>
              </w:rPr>
            </w:pPr>
          </w:p>
          <w:p w14:paraId="5C4F84B9" w14:textId="77777777" w:rsidR="00272146" w:rsidRPr="00272146" w:rsidRDefault="00272146" w:rsidP="00272146">
            <w:pPr>
              <w:widowControl w:val="0"/>
              <w:autoSpaceDE w:val="0"/>
              <w:autoSpaceDN w:val="0"/>
              <w:adjustRightInd w:val="0"/>
              <w:rPr>
                <w:rFonts w:eastAsia="Times New Roman"/>
                <w:lang w:val="cy-GB" w:eastAsia="cy-GB"/>
              </w:rPr>
            </w:pPr>
            <w:r w:rsidRPr="00272146">
              <w:rPr>
                <w:rFonts w:eastAsia="Times New Roman"/>
                <w:lang w:val="cy-GB" w:eastAsia="cy-GB"/>
              </w:rPr>
              <w:t xml:space="preserve">I could discuss why the tables are divided based on ability and the strengths and weaknesses of grouping based on ability and mixed ability grouping. </w:t>
            </w:r>
          </w:p>
          <w:p w14:paraId="71A38F23" w14:textId="77777777" w:rsidR="00272146" w:rsidRPr="00272146" w:rsidRDefault="00272146" w:rsidP="00272146">
            <w:pPr>
              <w:widowControl w:val="0"/>
              <w:autoSpaceDE w:val="0"/>
              <w:autoSpaceDN w:val="0"/>
              <w:adjustRightInd w:val="0"/>
              <w:rPr>
                <w:rFonts w:eastAsia="Times New Roman"/>
                <w:lang w:val="cy-GB" w:eastAsia="cy-GB"/>
              </w:rPr>
            </w:pPr>
          </w:p>
          <w:p w14:paraId="2AB71B11" w14:textId="77777777" w:rsidR="00272146" w:rsidRPr="00272146" w:rsidRDefault="00272146" w:rsidP="00272146">
            <w:pPr>
              <w:widowControl w:val="0"/>
              <w:autoSpaceDE w:val="0"/>
              <w:autoSpaceDN w:val="0"/>
              <w:adjustRightInd w:val="0"/>
              <w:rPr>
                <w:rFonts w:eastAsia="Times New Roman"/>
                <w:lang w:val="cy-GB" w:eastAsia="cy-GB"/>
              </w:rPr>
            </w:pPr>
            <w:r w:rsidRPr="00272146">
              <w:rPr>
                <w:rFonts w:eastAsia="Times New Roman"/>
                <w:lang w:val="cy-GB" w:eastAsia="cy-GB"/>
              </w:rPr>
              <w:t>I could mention well-being and how this critical incident can have a negative effect on the learner. Also, I would discuss ways in which this can be avoided and the importance of having a postive influence on a learner’s wellbeing.</w:t>
            </w:r>
          </w:p>
          <w:p w14:paraId="4D961DA3" w14:textId="77777777" w:rsidR="00272146" w:rsidRPr="00272146" w:rsidRDefault="00272146" w:rsidP="00272146">
            <w:pPr>
              <w:widowControl w:val="0"/>
              <w:autoSpaceDE w:val="0"/>
              <w:autoSpaceDN w:val="0"/>
              <w:adjustRightInd w:val="0"/>
              <w:rPr>
                <w:rFonts w:eastAsia="Times New Roman"/>
                <w:lang w:val="cy-GB" w:eastAsia="cy-GB"/>
              </w:rPr>
            </w:pPr>
          </w:p>
        </w:tc>
      </w:tr>
      <w:tr w:rsidR="00272146" w:rsidRPr="00272146" w14:paraId="561F6CF6" w14:textId="77777777" w:rsidTr="00401FDB">
        <w:tc>
          <w:tcPr>
            <w:tcW w:w="8926" w:type="dxa"/>
          </w:tcPr>
          <w:p w14:paraId="62131320" w14:textId="77777777" w:rsidR="00272146" w:rsidRPr="00272146" w:rsidRDefault="00272146" w:rsidP="00272146">
            <w:pPr>
              <w:widowControl w:val="0"/>
              <w:autoSpaceDE w:val="0"/>
              <w:autoSpaceDN w:val="0"/>
              <w:adjustRightInd w:val="0"/>
              <w:rPr>
                <w:rFonts w:eastAsia="Times New Roman"/>
                <w:bCs/>
                <w:lang w:eastAsia="cy-GB"/>
              </w:rPr>
            </w:pPr>
            <w:r w:rsidRPr="00272146">
              <w:rPr>
                <w:rFonts w:eastAsia="Times New Roman"/>
                <w:b/>
                <w:lang w:val="en-US" w:eastAsia="cy-GB"/>
              </w:rPr>
              <w:t xml:space="preserve">Notes: </w:t>
            </w:r>
            <w:r w:rsidRPr="00272146">
              <w:rPr>
                <w:rFonts w:eastAsia="Times New Roman"/>
                <w:bCs/>
                <w:lang w:val="en-US" w:eastAsia="cy-GB"/>
              </w:rPr>
              <w:t>any details you can note (is it a busy environment, is it after lunch, are there lots of distractions, are directions made explicit - the more you can refer to the better here)</w:t>
            </w:r>
          </w:p>
          <w:p w14:paraId="10D1A56B" w14:textId="77777777" w:rsidR="00272146" w:rsidRPr="00272146" w:rsidRDefault="00272146" w:rsidP="00272146">
            <w:pPr>
              <w:widowControl w:val="0"/>
              <w:autoSpaceDE w:val="0"/>
              <w:autoSpaceDN w:val="0"/>
              <w:adjustRightInd w:val="0"/>
              <w:rPr>
                <w:rFonts w:eastAsia="Times New Roman"/>
                <w:bCs/>
                <w:lang w:val="cy-GB" w:eastAsia="cy-GB"/>
              </w:rPr>
            </w:pPr>
          </w:p>
          <w:p w14:paraId="55C3B7D6" w14:textId="77777777" w:rsidR="00272146" w:rsidRPr="00272146" w:rsidRDefault="00272146" w:rsidP="00272146">
            <w:pPr>
              <w:widowControl w:val="0"/>
              <w:autoSpaceDE w:val="0"/>
              <w:autoSpaceDN w:val="0"/>
              <w:adjustRightInd w:val="0"/>
              <w:rPr>
                <w:rFonts w:eastAsia="Times New Roman"/>
                <w:lang w:val="cy-GB" w:eastAsia="cy-GB"/>
              </w:rPr>
            </w:pPr>
            <w:r w:rsidRPr="00272146">
              <w:rPr>
                <w:rFonts w:eastAsia="Times New Roman"/>
                <w:lang w:val="cy-GB" w:eastAsia="cy-GB"/>
              </w:rPr>
              <w:t xml:space="preserve">This specific group of higher ability boys is right at the back and in the corner; out of the direct eye of the teacher. This could impact the attitudes of the students and cause the teacher to not notice the lerner with his hand up. </w:t>
            </w:r>
          </w:p>
          <w:p w14:paraId="50706EE6" w14:textId="77777777" w:rsidR="00272146" w:rsidRPr="00272146" w:rsidRDefault="00272146" w:rsidP="00272146">
            <w:pPr>
              <w:widowControl w:val="0"/>
              <w:autoSpaceDE w:val="0"/>
              <w:autoSpaceDN w:val="0"/>
              <w:adjustRightInd w:val="0"/>
              <w:rPr>
                <w:rFonts w:eastAsia="Times New Roman"/>
                <w:lang w:val="cy-GB" w:eastAsia="cy-GB"/>
              </w:rPr>
            </w:pPr>
          </w:p>
          <w:p w14:paraId="045B4573" w14:textId="77777777" w:rsidR="00272146" w:rsidRPr="00272146" w:rsidRDefault="00272146" w:rsidP="00272146">
            <w:pPr>
              <w:widowControl w:val="0"/>
              <w:autoSpaceDE w:val="0"/>
              <w:autoSpaceDN w:val="0"/>
              <w:adjustRightInd w:val="0"/>
              <w:rPr>
                <w:rFonts w:eastAsia="Times New Roman"/>
                <w:lang w:val="cy-GB" w:eastAsia="cy-GB"/>
              </w:rPr>
            </w:pPr>
            <w:r w:rsidRPr="00272146">
              <w:rPr>
                <w:rFonts w:eastAsia="Times New Roman"/>
                <w:lang w:val="cy-GB" w:eastAsia="cy-GB"/>
              </w:rPr>
              <w:t xml:space="preserve">The main distraction in this instance, would be the learner concentrating on keeping his hand up rather than the task at hand. </w:t>
            </w:r>
          </w:p>
          <w:p w14:paraId="3C8402BA" w14:textId="77777777" w:rsidR="00272146" w:rsidRPr="00272146" w:rsidRDefault="00272146" w:rsidP="00272146">
            <w:pPr>
              <w:widowControl w:val="0"/>
              <w:autoSpaceDE w:val="0"/>
              <w:autoSpaceDN w:val="0"/>
              <w:adjustRightInd w:val="0"/>
              <w:rPr>
                <w:rFonts w:eastAsia="Times New Roman"/>
                <w:lang w:val="cy-GB" w:eastAsia="cy-GB"/>
              </w:rPr>
            </w:pPr>
          </w:p>
          <w:p w14:paraId="2F696B05" w14:textId="77777777" w:rsidR="00272146" w:rsidRPr="00272146" w:rsidRDefault="00272146" w:rsidP="00272146">
            <w:pPr>
              <w:widowControl w:val="0"/>
              <w:autoSpaceDE w:val="0"/>
              <w:autoSpaceDN w:val="0"/>
              <w:adjustRightInd w:val="0"/>
              <w:rPr>
                <w:rFonts w:eastAsia="Times New Roman"/>
                <w:lang w:val="cy-GB" w:eastAsia="cy-GB"/>
              </w:rPr>
            </w:pPr>
            <w:r w:rsidRPr="00272146">
              <w:rPr>
                <w:rFonts w:eastAsia="Times New Roman"/>
                <w:lang w:val="cy-GB" w:eastAsia="cy-GB"/>
              </w:rPr>
              <w:t>In addition to this, the task introduces props (shoes) that the children are using to make inferences. It was clear that the pupils found this exciting which proved to be a little bit distracting from the task.</w:t>
            </w:r>
          </w:p>
          <w:p w14:paraId="7A3B634C" w14:textId="77777777" w:rsidR="00272146" w:rsidRPr="00272146" w:rsidRDefault="00272146" w:rsidP="00272146">
            <w:pPr>
              <w:widowControl w:val="0"/>
              <w:autoSpaceDE w:val="0"/>
              <w:autoSpaceDN w:val="0"/>
              <w:adjustRightInd w:val="0"/>
              <w:rPr>
                <w:rFonts w:eastAsia="Times New Roman"/>
                <w:lang w:val="cy-GB" w:eastAsia="cy-GB"/>
              </w:rPr>
            </w:pPr>
          </w:p>
          <w:p w14:paraId="535D5B8F" w14:textId="77777777" w:rsidR="00272146" w:rsidRPr="00272146" w:rsidRDefault="00272146" w:rsidP="00272146">
            <w:pPr>
              <w:widowControl w:val="0"/>
              <w:autoSpaceDE w:val="0"/>
              <w:autoSpaceDN w:val="0"/>
              <w:adjustRightInd w:val="0"/>
              <w:rPr>
                <w:rFonts w:eastAsia="Times New Roman"/>
                <w:lang w:val="cy-GB" w:eastAsia="cy-GB"/>
              </w:rPr>
            </w:pPr>
            <w:r w:rsidRPr="00272146">
              <w:rPr>
                <w:rFonts w:eastAsia="Times New Roman"/>
                <w:lang w:val="cy-GB" w:eastAsia="cy-GB"/>
              </w:rPr>
              <w:t xml:space="preserve">It could be said that the learner was not made aware of the instructions to the task which is why he needed further help. However, I feel that the learner was more focused on keeping his hand up rather than listening carefully, to the intructions of the task. This could be why he had his hand up, seeking help. This proves the incident to be critical. </w:t>
            </w:r>
          </w:p>
          <w:p w14:paraId="3F8E6E04" w14:textId="77777777" w:rsidR="00272146" w:rsidRPr="00272146" w:rsidRDefault="00272146" w:rsidP="00272146">
            <w:pPr>
              <w:widowControl w:val="0"/>
              <w:autoSpaceDE w:val="0"/>
              <w:autoSpaceDN w:val="0"/>
              <w:adjustRightInd w:val="0"/>
              <w:rPr>
                <w:rFonts w:eastAsia="Times New Roman"/>
                <w:lang w:val="cy-GB" w:eastAsia="cy-GB"/>
              </w:rPr>
            </w:pPr>
          </w:p>
        </w:tc>
      </w:tr>
    </w:tbl>
    <w:p w14:paraId="3B279F7E" w14:textId="77777777" w:rsidR="00272146" w:rsidRDefault="00272146" w:rsidP="00522637">
      <w:pPr>
        <w:rPr>
          <w:sz w:val="24"/>
          <w:szCs w:val="24"/>
        </w:rPr>
      </w:pPr>
    </w:p>
    <w:p w14:paraId="46A9DC67" w14:textId="77777777" w:rsidR="00272146" w:rsidRDefault="00272146" w:rsidP="00522637">
      <w:pPr>
        <w:rPr>
          <w:sz w:val="24"/>
          <w:szCs w:val="24"/>
        </w:rPr>
      </w:pPr>
    </w:p>
    <w:p w14:paraId="2EFFAB03" w14:textId="77777777" w:rsidR="00272146" w:rsidRDefault="00272146" w:rsidP="00522637">
      <w:pPr>
        <w:rPr>
          <w:sz w:val="24"/>
          <w:szCs w:val="24"/>
        </w:rPr>
      </w:pPr>
    </w:p>
    <w:p w14:paraId="6A235668" w14:textId="7D793BFF" w:rsidR="00522637" w:rsidRPr="00272146" w:rsidRDefault="00522637" w:rsidP="00522637">
      <w:pPr>
        <w:rPr>
          <w:sz w:val="24"/>
          <w:szCs w:val="24"/>
        </w:rPr>
      </w:pPr>
      <w:r w:rsidRPr="00272146">
        <w:rPr>
          <w:sz w:val="24"/>
          <w:szCs w:val="24"/>
        </w:rPr>
        <w:t xml:space="preserve">Cornelius, K.E. (2014). Formative Assessment Made Easy: Templates for Collecting Daily Data in Inclusive Classrooms. Teaching Exceptional Children, 47(2), 112–118. </w:t>
      </w:r>
      <w:hyperlink r:id="rId4" w:history="1">
        <w:r w:rsidRPr="00272146">
          <w:rPr>
            <w:rStyle w:val="Hyperlink"/>
            <w:sz w:val="24"/>
            <w:szCs w:val="24"/>
          </w:rPr>
          <w:t>https://doi.org/10.1177/0040059914553204</w:t>
        </w:r>
      </w:hyperlink>
      <w:r w:rsidRPr="00272146">
        <w:rPr>
          <w:sz w:val="24"/>
          <w:szCs w:val="24"/>
        </w:rPr>
        <w:t xml:space="preserve"> </w:t>
      </w:r>
    </w:p>
    <w:p w14:paraId="33F6441F" w14:textId="77777777" w:rsidR="00522637" w:rsidRPr="00272146" w:rsidRDefault="00522637" w:rsidP="00522637">
      <w:pPr>
        <w:rPr>
          <w:sz w:val="24"/>
          <w:szCs w:val="24"/>
        </w:rPr>
      </w:pPr>
      <w:proofErr w:type="spellStart"/>
      <w:r w:rsidRPr="00272146">
        <w:rPr>
          <w:sz w:val="24"/>
          <w:szCs w:val="24"/>
        </w:rPr>
        <w:t>Klimkeit</w:t>
      </w:r>
      <w:proofErr w:type="spellEnd"/>
      <w:r w:rsidRPr="00272146">
        <w:rPr>
          <w:sz w:val="24"/>
          <w:szCs w:val="24"/>
        </w:rPr>
        <w:t xml:space="preserve">, E., Graham, C., Lee, P., Morling, M., Russo, D., &amp; Tonge, B. (2006). Children Should Be Seen and Heard: Self-Report of Feelings and </w:t>
      </w:r>
      <w:proofErr w:type="spellStart"/>
      <w:r w:rsidRPr="00272146">
        <w:rPr>
          <w:sz w:val="24"/>
          <w:szCs w:val="24"/>
        </w:rPr>
        <w:t>Behaviors</w:t>
      </w:r>
      <w:proofErr w:type="spellEnd"/>
      <w:r w:rsidRPr="00272146">
        <w:rPr>
          <w:sz w:val="24"/>
          <w:szCs w:val="24"/>
        </w:rPr>
        <w:t xml:space="preserve"> in Primary-School-Age Children With ADHD. Journal of Attention Disorders, 10(2), 181–191. </w:t>
      </w:r>
      <w:hyperlink r:id="rId5" w:history="1">
        <w:r w:rsidRPr="00272146">
          <w:rPr>
            <w:rStyle w:val="Hyperlink"/>
            <w:sz w:val="24"/>
            <w:szCs w:val="24"/>
          </w:rPr>
          <w:t>https://doi.org/10.1177/1087054706289926</w:t>
        </w:r>
      </w:hyperlink>
      <w:r w:rsidRPr="00272146">
        <w:rPr>
          <w:sz w:val="24"/>
          <w:szCs w:val="24"/>
        </w:rPr>
        <w:t xml:space="preserve"> </w:t>
      </w:r>
    </w:p>
    <w:p w14:paraId="5642D766" w14:textId="77777777" w:rsidR="00522637" w:rsidRPr="00272146" w:rsidRDefault="00522637" w:rsidP="00522637">
      <w:pPr>
        <w:rPr>
          <w:sz w:val="24"/>
          <w:szCs w:val="24"/>
        </w:rPr>
      </w:pPr>
      <w:r w:rsidRPr="00272146">
        <w:rPr>
          <w:sz w:val="24"/>
          <w:szCs w:val="24"/>
        </w:rPr>
        <w:t xml:space="preserve">Mr Barton Maths Podcast. (2018, February 20). </w:t>
      </w:r>
      <w:r w:rsidRPr="00272146">
        <w:rPr>
          <w:i/>
          <w:iCs/>
          <w:sz w:val="24"/>
          <w:szCs w:val="24"/>
        </w:rPr>
        <w:t>#039 Helen Hindle: Mixed attainment teaching and growth mindset</w:t>
      </w:r>
      <w:r w:rsidRPr="00272146">
        <w:rPr>
          <w:sz w:val="24"/>
          <w:szCs w:val="24"/>
        </w:rPr>
        <w:t xml:space="preserve">. </w:t>
      </w:r>
      <w:hyperlink r:id="rId6" w:history="1">
        <w:r w:rsidRPr="00272146">
          <w:rPr>
            <w:rStyle w:val="Hyperlink"/>
            <w:sz w:val="24"/>
            <w:szCs w:val="24"/>
          </w:rPr>
          <w:t>https://www.mrbartonmaths.com/blog/helen-hindle-mixed-attainment-teaching-and-growth-mindset/</w:t>
        </w:r>
      </w:hyperlink>
      <w:r w:rsidRPr="00272146">
        <w:rPr>
          <w:sz w:val="24"/>
          <w:szCs w:val="24"/>
        </w:rPr>
        <w:t xml:space="preserve"> </w:t>
      </w:r>
    </w:p>
    <w:p w14:paraId="252E9F64" w14:textId="77777777" w:rsidR="00272146" w:rsidRPr="00272146" w:rsidRDefault="00272146" w:rsidP="00272146">
      <w:pPr>
        <w:rPr>
          <w:sz w:val="24"/>
          <w:szCs w:val="24"/>
        </w:rPr>
      </w:pPr>
      <w:r w:rsidRPr="00272146">
        <w:rPr>
          <w:sz w:val="24"/>
          <w:szCs w:val="24"/>
        </w:rPr>
        <w:t xml:space="preserve">The Learning Environment. (2005). Teachers TV/UK Department of Education. </w:t>
      </w:r>
      <w:hyperlink r:id="rId7" w:history="1">
        <w:r w:rsidRPr="00272146">
          <w:rPr>
            <w:rStyle w:val="Hyperlink"/>
            <w:sz w:val="24"/>
            <w:szCs w:val="24"/>
          </w:rPr>
          <w:t>https://video-alexanderstreet-com.ezproxy.uwtsd.ac.uk/watch/the-learning-environment/transcript?context=channel:education</w:t>
        </w:r>
      </w:hyperlink>
      <w:r w:rsidRPr="00272146">
        <w:rPr>
          <w:sz w:val="24"/>
          <w:szCs w:val="24"/>
        </w:rPr>
        <w:t xml:space="preserve"> </w:t>
      </w:r>
    </w:p>
    <w:p w14:paraId="62BB33C5" w14:textId="77777777" w:rsidR="00522637" w:rsidRDefault="00522637" w:rsidP="00522637"/>
    <w:p w14:paraId="75F29CD6" w14:textId="77777777" w:rsidR="00522637" w:rsidRDefault="00522637"/>
    <w:sectPr w:rsidR="005226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637"/>
    <w:rsid w:val="00272146"/>
    <w:rsid w:val="0030385B"/>
    <w:rsid w:val="00522637"/>
    <w:rsid w:val="006C3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FBC7A"/>
  <w15:chartTrackingRefBased/>
  <w15:docId w15:val="{9AB4F075-980D-4CAD-A4C5-1EA89C69A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2637"/>
    <w:rPr>
      <w:color w:val="0563C1" w:themeColor="hyperlink"/>
      <w:u w:val="single"/>
    </w:rPr>
  </w:style>
  <w:style w:type="table" w:styleId="TableGrid">
    <w:name w:val="Table Grid"/>
    <w:basedOn w:val="TableNormal"/>
    <w:uiPriority w:val="39"/>
    <w:rsid w:val="00272146"/>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video-alexanderstreet-com.ezproxy.uwtsd.ac.uk/watch/the-learning-environment/transcript?context=channel:educ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rbartonmaths.com/blog/helen-hindle-mixed-attainment-teaching-and-growth-mindset/" TargetMode="External"/><Relationship Id="rId5" Type="http://schemas.openxmlformats.org/officeDocument/2006/relationships/hyperlink" Target="https://doi.org/10.1177/1087054706289926" TargetMode="External"/><Relationship Id="rId4" Type="http://schemas.openxmlformats.org/officeDocument/2006/relationships/hyperlink" Target="https://doi.org/10.1177/0040059914553204"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690</Words>
  <Characters>3936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 Davies</dc:creator>
  <cp:keywords/>
  <dc:description/>
  <cp:lastModifiedBy>Rowan Davies</cp:lastModifiedBy>
  <cp:revision>1</cp:revision>
  <dcterms:created xsi:type="dcterms:W3CDTF">2023-11-06T15:04:00Z</dcterms:created>
  <dcterms:modified xsi:type="dcterms:W3CDTF">2023-11-06T15:22:00Z</dcterms:modified>
</cp:coreProperties>
</file>