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6A75" w:rsidRDefault="00E47AF0">
      <w:pPr>
        <w:rPr>
          <w:b/>
          <w:bCs/>
        </w:rPr>
      </w:pPr>
      <w:r w:rsidRPr="00E47AF0">
        <w:rPr>
          <w:b/>
          <w:bCs/>
        </w:rPr>
        <w:t xml:space="preserve">                                               Edlaine da costa vaz</w:t>
      </w:r>
      <w:r w:rsidR="000704D4">
        <w:rPr>
          <w:b/>
          <w:bCs/>
        </w:rPr>
        <w:t xml:space="preserve"> </w:t>
      </w:r>
      <w:r w:rsidRPr="00E47AF0">
        <w:rPr>
          <w:b/>
          <w:bCs/>
        </w:rPr>
        <w:t>do Rosario Varela</w:t>
      </w:r>
    </w:p>
    <w:p w:rsidR="00E47AF0" w:rsidRDefault="00E47AF0">
      <w:pPr>
        <w:rPr>
          <w:b/>
          <w:bCs/>
        </w:rPr>
      </w:pPr>
      <w:r>
        <w:rPr>
          <w:b/>
          <w:bCs/>
        </w:rPr>
        <w:t xml:space="preserve">                                               </w:t>
      </w:r>
      <w:r w:rsidR="000704D4">
        <w:rPr>
          <w:b/>
          <w:bCs/>
        </w:rPr>
        <w:t>Student</w:t>
      </w:r>
      <w:r>
        <w:rPr>
          <w:b/>
          <w:bCs/>
        </w:rPr>
        <w:t xml:space="preserve"> ID: 1815710 </w:t>
      </w:r>
    </w:p>
    <w:p w:rsidR="00E47AF0" w:rsidRDefault="00E47AF0">
      <w:pPr>
        <w:rPr>
          <w:b/>
          <w:bCs/>
        </w:rPr>
      </w:pPr>
      <w:r>
        <w:rPr>
          <w:b/>
          <w:bCs/>
        </w:rPr>
        <w:t xml:space="preserve">                                               Digital skills and research Methods</w:t>
      </w:r>
    </w:p>
    <w:p w:rsidR="00E47AF0" w:rsidRDefault="00E47AF0">
      <w:pPr>
        <w:rPr>
          <w:b/>
          <w:bCs/>
        </w:rPr>
      </w:pPr>
      <w:r>
        <w:rPr>
          <w:b/>
          <w:bCs/>
        </w:rPr>
        <w:t xml:space="preserve">                                                           (BMSW4003_LON)</w:t>
      </w:r>
    </w:p>
    <w:p w:rsidR="00F47233" w:rsidRDefault="00F47233" w:rsidP="00F47233">
      <w:pPr>
        <w:pStyle w:val="TOCHeading"/>
        <w:rPr>
          <w:b/>
          <w:bCs/>
        </w:rPr>
      </w:pPr>
      <w:r>
        <w:rPr>
          <w:b/>
          <w:bCs/>
        </w:rPr>
        <w:t xml:space="preserve"> </w:t>
      </w:r>
    </w:p>
    <w:sdt>
      <w:sdtPr>
        <w:rPr>
          <w:rFonts w:ascii="Calibri" w:eastAsia="Calibri" w:hAnsi="Calibri" w:cs="Times New Roman"/>
          <w:b/>
          <w:bCs/>
          <w:color w:val="000000" w:themeColor="text1"/>
          <w:sz w:val="24"/>
          <w:szCs w:val="24"/>
          <w:lang w:val="en-US"/>
        </w:rPr>
        <w:id w:val="2067905853"/>
        <w:docPartObj>
          <w:docPartGallery w:val="Table of Contents"/>
          <w:docPartUnique/>
        </w:docPartObj>
      </w:sdtPr>
      <w:sdtEndPr>
        <w:rPr>
          <w:b w:val="0"/>
          <w:bCs w:val="0"/>
          <w:color w:val="auto"/>
        </w:rPr>
      </w:sdtEndPr>
      <w:sdtContent>
        <w:p w:rsidR="00F47233" w:rsidRPr="00F47233" w:rsidRDefault="00F47233" w:rsidP="00F47233">
          <w:pPr>
            <w:pStyle w:val="TOCHeading"/>
            <w:rPr>
              <w:rFonts w:ascii="Cambria" w:eastAsia="Times New Roman" w:hAnsi="Cambria" w:cs="Times New Roman"/>
              <w:b/>
              <w:bCs/>
              <w:color w:val="000000" w:themeColor="text1"/>
              <w:sz w:val="24"/>
              <w:szCs w:val="24"/>
              <w:lang w:val="en-US" w:eastAsia="ja-JP"/>
            </w:rPr>
          </w:pPr>
          <w:r w:rsidRPr="00F47233">
            <w:rPr>
              <w:rFonts w:ascii="Cambria" w:eastAsia="Times New Roman" w:hAnsi="Cambria" w:cs="Times New Roman"/>
              <w:b/>
              <w:bCs/>
              <w:color w:val="000000" w:themeColor="text1"/>
              <w:sz w:val="24"/>
              <w:szCs w:val="24"/>
              <w:lang w:val="en-US" w:eastAsia="ja-JP"/>
            </w:rPr>
            <w:t>Table of Contents</w:t>
          </w:r>
        </w:p>
        <w:p w:rsidR="00F47233" w:rsidRPr="00F47233" w:rsidRDefault="00F47233" w:rsidP="00F47233">
          <w:pPr>
            <w:tabs>
              <w:tab w:val="right" w:leader="dot" w:pos="9350"/>
            </w:tabs>
            <w:spacing w:after="100" w:line="276" w:lineRule="auto"/>
            <w:rPr>
              <w:rFonts w:ascii="Calibri" w:eastAsia="Times New Roman" w:hAnsi="Calibri" w:cs="Times New Roman"/>
              <w:b/>
              <w:bCs/>
              <w:noProof/>
              <w:color w:val="000000" w:themeColor="text1"/>
              <w:lang w:val="en-US"/>
            </w:rPr>
          </w:pPr>
          <w:r w:rsidRPr="00F47233">
            <w:rPr>
              <w:rFonts w:ascii="Cambria" w:eastAsia="Calibri" w:hAnsi="Cambria" w:cs="Times New Roman"/>
              <w:b/>
              <w:bCs/>
              <w:color w:val="000000" w:themeColor="text1"/>
              <w:sz w:val="24"/>
              <w:szCs w:val="24"/>
              <w:lang w:val="en-US"/>
            </w:rPr>
            <w:fldChar w:fldCharType="begin"/>
          </w:r>
          <w:r w:rsidRPr="00F47233">
            <w:rPr>
              <w:rFonts w:ascii="Cambria" w:eastAsia="Calibri" w:hAnsi="Cambria" w:cs="Times New Roman"/>
              <w:b/>
              <w:bCs/>
              <w:color w:val="000000" w:themeColor="text1"/>
              <w:sz w:val="24"/>
              <w:szCs w:val="24"/>
              <w:lang w:val="en-US"/>
            </w:rPr>
            <w:instrText xml:space="preserve"> TOC \o "1-3" \h \z \u </w:instrText>
          </w:r>
          <w:r w:rsidRPr="00F47233">
            <w:rPr>
              <w:rFonts w:ascii="Cambria" w:eastAsia="Calibri" w:hAnsi="Cambria" w:cs="Times New Roman"/>
              <w:b/>
              <w:bCs/>
              <w:color w:val="000000" w:themeColor="text1"/>
              <w:sz w:val="24"/>
              <w:szCs w:val="24"/>
              <w:lang w:val="en-US"/>
            </w:rPr>
            <w:fldChar w:fldCharType="separate"/>
          </w:r>
          <w:hyperlink r:id="rId5" w:anchor="_Toc28960139" w:history="1">
            <w:r w:rsidRPr="00F47233">
              <w:rPr>
                <w:rFonts w:ascii="Calibri" w:eastAsia="Calibri" w:hAnsi="Calibri" w:cs="Times New Roman"/>
                <w:b/>
                <w:bCs/>
                <w:noProof/>
                <w:color w:val="000000" w:themeColor="text1"/>
                <w:u w:val="single"/>
                <w:lang w:val="en-US"/>
              </w:rPr>
              <w:t>Introduction</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_Toc28960139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2</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220"/>
            <w:rPr>
              <w:rFonts w:ascii="Calibri" w:eastAsia="Times New Roman" w:hAnsi="Calibri" w:cs="Times New Roman"/>
              <w:b/>
              <w:bCs/>
              <w:noProof/>
              <w:color w:val="000000" w:themeColor="text1"/>
              <w:lang w:val="en-US"/>
            </w:rPr>
          </w:pPr>
          <w:hyperlink r:id="rId6" w:anchor="_Toc28960140" w:history="1">
            <w:r w:rsidRPr="00F47233">
              <w:rPr>
                <w:rFonts w:ascii="Calibri" w:eastAsia="Calibri" w:hAnsi="Calibri" w:cs="Times New Roman"/>
                <w:b/>
                <w:bCs/>
                <w:noProof/>
                <w:color w:val="000000" w:themeColor="text1"/>
                <w:u w:val="single"/>
                <w:lang w:val="en-US"/>
              </w:rPr>
              <w:t>Aims and objectives</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_Toc28960140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2</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440"/>
            <w:rPr>
              <w:rFonts w:ascii="Calibri" w:eastAsia="Times New Roman" w:hAnsi="Calibri" w:cs="Times New Roman"/>
              <w:b/>
              <w:bCs/>
              <w:noProof/>
              <w:color w:val="000000" w:themeColor="text1"/>
              <w:lang w:val="en-US"/>
            </w:rPr>
          </w:pPr>
          <w:hyperlink r:id="rId7" w:anchor="_Toc28960141" w:history="1">
            <w:r w:rsidRPr="00F47233">
              <w:rPr>
                <w:rFonts w:ascii="Calibri" w:eastAsia="Calibri" w:hAnsi="Calibri" w:cs="Times New Roman"/>
                <w:b/>
                <w:bCs/>
                <w:noProof/>
                <w:color w:val="000000" w:themeColor="text1"/>
                <w:u w:val="single"/>
                <w:lang w:val="en-US"/>
              </w:rPr>
              <w:t>Aim</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_Toc28960141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2</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440"/>
            <w:rPr>
              <w:rFonts w:ascii="Calibri" w:eastAsia="Times New Roman" w:hAnsi="Calibri" w:cs="Times New Roman"/>
              <w:b/>
              <w:bCs/>
              <w:noProof/>
              <w:color w:val="000000" w:themeColor="text1"/>
              <w:lang w:val="en-US"/>
            </w:rPr>
          </w:pPr>
          <w:hyperlink r:id="rId8" w:anchor="_Toc28960142" w:history="1">
            <w:r w:rsidRPr="00F47233">
              <w:rPr>
                <w:rFonts w:ascii="Calibri" w:eastAsia="Calibri" w:hAnsi="Calibri" w:cs="Times New Roman"/>
                <w:b/>
                <w:bCs/>
                <w:noProof/>
                <w:color w:val="000000" w:themeColor="text1"/>
                <w:u w:val="single"/>
                <w:lang w:val="en-US"/>
              </w:rPr>
              <w:t>Objectives</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_Toc28960142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2</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rPr>
              <w:rFonts w:ascii="Calibri" w:eastAsia="Times New Roman" w:hAnsi="Calibri" w:cs="Times New Roman"/>
              <w:b/>
              <w:bCs/>
              <w:noProof/>
              <w:color w:val="000000" w:themeColor="text1"/>
              <w:lang w:val="en-US"/>
            </w:rPr>
          </w:pPr>
          <w:hyperlink r:id="rId9" w:anchor="_Toc28960143" w:history="1">
            <w:r w:rsidRPr="00F47233">
              <w:rPr>
                <w:rFonts w:ascii="Calibri" w:eastAsia="Calibri" w:hAnsi="Calibri" w:cs="Times New Roman"/>
                <w:b/>
                <w:bCs/>
                <w:noProof/>
                <w:color w:val="000000" w:themeColor="text1"/>
                <w:u w:val="single"/>
                <w:lang w:val="en-US"/>
              </w:rPr>
              <w:t>Rationale</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_Toc28960143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2</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rPr>
              <w:rFonts w:ascii="Calibri" w:eastAsia="Times New Roman" w:hAnsi="Calibri" w:cs="Times New Roman"/>
              <w:b/>
              <w:bCs/>
              <w:noProof/>
              <w:color w:val="000000" w:themeColor="text1"/>
              <w:lang w:val="en-US"/>
            </w:rPr>
          </w:pPr>
          <w:hyperlink r:id="rId10" w:anchor="_Toc28960144" w:history="1">
            <w:r w:rsidRPr="00F47233">
              <w:rPr>
                <w:rFonts w:ascii="Calibri" w:eastAsia="Calibri" w:hAnsi="Calibri" w:cs="Times New Roman"/>
                <w:b/>
                <w:bCs/>
                <w:noProof/>
                <w:color w:val="000000" w:themeColor="text1"/>
                <w:u w:val="single"/>
                <w:lang w:val="en-US"/>
              </w:rPr>
              <w:t>Methodology</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_Toc28960144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3</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220"/>
            <w:rPr>
              <w:rFonts w:ascii="Calibri" w:eastAsia="Times New Roman" w:hAnsi="Calibri" w:cs="Times New Roman"/>
              <w:b/>
              <w:bCs/>
              <w:noProof/>
              <w:color w:val="000000" w:themeColor="text1"/>
              <w:lang w:val="en-US"/>
            </w:rPr>
          </w:pPr>
          <w:hyperlink r:id="rId11" w:anchor="_Toc28960145" w:history="1">
            <w:r w:rsidRPr="00F47233">
              <w:rPr>
                <w:rFonts w:ascii="Calibri" w:eastAsia="Calibri" w:hAnsi="Calibri" w:cs="Times New Roman"/>
                <w:b/>
                <w:bCs/>
                <w:noProof/>
                <w:color w:val="000000" w:themeColor="text1"/>
                <w:u w:val="single"/>
                <w:lang w:val="en-US"/>
              </w:rPr>
              <w:t>Introduction</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_Toc28960145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3</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220"/>
            <w:rPr>
              <w:rFonts w:ascii="Calibri" w:eastAsia="Times New Roman" w:hAnsi="Calibri" w:cs="Times New Roman"/>
              <w:b/>
              <w:bCs/>
              <w:noProof/>
              <w:color w:val="000000" w:themeColor="text1"/>
              <w:lang w:val="en-US"/>
            </w:rPr>
          </w:pPr>
          <w:hyperlink r:id="rId12" w:anchor="_Toc28960146" w:history="1">
            <w:r w:rsidRPr="00F47233">
              <w:rPr>
                <w:rFonts w:ascii="Calibri" w:eastAsia="Calibri" w:hAnsi="Calibri" w:cs="Times New Roman"/>
                <w:b/>
                <w:bCs/>
                <w:noProof/>
                <w:color w:val="000000" w:themeColor="text1"/>
                <w:u w:val="single"/>
                <w:lang w:val="en-US"/>
              </w:rPr>
              <w:t>Data collection</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_Toc28960146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3</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440"/>
            <w:rPr>
              <w:rFonts w:ascii="Calibri" w:eastAsia="Times New Roman" w:hAnsi="Calibri" w:cs="Times New Roman"/>
              <w:b/>
              <w:bCs/>
              <w:noProof/>
              <w:color w:val="000000" w:themeColor="text1"/>
              <w:lang w:val="en-US"/>
            </w:rPr>
          </w:pPr>
          <w:hyperlink r:id="rId13" w:anchor="_Toc28960147" w:history="1">
            <w:r w:rsidRPr="00F47233">
              <w:rPr>
                <w:rFonts w:ascii="Calibri" w:eastAsia="Calibri" w:hAnsi="Calibri" w:cs="Times New Roman"/>
                <w:b/>
                <w:bCs/>
                <w:noProof/>
                <w:color w:val="000000" w:themeColor="text1"/>
                <w:u w:val="single"/>
                <w:lang w:val="en-US"/>
              </w:rPr>
              <w:t>Primary Data analysis</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_Toc28960147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4</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220"/>
            <w:rPr>
              <w:rFonts w:ascii="Calibri" w:eastAsia="Times New Roman" w:hAnsi="Calibri" w:cs="Times New Roman"/>
              <w:b/>
              <w:bCs/>
              <w:noProof/>
              <w:color w:val="000000" w:themeColor="text1"/>
              <w:lang w:val="en-US"/>
            </w:rPr>
          </w:pPr>
          <w:hyperlink r:id="rId14" w:anchor="_Toc28960148" w:history="1">
            <w:r w:rsidRPr="00F47233">
              <w:rPr>
                <w:rFonts w:ascii="Calibri" w:eastAsia="Calibri" w:hAnsi="Calibri" w:cs="Times New Roman"/>
                <w:b/>
                <w:bCs/>
                <w:noProof/>
                <w:color w:val="000000" w:themeColor="text1"/>
                <w:u w:val="single"/>
                <w:lang w:val="en-US"/>
              </w:rPr>
              <w:t>Secondary data analysis</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_Toc28960148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9</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rPr>
              <w:rFonts w:ascii="Calibri" w:eastAsia="Times New Roman" w:hAnsi="Calibri" w:cs="Times New Roman"/>
              <w:b/>
              <w:bCs/>
              <w:noProof/>
              <w:color w:val="000000" w:themeColor="text1"/>
              <w:lang w:val="en-US"/>
            </w:rPr>
          </w:pPr>
          <w:hyperlink r:id="rId15" w:anchor="_Toc28960149" w:history="1">
            <w:r w:rsidRPr="00F47233">
              <w:rPr>
                <w:rFonts w:ascii="Calibri" w:eastAsia="Calibri" w:hAnsi="Calibri" w:cs="Times New Roman"/>
                <w:b/>
                <w:bCs/>
                <w:noProof/>
                <w:color w:val="000000" w:themeColor="text1"/>
                <w:u w:val="single"/>
                <w:lang w:val="en-US"/>
              </w:rPr>
              <w:t>Conclusion and recommendation</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_Toc28960149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10</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rPr>
              <w:rFonts w:ascii="Calibri" w:eastAsia="Times New Roman" w:hAnsi="Calibri" w:cs="Times New Roman"/>
              <w:b/>
              <w:bCs/>
              <w:noProof/>
              <w:color w:val="000000" w:themeColor="text1"/>
              <w:lang w:val="en-US"/>
            </w:rPr>
          </w:pPr>
          <w:hyperlink r:id="rId16" w:anchor="_Toc28960150" w:history="1">
            <w:r w:rsidRPr="00F47233">
              <w:rPr>
                <w:rFonts w:ascii="Calibri" w:eastAsia="Calibri" w:hAnsi="Calibri" w:cs="Times New Roman"/>
                <w:b/>
                <w:bCs/>
                <w:noProof/>
                <w:color w:val="000000" w:themeColor="text1"/>
                <w:u w:val="single"/>
                <w:lang w:val="en-US"/>
              </w:rPr>
              <w:t>References</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_Toc28960150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11</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rPr>
              <w:rFonts w:ascii="Calibri" w:eastAsia="Times New Roman" w:hAnsi="Calibri" w:cs="Times New Roman"/>
              <w:b/>
              <w:bCs/>
              <w:noProof/>
              <w:color w:val="000000" w:themeColor="text1"/>
              <w:lang w:val="en-US"/>
            </w:rPr>
          </w:pPr>
          <w:hyperlink r:id="rId17" w:anchor="_Toc28960151" w:history="1">
            <w:r w:rsidRPr="00F47233">
              <w:rPr>
                <w:rFonts w:ascii="Calibri" w:eastAsia="Calibri" w:hAnsi="Calibri" w:cs="Times New Roman"/>
                <w:b/>
                <w:bCs/>
                <w:noProof/>
                <w:color w:val="000000" w:themeColor="text1"/>
                <w:u w:val="single"/>
                <w:lang w:val="en-US"/>
              </w:rPr>
              <w:t>Appendix</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_Toc28960151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13</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220"/>
            <w:rPr>
              <w:rFonts w:ascii="Calibri" w:eastAsia="Times New Roman" w:hAnsi="Calibri" w:cs="Times New Roman"/>
              <w:b/>
              <w:bCs/>
              <w:noProof/>
              <w:color w:val="000000" w:themeColor="text1"/>
              <w:lang w:val="en-US"/>
            </w:rPr>
          </w:pPr>
          <w:hyperlink r:id="rId18" w:anchor="_Toc28960152" w:history="1">
            <w:r w:rsidRPr="00F47233">
              <w:rPr>
                <w:rFonts w:ascii="Calibri" w:eastAsia="Calibri" w:hAnsi="Calibri" w:cs="Times New Roman"/>
                <w:b/>
                <w:bCs/>
                <w:noProof/>
                <w:color w:val="000000" w:themeColor="text1"/>
                <w:u w:val="single"/>
                <w:lang w:val="en-US"/>
              </w:rPr>
              <w:t>Appendix A: Questionnaire</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_Toc28960152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13</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tabs>
              <w:tab w:val="right" w:leader="dot" w:pos="9350"/>
            </w:tabs>
            <w:spacing w:after="100" w:line="276" w:lineRule="auto"/>
            <w:ind w:left="220"/>
            <w:rPr>
              <w:rFonts w:ascii="Calibri" w:eastAsia="Times New Roman" w:hAnsi="Calibri" w:cs="Times New Roman"/>
              <w:b/>
              <w:bCs/>
              <w:noProof/>
              <w:color w:val="000000" w:themeColor="text1"/>
              <w:lang w:val="en-US"/>
            </w:rPr>
          </w:pPr>
          <w:hyperlink r:id="rId19" w:anchor="_Toc28960153" w:history="1">
            <w:r w:rsidRPr="00F47233">
              <w:rPr>
                <w:rFonts w:ascii="Calibri" w:eastAsia="Calibri" w:hAnsi="Calibri" w:cs="Times New Roman"/>
                <w:b/>
                <w:bCs/>
                <w:noProof/>
                <w:color w:val="000000" w:themeColor="text1"/>
                <w:u w:val="single"/>
                <w:lang w:val="en-US"/>
              </w:rPr>
              <w:t>Appendix B: primary data analysis</w:t>
            </w:r>
            <w:r w:rsidRPr="00F47233">
              <w:rPr>
                <w:rFonts w:ascii="Calibri" w:eastAsia="Calibri" w:hAnsi="Calibri" w:cs="Times New Roman"/>
                <w:b/>
                <w:bCs/>
                <w:noProof/>
                <w:webHidden/>
                <w:color w:val="000000" w:themeColor="text1"/>
                <w:lang w:val="en-US"/>
              </w:rPr>
              <w:tab/>
            </w:r>
            <w:r w:rsidRPr="00F47233">
              <w:rPr>
                <w:rFonts w:ascii="Calibri" w:eastAsia="Calibri" w:hAnsi="Calibri" w:cs="Times New Roman"/>
                <w:b/>
                <w:bCs/>
                <w:noProof/>
                <w:webHidden/>
                <w:color w:val="000000" w:themeColor="text1"/>
                <w:lang w:val="en-US"/>
              </w:rPr>
              <w:fldChar w:fldCharType="begin"/>
            </w:r>
            <w:r w:rsidRPr="00F47233">
              <w:rPr>
                <w:rFonts w:ascii="Calibri" w:eastAsia="Calibri" w:hAnsi="Calibri" w:cs="Times New Roman"/>
                <w:b/>
                <w:bCs/>
                <w:noProof/>
                <w:webHidden/>
                <w:color w:val="000000" w:themeColor="text1"/>
                <w:lang w:val="en-US"/>
              </w:rPr>
              <w:instrText xml:space="preserve"> PAGEREF _Toc28960153 \h </w:instrText>
            </w:r>
            <w:r w:rsidRPr="00F47233">
              <w:rPr>
                <w:rFonts w:ascii="Calibri" w:eastAsia="Calibri" w:hAnsi="Calibri" w:cs="Times New Roman"/>
                <w:b/>
                <w:bCs/>
                <w:noProof/>
                <w:webHidden/>
                <w:color w:val="000000" w:themeColor="text1"/>
                <w:lang w:val="en-US"/>
              </w:rPr>
            </w:r>
            <w:r w:rsidRPr="00F47233">
              <w:rPr>
                <w:rFonts w:ascii="Calibri" w:eastAsia="Calibri" w:hAnsi="Calibri" w:cs="Times New Roman"/>
                <w:b/>
                <w:bCs/>
                <w:noProof/>
                <w:webHidden/>
                <w:color w:val="000000" w:themeColor="text1"/>
                <w:lang w:val="en-US"/>
              </w:rPr>
              <w:fldChar w:fldCharType="separate"/>
            </w:r>
            <w:r w:rsidRPr="00F47233">
              <w:rPr>
                <w:rFonts w:ascii="Calibri" w:eastAsia="Calibri" w:hAnsi="Calibri" w:cs="Times New Roman"/>
                <w:b/>
                <w:bCs/>
                <w:noProof/>
                <w:webHidden/>
                <w:color w:val="000000" w:themeColor="text1"/>
                <w:lang w:val="en-US"/>
              </w:rPr>
              <w:t>15</w:t>
            </w:r>
            <w:r w:rsidRPr="00F47233">
              <w:rPr>
                <w:rFonts w:ascii="Calibri" w:eastAsia="Calibri" w:hAnsi="Calibri" w:cs="Times New Roman"/>
                <w:b/>
                <w:bCs/>
                <w:noProof/>
                <w:webHidden/>
                <w:color w:val="000000" w:themeColor="text1"/>
                <w:lang w:val="en-US"/>
              </w:rPr>
              <w:fldChar w:fldCharType="end"/>
            </w:r>
          </w:hyperlink>
        </w:p>
        <w:p w:rsidR="00F47233" w:rsidRPr="00F47233" w:rsidRDefault="00F47233" w:rsidP="00F47233">
          <w:pPr>
            <w:spacing w:after="200" w:line="276" w:lineRule="auto"/>
            <w:rPr>
              <w:rFonts w:ascii="Calibri" w:eastAsia="Calibri" w:hAnsi="Calibri" w:cs="Times New Roman"/>
              <w:noProof/>
              <w:sz w:val="24"/>
              <w:szCs w:val="24"/>
              <w:lang w:val="en-US"/>
            </w:rPr>
          </w:pPr>
          <w:r w:rsidRPr="00F47233">
            <w:rPr>
              <w:rFonts w:ascii="Cambria" w:eastAsia="Calibri" w:hAnsi="Cambria" w:cs="Times New Roman"/>
              <w:b/>
              <w:bCs/>
              <w:noProof/>
              <w:color w:val="000000" w:themeColor="text1"/>
              <w:sz w:val="24"/>
              <w:szCs w:val="24"/>
              <w:lang w:val="en-US"/>
            </w:rPr>
            <w:fldChar w:fldCharType="end"/>
          </w:r>
        </w:p>
      </w:sdtContent>
    </w:sdt>
    <w:p w:rsidR="00E47AF0" w:rsidRDefault="00E47AF0">
      <w:pPr>
        <w:rPr>
          <w:b/>
          <w:bCs/>
        </w:rPr>
      </w:pPr>
    </w:p>
    <w:p w:rsidR="00F47233" w:rsidRDefault="00F47233">
      <w:pPr>
        <w:rPr>
          <w:b/>
          <w:bCs/>
        </w:rPr>
      </w:pPr>
    </w:p>
    <w:p w:rsidR="00F47233" w:rsidRDefault="00F47233">
      <w:pPr>
        <w:rPr>
          <w:b/>
          <w:bCs/>
        </w:rPr>
      </w:pPr>
    </w:p>
    <w:p w:rsidR="00F47233" w:rsidRDefault="00F47233">
      <w:pPr>
        <w:rPr>
          <w:b/>
          <w:bCs/>
        </w:rPr>
      </w:pPr>
    </w:p>
    <w:p w:rsidR="00F47233" w:rsidRDefault="00F47233">
      <w:pPr>
        <w:rPr>
          <w:b/>
          <w:bCs/>
        </w:rPr>
      </w:pPr>
    </w:p>
    <w:p w:rsidR="00F47233" w:rsidRDefault="00F47233">
      <w:pPr>
        <w:rPr>
          <w:b/>
          <w:bCs/>
        </w:rPr>
      </w:pPr>
    </w:p>
    <w:p w:rsidR="00F47233" w:rsidRDefault="00F47233">
      <w:pPr>
        <w:rPr>
          <w:b/>
          <w:bCs/>
        </w:rPr>
      </w:pPr>
    </w:p>
    <w:p w:rsidR="00F47233" w:rsidRDefault="00F47233">
      <w:pPr>
        <w:rPr>
          <w:b/>
          <w:bCs/>
        </w:rPr>
      </w:pPr>
    </w:p>
    <w:p w:rsidR="00F47233" w:rsidRDefault="00F47233">
      <w:pPr>
        <w:rPr>
          <w:b/>
          <w:bCs/>
        </w:rPr>
      </w:pPr>
    </w:p>
    <w:p w:rsidR="00F47233" w:rsidRDefault="00F47233">
      <w:pPr>
        <w:rPr>
          <w:b/>
          <w:bCs/>
        </w:rPr>
      </w:pPr>
    </w:p>
    <w:p w:rsidR="00F47233" w:rsidRPr="00F47233" w:rsidRDefault="00F47233" w:rsidP="00F47233">
      <w:pPr>
        <w:keepNext/>
        <w:keepLines/>
        <w:spacing w:before="480" w:after="0" w:line="360" w:lineRule="auto"/>
        <w:jc w:val="both"/>
        <w:outlineLvl w:val="0"/>
        <w:rPr>
          <w:rFonts w:ascii="Cambria" w:eastAsia="Times New Roman" w:hAnsi="Cambria" w:cs="Times New Roman"/>
          <w:b/>
          <w:bCs/>
          <w:sz w:val="24"/>
          <w:szCs w:val="24"/>
          <w:lang w:val="en-US"/>
        </w:rPr>
      </w:pPr>
      <w:bookmarkStart w:id="0" w:name="_Toc28960139"/>
      <w:r w:rsidRPr="00F47233">
        <w:rPr>
          <w:rFonts w:ascii="Cambria" w:eastAsia="Times New Roman" w:hAnsi="Cambria" w:cs="Times New Roman"/>
          <w:b/>
          <w:bCs/>
          <w:sz w:val="24"/>
          <w:szCs w:val="24"/>
          <w:lang w:val="en-US"/>
        </w:rPr>
        <w:lastRenderedPageBreak/>
        <w:t>Introduction</w:t>
      </w:r>
      <w:bookmarkEnd w:id="0"/>
      <w:r w:rsidRPr="00F47233">
        <w:rPr>
          <w:rFonts w:ascii="Cambria" w:eastAsia="Times New Roman" w:hAnsi="Cambria" w:cs="Times New Roman"/>
          <w:b/>
          <w:bCs/>
          <w:sz w:val="24"/>
          <w:szCs w:val="24"/>
          <w:lang w:val="en-US"/>
        </w:rPr>
        <w:t xml:space="preserve"> </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A virtual learning environment is defined as a web-based platform used in educational technology in order to provide education to the students using digital assistance. In this generation, the use of virtual technology is increasing day by day and education is an essential sector where management uses virtual assistants for providing education from any location (</w:t>
      </w:r>
      <w:r w:rsidRPr="00F47233">
        <w:rPr>
          <w:rFonts w:ascii="Cambria" w:eastAsia="Calibri" w:hAnsi="Cambria" w:cs="Arial"/>
          <w:sz w:val="24"/>
          <w:szCs w:val="24"/>
          <w:shd w:val="clear" w:color="auto" w:fill="FFFFFF"/>
          <w:lang w:val="en-US"/>
        </w:rPr>
        <w:t xml:space="preserve">Barker, and </w:t>
      </w:r>
      <w:r w:rsidR="004B465A" w:rsidRPr="00F47233">
        <w:rPr>
          <w:rFonts w:ascii="Cambria" w:eastAsia="Calibri" w:hAnsi="Cambria" w:cs="Arial"/>
          <w:sz w:val="24"/>
          <w:szCs w:val="24"/>
          <w:shd w:val="clear" w:color="auto" w:fill="FFFFFF"/>
          <w:lang w:val="en-US"/>
        </w:rPr>
        <w:t>Grossman</w:t>
      </w:r>
      <w:r w:rsidRPr="00F47233">
        <w:rPr>
          <w:rFonts w:ascii="Cambria" w:eastAsia="Calibri" w:hAnsi="Cambria" w:cs="Arial"/>
          <w:sz w:val="24"/>
          <w:szCs w:val="24"/>
          <w:shd w:val="clear" w:color="auto" w:fill="FFFFFF"/>
          <w:lang w:val="en-US"/>
        </w:rPr>
        <w:t xml:space="preserve">, 2013). </w:t>
      </w:r>
      <w:r w:rsidRPr="00F47233">
        <w:rPr>
          <w:rFonts w:ascii="Cambria" w:eastAsia="Calibri" w:hAnsi="Cambria" w:cs="Times New Roman"/>
          <w:sz w:val="24"/>
          <w:szCs w:val="24"/>
          <w:lang w:val="en-US"/>
        </w:rPr>
        <w:t xml:space="preserve">The purpose of this research is to identify the impact of the virtual learning environment (VLE) on the learning experience of the students at the University of Wales. A survey will be conducted for obtaining the opinions of participants in the relation of the virtual learning environment. It is identified that the virtual learning environment mainly allows students to access education-related services through online modules and reduce the issues faced by the students. </w:t>
      </w:r>
    </w:p>
    <w:p w:rsidR="00F47233" w:rsidRPr="00F47233" w:rsidRDefault="00F47233" w:rsidP="00F47233">
      <w:pPr>
        <w:keepNext/>
        <w:keepLines/>
        <w:spacing w:before="200" w:after="0" w:line="360" w:lineRule="auto"/>
        <w:jc w:val="both"/>
        <w:outlineLvl w:val="1"/>
        <w:rPr>
          <w:rFonts w:ascii="Cambria" w:eastAsia="Times New Roman" w:hAnsi="Cambria" w:cs="Times New Roman"/>
          <w:b/>
          <w:bCs/>
          <w:sz w:val="24"/>
          <w:szCs w:val="24"/>
          <w:lang w:val="en-US"/>
        </w:rPr>
      </w:pPr>
      <w:bookmarkStart w:id="1" w:name="_Toc28960140"/>
      <w:r w:rsidRPr="00F47233">
        <w:rPr>
          <w:rFonts w:ascii="Cambria" w:eastAsia="Times New Roman" w:hAnsi="Cambria" w:cs="Times New Roman"/>
          <w:b/>
          <w:bCs/>
          <w:sz w:val="24"/>
          <w:szCs w:val="24"/>
          <w:lang w:val="en-US"/>
        </w:rPr>
        <w:t>Aims and objectives</w:t>
      </w:r>
      <w:bookmarkEnd w:id="1"/>
      <w:r w:rsidRPr="00F47233">
        <w:rPr>
          <w:rFonts w:ascii="Cambria" w:eastAsia="Times New Roman" w:hAnsi="Cambria" w:cs="Times New Roman"/>
          <w:b/>
          <w:bCs/>
          <w:sz w:val="24"/>
          <w:szCs w:val="24"/>
          <w:lang w:val="en-US"/>
        </w:rPr>
        <w:t xml:space="preserve"> </w:t>
      </w:r>
    </w:p>
    <w:p w:rsidR="00F47233" w:rsidRPr="00F47233" w:rsidRDefault="00F47233" w:rsidP="00F47233">
      <w:pPr>
        <w:keepNext/>
        <w:keepLines/>
        <w:spacing w:before="200" w:after="0" w:line="360" w:lineRule="auto"/>
        <w:jc w:val="both"/>
        <w:outlineLvl w:val="2"/>
        <w:rPr>
          <w:rFonts w:ascii="Cambria" w:eastAsia="Times New Roman" w:hAnsi="Cambria" w:cs="Times New Roman"/>
          <w:b/>
          <w:bCs/>
          <w:sz w:val="24"/>
          <w:szCs w:val="24"/>
          <w:lang w:val="en-US"/>
        </w:rPr>
      </w:pPr>
      <w:bookmarkStart w:id="2" w:name="_Toc28960141"/>
      <w:r w:rsidRPr="00F47233">
        <w:rPr>
          <w:rFonts w:ascii="Cambria" w:eastAsia="Times New Roman" w:hAnsi="Cambria" w:cs="Times New Roman"/>
          <w:b/>
          <w:bCs/>
          <w:sz w:val="24"/>
          <w:szCs w:val="24"/>
          <w:lang w:val="en-US"/>
        </w:rPr>
        <w:t>Aim</w:t>
      </w:r>
      <w:bookmarkEnd w:id="2"/>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 xml:space="preserve">To examine the impacts of the virtual learning environment on the learning experience of the students at the University of Wales Trinity saint London campus. </w:t>
      </w:r>
    </w:p>
    <w:p w:rsidR="00F47233" w:rsidRPr="00F47233" w:rsidRDefault="00F47233" w:rsidP="00F47233">
      <w:pPr>
        <w:keepNext/>
        <w:keepLines/>
        <w:spacing w:before="200" w:after="0" w:line="360" w:lineRule="auto"/>
        <w:jc w:val="both"/>
        <w:outlineLvl w:val="2"/>
        <w:rPr>
          <w:rFonts w:ascii="Cambria" w:eastAsia="Times New Roman" w:hAnsi="Cambria" w:cs="Times New Roman"/>
          <w:b/>
          <w:bCs/>
          <w:sz w:val="24"/>
          <w:szCs w:val="24"/>
          <w:lang w:val="en-US"/>
        </w:rPr>
      </w:pPr>
      <w:bookmarkStart w:id="3" w:name="_Toc28960142"/>
      <w:r w:rsidRPr="00F47233">
        <w:rPr>
          <w:rFonts w:ascii="Cambria" w:eastAsia="Times New Roman" w:hAnsi="Cambria" w:cs="Times New Roman"/>
          <w:b/>
          <w:bCs/>
          <w:sz w:val="24"/>
          <w:szCs w:val="24"/>
          <w:lang w:val="en-US"/>
        </w:rPr>
        <w:t>Objectives</w:t>
      </w:r>
      <w:bookmarkEnd w:id="3"/>
      <w:r w:rsidRPr="00F47233">
        <w:rPr>
          <w:rFonts w:ascii="Cambria" w:eastAsia="Times New Roman" w:hAnsi="Cambria" w:cs="Times New Roman"/>
          <w:b/>
          <w:bCs/>
          <w:sz w:val="24"/>
          <w:szCs w:val="24"/>
          <w:lang w:val="en-US"/>
        </w:rPr>
        <w:t xml:space="preserve"> </w:t>
      </w:r>
    </w:p>
    <w:p w:rsidR="00F47233" w:rsidRPr="00F47233" w:rsidRDefault="00F47233" w:rsidP="00F47233">
      <w:pPr>
        <w:numPr>
          <w:ilvl w:val="0"/>
          <w:numId w:val="1"/>
        </w:numPr>
        <w:spacing w:after="200" w:line="360" w:lineRule="auto"/>
        <w:contextualSpacing/>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To examine the concept behind virtual learning environment</w:t>
      </w:r>
    </w:p>
    <w:p w:rsidR="00F47233" w:rsidRPr="00F47233" w:rsidRDefault="00F47233" w:rsidP="00F47233">
      <w:pPr>
        <w:numPr>
          <w:ilvl w:val="0"/>
          <w:numId w:val="1"/>
        </w:numPr>
        <w:spacing w:after="200" w:line="360" w:lineRule="auto"/>
        <w:contextualSpacing/>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 xml:space="preserve">To understand the role of a virtual learning environment in educational sectors </w:t>
      </w:r>
    </w:p>
    <w:p w:rsidR="00F47233" w:rsidRPr="00F47233" w:rsidRDefault="00F47233" w:rsidP="00F47233">
      <w:pPr>
        <w:numPr>
          <w:ilvl w:val="0"/>
          <w:numId w:val="1"/>
        </w:numPr>
        <w:spacing w:after="200" w:line="360" w:lineRule="auto"/>
        <w:contextualSpacing/>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To identify the impact of the virtual learning environment on the learning experience of the students</w:t>
      </w:r>
    </w:p>
    <w:p w:rsidR="00F47233" w:rsidRPr="00F47233" w:rsidRDefault="00F47233" w:rsidP="00F47233">
      <w:pPr>
        <w:keepNext/>
        <w:keepLines/>
        <w:spacing w:before="480" w:after="0" w:line="360" w:lineRule="auto"/>
        <w:jc w:val="both"/>
        <w:outlineLvl w:val="0"/>
        <w:rPr>
          <w:rFonts w:ascii="Cambria" w:eastAsia="Times New Roman" w:hAnsi="Cambria" w:cs="Times New Roman"/>
          <w:b/>
          <w:bCs/>
          <w:sz w:val="24"/>
          <w:szCs w:val="24"/>
          <w:lang w:val="en-US"/>
        </w:rPr>
      </w:pPr>
      <w:bookmarkStart w:id="4" w:name="_Toc28960143"/>
      <w:r w:rsidRPr="00F47233">
        <w:rPr>
          <w:rFonts w:ascii="Cambria" w:eastAsia="Times New Roman" w:hAnsi="Cambria" w:cs="Times New Roman"/>
          <w:b/>
          <w:bCs/>
          <w:sz w:val="24"/>
          <w:szCs w:val="24"/>
          <w:lang w:val="en-US"/>
        </w:rPr>
        <w:t>Rationale</w:t>
      </w:r>
      <w:bookmarkEnd w:id="4"/>
      <w:r w:rsidRPr="00F47233">
        <w:rPr>
          <w:rFonts w:ascii="Cambria" w:eastAsia="Times New Roman" w:hAnsi="Cambria" w:cs="Times New Roman"/>
          <w:b/>
          <w:bCs/>
          <w:sz w:val="24"/>
          <w:szCs w:val="24"/>
          <w:lang w:val="en-US"/>
        </w:rPr>
        <w:t xml:space="preserve"> </w:t>
      </w:r>
    </w:p>
    <w:p w:rsidR="00F47233" w:rsidRDefault="00F47233" w:rsidP="00F47233">
      <w:pPr>
        <w:rPr>
          <w:rFonts w:ascii="Cambria" w:eastAsia="Calibri" w:hAnsi="Cambria" w:cs="Times New Roman"/>
          <w:sz w:val="24"/>
          <w:szCs w:val="24"/>
          <w:lang w:val="en-US"/>
        </w:rPr>
      </w:pPr>
      <w:r w:rsidRPr="00F47233">
        <w:rPr>
          <w:rFonts w:ascii="Cambria" w:eastAsia="Calibri" w:hAnsi="Cambria" w:cs="Times New Roman"/>
          <w:sz w:val="24"/>
          <w:szCs w:val="24"/>
          <w:lang w:val="en-US"/>
        </w:rPr>
        <w:t>This research mainly focuses on the virtual learning environment and highlights the advantages and disadvantages of such technology used in the educational sectors. It is argued that VLE is defined as an online environment of e-resources that caters to various disciplines taught at the level of undergraduate and postgraduate (</w:t>
      </w:r>
      <w:r w:rsidRPr="00F47233">
        <w:rPr>
          <w:rFonts w:ascii="Cambria" w:eastAsia="Calibri" w:hAnsi="Cambria" w:cs="Arial"/>
          <w:sz w:val="24"/>
          <w:szCs w:val="24"/>
          <w:shd w:val="clear" w:color="auto" w:fill="FFFFFF"/>
          <w:lang w:val="en-US"/>
        </w:rPr>
        <w:t>Comas, et al., 2012).</w:t>
      </w:r>
      <w:r w:rsidRPr="00F47233">
        <w:rPr>
          <w:rFonts w:ascii="Cambria" w:eastAsia="Calibri" w:hAnsi="Cambria" w:cs="Times New Roman"/>
          <w:sz w:val="24"/>
          <w:szCs w:val="24"/>
          <w:lang w:val="en-US"/>
        </w:rPr>
        <w:t xml:space="preserve"> The key significance of this paper is to determine the impact of the virtual learning environment on the learning experience of the students. For a better understanding of the VLE technology, a survey through the questionnaire will be conducted that has the</w:t>
      </w:r>
      <w:r>
        <w:rPr>
          <w:rFonts w:ascii="Cambria" w:eastAsia="Calibri" w:hAnsi="Cambria" w:cs="Times New Roman"/>
          <w:sz w:val="24"/>
          <w:szCs w:val="24"/>
          <w:lang w:val="en-US"/>
        </w:rPr>
        <w:t xml:space="preserve">   </w:t>
      </w:r>
    </w:p>
    <w:p w:rsidR="00F47233" w:rsidRDefault="00F47233" w:rsidP="00F47233">
      <w:pPr>
        <w:rPr>
          <w:rFonts w:ascii="Cambria" w:eastAsia="Calibri" w:hAnsi="Cambria" w:cs="Times New Roman"/>
          <w:sz w:val="24"/>
          <w:szCs w:val="24"/>
          <w:lang w:val="en-US"/>
        </w:rPr>
      </w:pPr>
    </w:p>
    <w:p w:rsidR="00F47233" w:rsidRDefault="00F47233" w:rsidP="00F47233">
      <w:pPr>
        <w:rPr>
          <w:rFonts w:ascii="Cambria" w:eastAsia="Calibri" w:hAnsi="Cambria" w:cs="Times New Roman"/>
          <w:sz w:val="24"/>
          <w:szCs w:val="24"/>
          <w:lang w:val="en-US"/>
        </w:rPr>
      </w:pPr>
    </w:p>
    <w:p w:rsidR="00F47233" w:rsidRDefault="00F47233" w:rsidP="00F47233">
      <w:pPr>
        <w:rPr>
          <w:rFonts w:ascii="Cambria" w:eastAsia="Calibri" w:hAnsi="Cambria" w:cs="Times New Roman"/>
          <w:sz w:val="24"/>
          <w:szCs w:val="24"/>
          <w:lang w:val="en-US"/>
        </w:rPr>
      </w:pP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lastRenderedPageBreak/>
        <w:t>potential to manage the flow of information and resolve research queries. It is observed that the University of Wales Trinity provides VLE types of services to the students where they can access modules online and learn things from any location (</w:t>
      </w:r>
      <w:r w:rsidRPr="00F47233">
        <w:rPr>
          <w:rFonts w:ascii="Cambria" w:eastAsia="Calibri" w:hAnsi="Cambria" w:cs="Arial"/>
          <w:sz w:val="24"/>
          <w:szCs w:val="24"/>
          <w:shd w:val="clear" w:color="auto" w:fill="FFFFFF"/>
          <w:lang w:val="en-US"/>
        </w:rPr>
        <w:t>Ernest, et al., 2013).</w:t>
      </w:r>
      <w:r w:rsidRPr="00F47233">
        <w:rPr>
          <w:rFonts w:ascii="Cambria" w:eastAsia="Calibri" w:hAnsi="Cambria" w:cs="Times New Roman"/>
          <w:sz w:val="24"/>
          <w:szCs w:val="24"/>
          <w:lang w:val="en-US"/>
        </w:rPr>
        <w:t xml:space="preserve"> This research will help to find the positive and negative points of the virtual learning environment in relation of student’s experience. </w:t>
      </w:r>
    </w:p>
    <w:p w:rsidR="00F47233" w:rsidRPr="00F47233" w:rsidRDefault="00F47233" w:rsidP="00F47233">
      <w:pPr>
        <w:keepNext/>
        <w:keepLines/>
        <w:spacing w:before="480" w:after="0" w:line="360" w:lineRule="auto"/>
        <w:jc w:val="both"/>
        <w:outlineLvl w:val="0"/>
        <w:rPr>
          <w:rFonts w:ascii="Cambria" w:eastAsia="Times New Roman" w:hAnsi="Cambria" w:cs="Times New Roman"/>
          <w:b/>
          <w:bCs/>
          <w:sz w:val="24"/>
          <w:szCs w:val="24"/>
          <w:lang w:val="en-US"/>
        </w:rPr>
      </w:pPr>
      <w:bookmarkStart w:id="5" w:name="_Toc28960144"/>
      <w:r w:rsidRPr="00F47233">
        <w:rPr>
          <w:rFonts w:ascii="Cambria" w:eastAsia="Times New Roman" w:hAnsi="Cambria" w:cs="Times New Roman"/>
          <w:b/>
          <w:bCs/>
          <w:sz w:val="24"/>
          <w:szCs w:val="24"/>
          <w:lang w:val="en-US"/>
        </w:rPr>
        <w:t>Methodology</w:t>
      </w:r>
      <w:bookmarkEnd w:id="5"/>
      <w:r w:rsidRPr="00F47233">
        <w:rPr>
          <w:rFonts w:ascii="Cambria" w:eastAsia="Times New Roman" w:hAnsi="Cambria" w:cs="Times New Roman"/>
          <w:b/>
          <w:bCs/>
          <w:sz w:val="24"/>
          <w:szCs w:val="24"/>
          <w:lang w:val="en-US"/>
        </w:rPr>
        <w:t xml:space="preserve"> </w:t>
      </w:r>
    </w:p>
    <w:p w:rsidR="00F47233" w:rsidRPr="00F47233" w:rsidRDefault="00F47233" w:rsidP="00F47233">
      <w:pPr>
        <w:keepNext/>
        <w:keepLines/>
        <w:spacing w:before="200" w:after="0" w:line="360" w:lineRule="auto"/>
        <w:jc w:val="both"/>
        <w:outlineLvl w:val="1"/>
        <w:rPr>
          <w:rFonts w:ascii="Cambria" w:eastAsia="Times New Roman" w:hAnsi="Cambria" w:cs="Times New Roman"/>
          <w:b/>
          <w:bCs/>
          <w:sz w:val="24"/>
          <w:szCs w:val="24"/>
          <w:lang w:val="en-US"/>
        </w:rPr>
      </w:pPr>
      <w:bookmarkStart w:id="6" w:name="_Toc28960145"/>
      <w:r w:rsidRPr="00F47233">
        <w:rPr>
          <w:rFonts w:ascii="Cambria" w:eastAsia="Times New Roman" w:hAnsi="Cambria" w:cs="Times New Roman"/>
          <w:b/>
          <w:bCs/>
          <w:sz w:val="24"/>
          <w:szCs w:val="24"/>
          <w:lang w:val="en-US"/>
        </w:rPr>
        <w:t>Introduction</w:t>
      </w:r>
      <w:bookmarkEnd w:id="6"/>
      <w:r w:rsidRPr="00F47233">
        <w:rPr>
          <w:rFonts w:ascii="Cambria" w:eastAsia="Times New Roman" w:hAnsi="Cambria" w:cs="Times New Roman"/>
          <w:b/>
          <w:bCs/>
          <w:sz w:val="24"/>
          <w:szCs w:val="24"/>
          <w:lang w:val="en-US"/>
        </w:rPr>
        <w:t xml:space="preserve"> </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It is an essential part of the research that has the potential to obtain effective results and achieve developed objectives (</w:t>
      </w:r>
      <w:r w:rsidRPr="00F47233">
        <w:rPr>
          <w:rFonts w:ascii="Cambria" w:eastAsia="Calibri" w:hAnsi="Cambria" w:cs="Arial"/>
          <w:sz w:val="24"/>
          <w:szCs w:val="24"/>
          <w:shd w:val="clear" w:color="auto" w:fill="FFFFFF"/>
          <w:lang w:val="en-US"/>
        </w:rPr>
        <w:t xml:space="preserve">Hampel, and </w:t>
      </w:r>
      <w:r w:rsidR="004B465A" w:rsidRPr="00F47233">
        <w:rPr>
          <w:rFonts w:ascii="Cambria" w:eastAsia="Calibri" w:hAnsi="Cambria" w:cs="Arial"/>
          <w:sz w:val="24"/>
          <w:szCs w:val="24"/>
          <w:shd w:val="clear" w:color="auto" w:fill="FFFFFF"/>
          <w:lang w:val="en-US"/>
        </w:rPr>
        <w:t>Plaines</w:t>
      </w:r>
      <w:r w:rsidRPr="00F47233">
        <w:rPr>
          <w:rFonts w:ascii="Cambria" w:eastAsia="Calibri" w:hAnsi="Cambria" w:cs="Arial"/>
          <w:sz w:val="24"/>
          <w:szCs w:val="24"/>
          <w:shd w:val="clear" w:color="auto" w:fill="FFFFFF"/>
          <w:lang w:val="en-US"/>
        </w:rPr>
        <w:t xml:space="preserve">, 2013). </w:t>
      </w:r>
      <w:r w:rsidRPr="00F47233">
        <w:rPr>
          <w:rFonts w:ascii="Cambria" w:eastAsia="Calibri" w:hAnsi="Cambria" w:cs="Times New Roman"/>
          <w:sz w:val="24"/>
          <w:szCs w:val="24"/>
          <w:lang w:val="en-US"/>
        </w:rPr>
        <w:t xml:space="preserve">The significance of methodology is to enhance skills in the relation of the virtual learning environment used by the University of Wales Trinity. There are various methodologies used in the research including research design, data collection method, primary data analysis, and secondary data analysis. Using such </w:t>
      </w:r>
      <w:r w:rsidR="000704D4" w:rsidRPr="00F47233">
        <w:rPr>
          <w:rFonts w:ascii="Cambria" w:eastAsia="Calibri" w:hAnsi="Cambria" w:cs="Times New Roman"/>
          <w:sz w:val="24"/>
          <w:szCs w:val="24"/>
          <w:lang w:val="en-US"/>
        </w:rPr>
        <w:t>methods,</w:t>
      </w:r>
      <w:r w:rsidRPr="00F47233">
        <w:rPr>
          <w:rFonts w:ascii="Cambria" w:eastAsia="Calibri" w:hAnsi="Cambria" w:cs="Times New Roman"/>
          <w:sz w:val="24"/>
          <w:szCs w:val="24"/>
          <w:lang w:val="en-US"/>
        </w:rPr>
        <w:t xml:space="preserve"> the developed aims and objectives can be </w:t>
      </w:r>
      <w:r w:rsidR="000704D4" w:rsidRPr="00F47233">
        <w:rPr>
          <w:rFonts w:ascii="Cambria" w:eastAsia="Calibri" w:hAnsi="Cambria" w:cs="Times New Roman"/>
          <w:sz w:val="24"/>
          <w:szCs w:val="24"/>
          <w:lang w:val="en-US"/>
        </w:rPr>
        <w:t>used,</w:t>
      </w:r>
      <w:r w:rsidRPr="00F47233">
        <w:rPr>
          <w:rFonts w:ascii="Cambria" w:eastAsia="Calibri" w:hAnsi="Cambria" w:cs="Times New Roman"/>
          <w:sz w:val="24"/>
          <w:szCs w:val="24"/>
          <w:lang w:val="en-US"/>
        </w:rPr>
        <w:t xml:space="preserve"> </w:t>
      </w:r>
      <w:bookmarkStart w:id="7" w:name="_GoBack"/>
      <w:bookmarkEnd w:id="7"/>
      <w:r w:rsidRPr="00F47233">
        <w:rPr>
          <w:rFonts w:ascii="Cambria" w:eastAsia="Calibri" w:hAnsi="Cambria" w:cs="Times New Roman"/>
          <w:sz w:val="24"/>
          <w:szCs w:val="24"/>
          <w:lang w:val="en-US"/>
        </w:rPr>
        <w:t xml:space="preserve">and the research gaps can be solved in an effective manner. </w:t>
      </w:r>
    </w:p>
    <w:p w:rsidR="00F47233" w:rsidRPr="00F47233" w:rsidRDefault="00F47233" w:rsidP="00F47233">
      <w:pPr>
        <w:keepNext/>
        <w:keepLines/>
        <w:spacing w:before="200" w:after="0" w:line="360" w:lineRule="auto"/>
        <w:jc w:val="both"/>
        <w:outlineLvl w:val="1"/>
        <w:rPr>
          <w:rFonts w:ascii="Cambria" w:eastAsia="Times New Roman" w:hAnsi="Cambria" w:cs="Times New Roman"/>
          <w:b/>
          <w:bCs/>
          <w:sz w:val="24"/>
          <w:szCs w:val="24"/>
          <w:lang w:val="en-US"/>
        </w:rPr>
      </w:pPr>
      <w:bookmarkStart w:id="8" w:name="_Toc28960146"/>
      <w:r w:rsidRPr="00F47233">
        <w:rPr>
          <w:rFonts w:ascii="Cambria" w:eastAsia="Times New Roman" w:hAnsi="Cambria" w:cs="Times New Roman"/>
          <w:b/>
          <w:bCs/>
          <w:sz w:val="24"/>
          <w:szCs w:val="24"/>
          <w:lang w:val="en-US"/>
        </w:rPr>
        <w:t>Data collection</w:t>
      </w:r>
      <w:bookmarkEnd w:id="8"/>
      <w:r w:rsidRPr="00F47233">
        <w:rPr>
          <w:rFonts w:ascii="Cambria" w:eastAsia="Times New Roman" w:hAnsi="Cambria" w:cs="Times New Roman"/>
          <w:b/>
          <w:bCs/>
          <w:sz w:val="24"/>
          <w:szCs w:val="24"/>
          <w:lang w:val="en-US"/>
        </w:rPr>
        <w:t xml:space="preserve"> </w:t>
      </w:r>
    </w:p>
    <w:p w:rsidR="00F47233" w:rsidRDefault="00F47233" w:rsidP="00F47233">
      <w:pPr>
        <w:rPr>
          <w:rFonts w:ascii="Cambria" w:eastAsia="Calibri" w:hAnsi="Cambria" w:cs="Times New Roman"/>
          <w:sz w:val="24"/>
          <w:szCs w:val="24"/>
          <w:lang w:val="en-US"/>
        </w:rPr>
      </w:pPr>
      <w:r w:rsidRPr="00F47233">
        <w:rPr>
          <w:rFonts w:ascii="Cambria" w:eastAsia="Calibri" w:hAnsi="Cambria" w:cs="Arial"/>
          <w:sz w:val="24"/>
          <w:szCs w:val="24"/>
          <w:shd w:val="clear" w:color="auto" w:fill="FFFFFF"/>
          <w:lang w:val="en-US"/>
        </w:rPr>
        <w:t xml:space="preserve">Kurilovas, Kubilinskiene, and Dagiene, (2014) </w:t>
      </w:r>
      <w:r w:rsidRPr="00F47233">
        <w:rPr>
          <w:rFonts w:ascii="Cambria" w:eastAsia="Calibri" w:hAnsi="Cambria" w:cs="Times New Roman"/>
          <w:sz w:val="24"/>
          <w:szCs w:val="24"/>
          <w:lang w:val="en-US"/>
        </w:rPr>
        <w:t>reported that data collection is the major part of the research that has the capability to provide depth information in the relation of research concern. There are two kinds of methods used for gathering data such as primary and secondary methods. The primary method is used for obtaining fresh information about virtual learning environment (</w:t>
      </w:r>
      <w:r w:rsidRPr="00F47233">
        <w:rPr>
          <w:rFonts w:ascii="Cambria" w:eastAsia="Calibri" w:hAnsi="Cambria" w:cs="Arial"/>
          <w:sz w:val="24"/>
          <w:szCs w:val="24"/>
          <w:shd w:val="clear" w:color="auto" w:fill="FFFFFF"/>
          <w:lang w:val="en-US"/>
        </w:rPr>
        <w:t>Makransky, et al., 2016).</w:t>
      </w:r>
      <w:r w:rsidRPr="00F47233">
        <w:rPr>
          <w:rFonts w:ascii="Cambria" w:eastAsia="Calibri" w:hAnsi="Cambria" w:cs="Times New Roman"/>
          <w:sz w:val="24"/>
          <w:szCs w:val="24"/>
          <w:lang w:val="en-US"/>
        </w:rPr>
        <w:t xml:space="preserve"> On the other hand, a secondary method is used for gathering reviewed information from recent studies and journal articles. For obtaining, primary data the researcher conducted a close-ended survey with the participants (students of the University of Wales trinity) in order to understand the opinions of the participants towards the virtual learning environment. In the context of the survey, a random sampling technique is used for including participants randomly from the university (</w:t>
      </w:r>
      <w:r w:rsidRPr="00F47233">
        <w:rPr>
          <w:rFonts w:ascii="Cambria" w:eastAsia="Calibri" w:hAnsi="Cambria" w:cs="Arial"/>
          <w:sz w:val="24"/>
          <w:szCs w:val="24"/>
          <w:shd w:val="clear" w:color="auto" w:fill="FFFFFF"/>
          <w:lang w:val="en-US"/>
        </w:rPr>
        <w:t>Mkrttchian, et al., 2014).</w:t>
      </w:r>
      <w:r w:rsidRPr="00F47233">
        <w:rPr>
          <w:rFonts w:ascii="Cambria" w:eastAsia="Calibri" w:hAnsi="Cambria" w:cs="Times New Roman"/>
          <w:sz w:val="24"/>
          <w:szCs w:val="24"/>
          <w:lang w:val="en-US"/>
        </w:rPr>
        <w:t xml:space="preserve"> Therefore, it is reported that the sample size for conducting a survey is 20 and the population is the university of wales trinity where the management provides a virtual learning environment to the students. So, it is helpful for</w:t>
      </w:r>
      <w:r>
        <w:rPr>
          <w:rFonts w:ascii="Cambria" w:eastAsia="Calibri" w:hAnsi="Cambria" w:cs="Times New Roman"/>
          <w:sz w:val="24"/>
          <w:szCs w:val="24"/>
          <w:lang w:val="en-US"/>
        </w:rPr>
        <w:t xml:space="preserve">    </w:t>
      </w:r>
    </w:p>
    <w:p w:rsidR="00F47233" w:rsidRDefault="00F47233" w:rsidP="00F47233">
      <w:pPr>
        <w:rPr>
          <w:rFonts w:ascii="Cambria" w:eastAsia="Calibri" w:hAnsi="Cambria" w:cs="Times New Roman"/>
          <w:sz w:val="24"/>
          <w:szCs w:val="24"/>
          <w:lang w:val="en-US"/>
        </w:rPr>
      </w:pPr>
    </w:p>
    <w:p w:rsidR="00F47233" w:rsidRDefault="00F47233" w:rsidP="00F47233">
      <w:pPr>
        <w:rPr>
          <w:rFonts w:ascii="Cambria" w:eastAsia="Calibri" w:hAnsi="Cambria" w:cs="Times New Roman"/>
          <w:sz w:val="24"/>
          <w:szCs w:val="24"/>
          <w:lang w:val="en-US"/>
        </w:rPr>
      </w:pPr>
    </w:p>
    <w:p w:rsidR="00F47233" w:rsidRDefault="00F47233" w:rsidP="00F47233">
      <w:pPr>
        <w:rPr>
          <w:rFonts w:ascii="Cambria" w:eastAsia="Calibri" w:hAnsi="Cambria" w:cs="Times New Roman"/>
          <w:sz w:val="24"/>
          <w:szCs w:val="24"/>
          <w:lang w:val="en-US"/>
        </w:rPr>
      </w:pPr>
    </w:p>
    <w:p w:rsidR="00F47233" w:rsidRDefault="00F47233" w:rsidP="00F47233">
      <w:pPr>
        <w:rPr>
          <w:rFonts w:ascii="Cambria" w:eastAsia="Calibri" w:hAnsi="Cambria" w:cs="Times New Roman"/>
          <w:sz w:val="24"/>
          <w:szCs w:val="24"/>
          <w:lang w:val="en-US"/>
        </w:rPr>
      </w:pPr>
    </w:p>
    <w:p w:rsidR="00F47233" w:rsidRDefault="00F47233" w:rsidP="00F47233">
      <w:pPr>
        <w:rPr>
          <w:rFonts w:ascii="Cambria" w:eastAsia="Calibri" w:hAnsi="Cambria" w:cs="Times New Roman"/>
          <w:sz w:val="24"/>
          <w:szCs w:val="24"/>
          <w:lang w:val="en-US"/>
        </w:rPr>
      </w:pP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lastRenderedPageBreak/>
        <w:t xml:space="preserve">finding appropriate data by conducting primary data analysis and understanding the impact of the virtual learning environment on student’s learning experience. In this statistical analysis and Excel, tools are used for analyzing primary data and representing the responses of participants in the form of graphs and tables. The developed questions highlighted in the appendix section. </w:t>
      </w:r>
    </w:p>
    <w:p w:rsidR="00F47233" w:rsidRPr="00F47233" w:rsidRDefault="00F47233" w:rsidP="00F47233">
      <w:pPr>
        <w:keepNext/>
        <w:keepLines/>
        <w:spacing w:before="200" w:after="0" w:line="360" w:lineRule="auto"/>
        <w:jc w:val="both"/>
        <w:outlineLvl w:val="2"/>
        <w:rPr>
          <w:rFonts w:ascii="Cambria" w:eastAsia="Times New Roman" w:hAnsi="Cambria" w:cs="Times New Roman"/>
          <w:b/>
          <w:bCs/>
          <w:sz w:val="24"/>
          <w:szCs w:val="24"/>
          <w:lang w:val="en-US"/>
        </w:rPr>
      </w:pPr>
      <w:bookmarkStart w:id="9" w:name="_Toc28960147"/>
      <w:r w:rsidRPr="00F47233">
        <w:rPr>
          <w:rFonts w:ascii="Cambria" w:eastAsia="Times New Roman" w:hAnsi="Cambria" w:cs="Times New Roman"/>
          <w:b/>
          <w:bCs/>
          <w:sz w:val="24"/>
          <w:szCs w:val="24"/>
          <w:lang w:val="en-US"/>
        </w:rPr>
        <w:t>Primary Data analysis</w:t>
      </w:r>
      <w:bookmarkEnd w:id="9"/>
      <w:r w:rsidRPr="00F47233">
        <w:rPr>
          <w:rFonts w:ascii="Cambria" w:eastAsia="Times New Roman" w:hAnsi="Cambria" w:cs="Times New Roman"/>
          <w:b/>
          <w:bCs/>
          <w:sz w:val="24"/>
          <w:szCs w:val="24"/>
          <w:lang w:val="en-US"/>
        </w:rPr>
        <w:t xml:space="preserve"> </w:t>
      </w:r>
    </w:p>
    <w:p w:rsidR="00F47233" w:rsidRPr="00F47233" w:rsidRDefault="00F47233" w:rsidP="00F47233">
      <w:pPr>
        <w:spacing w:after="200" w:line="360" w:lineRule="auto"/>
        <w:jc w:val="both"/>
        <w:rPr>
          <w:rFonts w:ascii="Cambria" w:eastAsia="Calibri" w:hAnsi="Cambria" w:cs="Times New Roman"/>
          <w:b/>
          <w:sz w:val="24"/>
          <w:szCs w:val="24"/>
          <w:lang w:val="en-US"/>
        </w:rPr>
      </w:pPr>
      <w:r w:rsidRPr="00F47233">
        <w:rPr>
          <w:rFonts w:ascii="Cambria" w:eastAsia="Calibri" w:hAnsi="Cambria" w:cs="Times New Roman"/>
          <w:b/>
          <w:sz w:val="24"/>
          <w:szCs w:val="24"/>
          <w:lang w:val="en-US"/>
        </w:rPr>
        <w:t xml:space="preserve">Q1. Gender </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It is found that the total 19 participants provided detail of their gender and 1 participant did not confirm their gender. The below figure and tables show the collected responses from the students of the University:</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noProof/>
          <w:sz w:val="24"/>
          <w:szCs w:val="24"/>
          <w:lang w:val="en-US"/>
        </w:rPr>
        <w:drawing>
          <wp:inline distT="0" distB="0" distL="0" distR="0" wp14:anchorId="1ACF7ACB" wp14:editId="195ADFF8">
            <wp:extent cx="4610100" cy="3098800"/>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10100" cy="3098800"/>
                    </a:xfrm>
                    <a:prstGeom prst="rect">
                      <a:avLst/>
                    </a:prstGeom>
                    <a:noFill/>
                    <a:ln>
                      <a:noFill/>
                    </a:ln>
                  </pic:spPr>
                </pic:pic>
              </a:graphicData>
            </a:graphic>
          </wp:inline>
        </w:drawing>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 xml:space="preserve">It is found that in the conducted survey total of 47% of the participants are male, 42% of the participants are female and 10% of participants are other that provided their viewpoints in the relation of the virtual learning environment. The appendix B highlights the collected data in the form of table including participants’ responses. </w:t>
      </w:r>
    </w:p>
    <w:p w:rsidR="00F47233" w:rsidRPr="00F47233" w:rsidRDefault="00F47233" w:rsidP="00F47233">
      <w:pPr>
        <w:spacing w:after="200" w:line="360" w:lineRule="auto"/>
        <w:jc w:val="both"/>
        <w:rPr>
          <w:rFonts w:ascii="Cambria" w:eastAsia="Calibri" w:hAnsi="Cambria" w:cs="Times New Roman"/>
          <w:b/>
          <w:sz w:val="24"/>
          <w:szCs w:val="24"/>
          <w:lang w:val="en-US"/>
        </w:rPr>
      </w:pPr>
      <w:r w:rsidRPr="00F47233">
        <w:rPr>
          <w:rFonts w:ascii="Cambria" w:eastAsia="Calibri" w:hAnsi="Cambria" w:cs="Times New Roman"/>
          <w:b/>
          <w:sz w:val="24"/>
          <w:szCs w:val="24"/>
          <w:lang w:val="en-US"/>
        </w:rPr>
        <w:t>Q2. Age</w:t>
      </w:r>
    </w:p>
    <w:p w:rsidR="00F47233" w:rsidRDefault="00F47233" w:rsidP="00F47233">
      <w:pPr>
        <w:rPr>
          <w:b/>
          <w:bCs/>
        </w:rPr>
      </w:pPr>
    </w:p>
    <w:p w:rsidR="00F47233" w:rsidRDefault="00F47233" w:rsidP="00F47233">
      <w:pPr>
        <w:rPr>
          <w:b/>
          <w:bCs/>
        </w:rPr>
      </w:pPr>
    </w:p>
    <w:p w:rsidR="00F47233" w:rsidRDefault="00F47233" w:rsidP="00F47233">
      <w:pPr>
        <w:rPr>
          <w:b/>
          <w:bCs/>
        </w:rPr>
      </w:pP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lastRenderedPageBreak/>
        <w:t xml:space="preserve">It is observed that a total of 18 participants provided their age while 2 of the participants did not specify their age group in the conducted survey. The below figure and table </w:t>
      </w:r>
      <w:r w:rsidR="000704D4" w:rsidRPr="00F47233">
        <w:rPr>
          <w:rFonts w:ascii="Cambria" w:eastAsia="Calibri" w:hAnsi="Cambria" w:cs="Times New Roman"/>
          <w:sz w:val="24"/>
          <w:szCs w:val="24"/>
          <w:lang w:val="en-US"/>
        </w:rPr>
        <w:t>show</w:t>
      </w:r>
      <w:r w:rsidRPr="00F47233">
        <w:rPr>
          <w:rFonts w:ascii="Cambria" w:eastAsia="Calibri" w:hAnsi="Cambria" w:cs="Times New Roman"/>
          <w:sz w:val="24"/>
          <w:szCs w:val="24"/>
          <w:lang w:val="en-US"/>
        </w:rPr>
        <w:t xml:space="preserve"> the responses of the participants about their age group:</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noProof/>
          <w:sz w:val="24"/>
          <w:szCs w:val="24"/>
          <w:lang w:val="en-US"/>
        </w:rPr>
        <w:drawing>
          <wp:inline distT="0" distB="0" distL="0" distR="0" wp14:anchorId="734622E7" wp14:editId="1D3CD466">
            <wp:extent cx="5600700" cy="3041650"/>
            <wp:effectExtent l="0" t="0" r="0" b="635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00700" cy="3041650"/>
                    </a:xfrm>
                    <a:prstGeom prst="rect">
                      <a:avLst/>
                    </a:prstGeom>
                    <a:noFill/>
                    <a:ln>
                      <a:noFill/>
                    </a:ln>
                  </pic:spPr>
                </pic:pic>
              </a:graphicData>
            </a:graphic>
          </wp:inline>
        </w:drawing>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 xml:space="preserve">It is determined that around 27% of the participants are under 18 years and 44% of participants are between 18 and 24 years. On the other hand, 5 out of 18 participants (27%) are above 24 years that highlighted the opinions related to the virtual learning environment. </w:t>
      </w:r>
    </w:p>
    <w:p w:rsidR="00F47233" w:rsidRPr="00F47233" w:rsidRDefault="00F47233" w:rsidP="00F47233">
      <w:pPr>
        <w:spacing w:after="200" w:line="360" w:lineRule="auto"/>
        <w:jc w:val="both"/>
        <w:rPr>
          <w:rFonts w:ascii="Cambria" w:eastAsia="Calibri" w:hAnsi="Cambria" w:cs="Times New Roman"/>
          <w:b/>
          <w:sz w:val="24"/>
          <w:szCs w:val="24"/>
          <w:lang w:val="en-US"/>
        </w:rPr>
      </w:pPr>
      <w:r w:rsidRPr="00F47233">
        <w:rPr>
          <w:rFonts w:ascii="Cambria" w:eastAsia="Calibri" w:hAnsi="Cambria" w:cs="Times New Roman"/>
          <w:b/>
          <w:sz w:val="24"/>
          <w:szCs w:val="24"/>
          <w:lang w:val="en-US"/>
        </w:rPr>
        <w:t xml:space="preserve">Q3. Experience </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noProof/>
          <w:sz w:val="24"/>
          <w:szCs w:val="24"/>
          <w:lang w:val="en-US"/>
        </w:rPr>
        <w:drawing>
          <wp:inline distT="0" distB="0" distL="0" distR="0" wp14:anchorId="64B5F81E" wp14:editId="0024092F">
            <wp:extent cx="4749800" cy="2006600"/>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49800" cy="2006600"/>
                    </a:xfrm>
                    <a:prstGeom prst="rect">
                      <a:avLst/>
                    </a:prstGeom>
                    <a:noFill/>
                    <a:ln>
                      <a:noFill/>
                    </a:ln>
                  </pic:spPr>
                </pic:pic>
              </a:graphicData>
            </a:graphic>
          </wp:inline>
        </w:drawing>
      </w:r>
    </w:p>
    <w:p w:rsidR="00F47233" w:rsidRPr="00F47233" w:rsidRDefault="00F47233" w:rsidP="00F47233">
      <w:pPr>
        <w:spacing w:after="200" w:line="360" w:lineRule="auto"/>
        <w:jc w:val="both"/>
        <w:rPr>
          <w:rFonts w:ascii="Cambria" w:eastAsia="Calibri" w:hAnsi="Cambria" w:cs="Times New Roman"/>
          <w:sz w:val="24"/>
          <w:szCs w:val="24"/>
          <w:lang w:val="en-US"/>
        </w:rPr>
      </w:pPr>
    </w:p>
    <w:p w:rsidR="00F47233" w:rsidRDefault="00F47233" w:rsidP="00F47233">
      <w:pPr>
        <w:rPr>
          <w:b/>
          <w:bCs/>
        </w:rPr>
      </w:pP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lastRenderedPageBreak/>
        <w:t xml:space="preserve">The above figure and table indicate the responses of the participants in the relation of experience of a virtual learning environment. It is found that 25% of participants are below 1 year experienced and 43% of participants are below 3 years of experience in the virtual learning environment. In which 31% of the participants are more than 3 years experienced that highlighted both positive and negative points related to VLE. </w:t>
      </w:r>
    </w:p>
    <w:p w:rsidR="00F47233" w:rsidRPr="00F47233" w:rsidRDefault="00F47233" w:rsidP="00F47233">
      <w:pPr>
        <w:spacing w:after="200" w:line="360" w:lineRule="auto"/>
        <w:jc w:val="both"/>
        <w:rPr>
          <w:rFonts w:ascii="Cambria" w:eastAsia="Calibri" w:hAnsi="Cambria" w:cs="Times New Roman"/>
          <w:b/>
          <w:sz w:val="24"/>
          <w:szCs w:val="24"/>
          <w:lang w:val="en-US"/>
        </w:rPr>
      </w:pPr>
      <w:r w:rsidRPr="00F47233">
        <w:rPr>
          <w:rFonts w:ascii="Cambria" w:eastAsia="Calibri" w:hAnsi="Cambria" w:cs="Times New Roman"/>
          <w:b/>
          <w:sz w:val="24"/>
          <w:szCs w:val="24"/>
          <w:lang w:val="en-US"/>
        </w:rPr>
        <w:t>Q4. Utilization of VLE</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noProof/>
          <w:sz w:val="24"/>
          <w:szCs w:val="24"/>
          <w:lang w:val="en-US"/>
        </w:rPr>
        <w:drawing>
          <wp:inline distT="0" distB="0" distL="0" distR="0" wp14:anchorId="6F5463AB" wp14:editId="7D5C01D4">
            <wp:extent cx="4000500" cy="2209800"/>
            <wp:effectExtent l="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00500" cy="2209800"/>
                    </a:xfrm>
                    <a:prstGeom prst="rect">
                      <a:avLst/>
                    </a:prstGeom>
                    <a:noFill/>
                    <a:ln>
                      <a:noFill/>
                    </a:ln>
                  </pic:spPr>
                </pic:pic>
              </a:graphicData>
            </a:graphic>
          </wp:inline>
        </w:drawing>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sz w:val="24"/>
          <w:szCs w:val="24"/>
          <w:lang w:val="en-US"/>
        </w:rPr>
        <w:t xml:space="preserve">It is found that a total of 17 participants provided viewpoints about the utilization of VLE and 3 participants skipped this question. It is observed that 41% strongly agreed, 41% agreed ad 11% disagreed that the utilization of VLE is helpful in the educational sectors. </w:t>
      </w:r>
    </w:p>
    <w:p w:rsidR="00F47233" w:rsidRPr="00F47233" w:rsidRDefault="00F47233" w:rsidP="00F47233">
      <w:pPr>
        <w:spacing w:after="200" w:line="360" w:lineRule="auto"/>
        <w:jc w:val="both"/>
        <w:rPr>
          <w:rFonts w:ascii="Cambria" w:eastAsia="Calibri" w:hAnsi="Cambria" w:cs="Times New Roman"/>
          <w:b/>
          <w:sz w:val="24"/>
          <w:szCs w:val="24"/>
          <w:lang w:val="en-US"/>
        </w:rPr>
      </w:pPr>
      <w:r w:rsidRPr="00F47233">
        <w:rPr>
          <w:rFonts w:ascii="Cambria" w:eastAsia="Calibri" w:hAnsi="Cambria" w:cs="Times New Roman"/>
          <w:b/>
          <w:sz w:val="24"/>
          <w:szCs w:val="24"/>
          <w:lang w:val="en-US"/>
        </w:rPr>
        <w:t>Q5. Accessibility of VLE</w:t>
      </w:r>
    </w:p>
    <w:p w:rsidR="00F47233" w:rsidRPr="00F47233" w:rsidRDefault="00F47233" w:rsidP="00F47233">
      <w:pPr>
        <w:spacing w:after="200" w:line="360" w:lineRule="auto"/>
        <w:jc w:val="both"/>
        <w:rPr>
          <w:rFonts w:ascii="Cambria" w:eastAsia="Calibri" w:hAnsi="Cambria" w:cs="Times New Roman"/>
          <w:sz w:val="24"/>
          <w:szCs w:val="24"/>
          <w:lang w:val="en-US"/>
        </w:rPr>
      </w:pPr>
      <w:r w:rsidRPr="00F47233">
        <w:rPr>
          <w:rFonts w:ascii="Cambria" w:eastAsia="Calibri" w:hAnsi="Cambria" w:cs="Times New Roman"/>
          <w:noProof/>
          <w:sz w:val="24"/>
          <w:szCs w:val="24"/>
          <w:lang w:val="en-US"/>
        </w:rPr>
        <w:drawing>
          <wp:inline distT="0" distB="0" distL="0" distR="0" wp14:anchorId="138080B3" wp14:editId="7F95F17F">
            <wp:extent cx="4578350" cy="2565400"/>
            <wp:effectExtent l="0" t="0" r="0" b="635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8350" cy="2565400"/>
                    </a:xfrm>
                    <a:prstGeom prst="rect">
                      <a:avLst/>
                    </a:prstGeom>
                    <a:noFill/>
                    <a:ln>
                      <a:noFill/>
                    </a:ln>
                  </pic:spPr>
                </pic:pic>
              </a:graphicData>
            </a:graphic>
          </wp:inline>
        </w:drawing>
      </w:r>
      <w:r w:rsidRPr="00F47233">
        <w:rPr>
          <w:rFonts w:ascii="Cambria" w:eastAsia="Calibri" w:hAnsi="Cambria" w:cs="Times New Roman"/>
          <w:sz w:val="24"/>
          <w:szCs w:val="24"/>
          <w:lang w:val="en-US"/>
        </w:rPr>
        <w:t xml:space="preserve"> </w:t>
      </w:r>
    </w:p>
    <w:p w:rsidR="00F47233" w:rsidRDefault="00F47233" w:rsidP="00F47233">
      <w:pPr>
        <w:rPr>
          <w:b/>
          <w:bCs/>
        </w:rPr>
      </w:pPr>
    </w:p>
    <w:p w:rsidR="004B465A" w:rsidRDefault="004B465A" w:rsidP="00F47233">
      <w:pPr>
        <w:rPr>
          <w:b/>
          <w:bCs/>
        </w:rPr>
      </w:pP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lastRenderedPageBreak/>
        <w:t xml:space="preserve">In which total 17 participants provided their responses and 3 participants skipped this question while conducting the survey. It is found that 23% strongly agreed and 17% agreed that VLE can be accessed by both on and off-campus. On the other hand, 17% disagreed and 17% strongly disagreed with the developed statement. </w:t>
      </w: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Q6. VLE accessed from any location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noProof/>
          <w:sz w:val="24"/>
          <w:szCs w:val="24"/>
          <w:lang w:val="en-US"/>
        </w:rPr>
        <w:drawing>
          <wp:inline distT="0" distB="0" distL="0" distR="0" wp14:anchorId="3B202AB9" wp14:editId="09DCE1F8">
            <wp:extent cx="5943600" cy="3143250"/>
            <wp:effectExtent l="0" t="0" r="0" b="0"/>
            <wp:docPr id="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143250"/>
                    </a:xfrm>
                    <a:prstGeom prst="rect">
                      <a:avLst/>
                    </a:prstGeom>
                    <a:noFill/>
                    <a:ln>
                      <a:noFill/>
                    </a:ln>
                  </pic:spPr>
                </pic:pic>
              </a:graphicData>
            </a:graphic>
          </wp:inline>
        </w:drawing>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It is observed that 19 participants provided their responses and 1 participant did not provide their opinions about the asked question. Moreover, 26% strongly agreed, 47% agreed, 5% neutral and 21% disagreed that VLE modules can be accessed from any location. </w:t>
      </w: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Q7. Methods for VLE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noProof/>
          <w:sz w:val="24"/>
          <w:szCs w:val="24"/>
          <w:lang w:val="en-US"/>
        </w:rPr>
        <w:drawing>
          <wp:inline distT="0" distB="0" distL="0" distR="0" wp14:anchorId="5C13C622" wp14:editId="74AD978B">
            <wp:extent cx="3879850" cy="1524000"/>
            <wp:effectExtent l="0" t="0" r="6350" b="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79850" cy="1524000"/>
                    </a:xfrm>
                    <a:prstGeom prst="rect">
                      <a:avLst/>
                    </a:prstGeom>
                    <a:noFill/>
                    <a:ln>
                      <a:noFill/>
                    </a:ln>
                  </pic:spPr>
                </pic:pic>
              </a:graphicData>
            </a:graphic>
          </wp:inline>
        </w:drawing>
      </w:r>
    </w:p>
    <w:p w:rsidR="004B465A" w:rsidRDefault="004B465A" w:rsidP="004B465A">
      <w:pPr>
        <w:rPr>
          <w:rFonts w:ascii="Cambria" w:eastAsia="Calibri" w:hAnsi="Cambria" w:cs="Times New Roman"/>
          <w:sz w:val="24"/>
          <w:szCs w:val="24"/>
          <w:lang w:val="en-US"/>
        </w:rPr>
      </w:pPr>
    </w:p>
    <w:p w:rsidR="004B465A" w:rsidRPr="004B465A" w:rsidRDefault="004B465A" w:rsidP="004B465A">
      <w:pPr>
        <w:spacing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lastRenderedPageBreak/>
        <w:t xml:space="preserve">It is found that 30 of the participants highlighted that VLE provides lecture notes, 30% of participants reported modules as a way for VLE and 20% shows that VLE provides online sources to the students. On the other hand, 10% of the participants provided that VLE deliver links to the external websites for accessing modules. </w:t>
      </w: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Q8. Negative impact</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noProof/>
          <w:sz w:val="24"/>
          <w:szCs w:val="24"/>
          <w:lang w:val="en-US"/>
        </w:rPr>
        <w:drawing>
          <wp:inline distT="0" distB="0" distL="0" distR="0" wp14:anchorId="0BBF5571" wp14:editId="4C920E55">
            <wp:extent cx="4406900" cy="2603500"/>
            <wp:effectExtent l="0" t="0" r="0" b="6350"/>
            <wp:docPr id="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06900" cy="2603500"/>
                    </a:xfrm>
                    <a:prstGeom prst="rect">
                      <a:avLst/>
                    </a:prstGeom>
                    <a:noFill/>
                    <a:ln>
                      <a:noFill/>
                    </a:ln>
                  </pic:spPr>
                </pic:pic>
              </a:graphicData>
            </a:graphic>
          </wp:inline>
        </w:drawing>
      </w:r>
      <w:r w:rsidRPr="004B465A">
        <w:rPr>
          <w:rFonts w:ascii="Cambria" w:eastAsia="Calibri" w:hAnsi="Cambria" w:cs="Times New Roman"/>
          <w:sz w:val="24"/>
          <w:szCs w:val="24"/>
          <w:lang w:val="en-US"/>
        </w:rPr>
        <w:t xml:space="preserve"> </w:t>
      </w:r>
      <w:r w:rsidRPr="004B465A">
        <w:rPr>
          <w:rFonts w:ascii="Cambria" w:eastAsia="Calibri" w:hAnsi="Cambria" w:cs="Times New Roman"/>
          <w:sz w:val="24"/>
          <w:szCs w:val="24"/>
          <w:lang w:val="en-US"/>
        </w:rPr>
        <w:tab/>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It is found that 16% strongly agreed, 55% agreed and 11% disagreed that the virtual learning environment has a negative impact on the knowledge of the students. Therefore, the utilization of VLE is beneficial in the university. </w:t>
      </w: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Q9. Rational process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noProof/>
          <w:sz w:val="24"/>
          <w:szCs w:val="24"/>
          <w:lang w:val="en-US"/>
        </w:rPr>
        <w:drawing>
          <wp:inline distT="0" distB="0" distL="0" distR="0" wp14:anchorId="463D8194" wp14:editId="23D1D85C">
            <wp:extent cx="4311650" cy="2463800"/>
            <wp:effectExtent l="0" t="0" r="0"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11650" cy="2463800"/>
                    </a:xfrm>
                    <a:prstGeom prst="rect">
                      <a:avLst/>
                    </a:prstGeom>
                    <a:noFill/>
                    <a:ln>
                      <a:noFill/>
                    </a:ln>
                  </pic:spPr>
                </pic:pic>
              </a:graphicData>
            </a:graphic>
          </wp:inline>
        </w:drawing>
      </w:r>
    </w:p>
    <w:p w:rsidR="004B465A" w:rsidRDefault="004B465A" w:rsidP="004B465A">
      <w:pPr>
        <w:rPr>
          <w:rFonts w:ascii="Cambria" w:eastAsia="Calibri" w:hAnsi="Cambria" w:cs="Times New Roman"/>
          <w:sz w:val="24"/>
          <w:szCs w:val="24"/>
          <w:lang w:val="en-US"/>
        </w:rPr>
      </w:pPr>
    </w:p>
    <w:p w:rsidR="004B465A" w:rsidRDefault="004B465A" w:rsidP="004B465A">
      <w:pPr>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It is found that 21% strongly agreed, 57% agreed and 10% disagreed that VLE can take over the traditional process of learning in the university. In which 10% of the participants’ neither agreed nor disagreed with the developed statement. </w:t>
      </w: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Q10. Impact of VLE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noProof/>
          <w:sz w:val="24"/>
          <w:szCs w:val="24"/>
          <w:lang w:val="en-US"/>
        </w:rPr>
        <w:drawing>
          <wp:inline distT="0" distB="0" distL="0" distR="0" wp14:anchorId="7E35F70E" wp14:editId="74527154">
            <wp:extent cx="4895850" cy="2813050"/>
            <wp:effectExtent l="0" t="0" r="0" b="6350"/>
            <wp:docPr id="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95850" cy="2813050"/>
                    </a:xfrm>
                    <a:prstGeom prst="rect">
                      <a:avLst/>
                    </a:prstGeom>
                    <a:noFill/>
                    <a:ln>
                      <a:noFill/>
                    </a:ln>
                  </pic:spPr>
                </pic:pic>
              </a:graphicData>
            </a:graphic>
          </wp:inline>
        </w:drawing>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It is found that 25% of the participants strongly agreed, 55% of participants agreed that the utilization of VLE technology can enhance the student’s learning experience in the university. Moreover, 20% of the participants neither agreed nor disagreed with the asked question but overall VLE has the capability to enhance student’s learning experience (</w:t>
      </w:r>
      <w:r w:rsidRPr="004B465A">
        <w:rPr>
          <w:rFonts w:ascii="Cambria" w:eastAsia="Calibri" w:hAnsi="Cambria" w:cs="Arial"/>
          <w:sz w:val="24"/>
          <w:szCs w:val="24"/>
          <w:shd w:val="clear" w:color="auto" w:fill="FFFFFF"/>
          <w:lang w:val="en-US"/>
        </w:rPr>
        <w:t>Pedro, et al., 2015).</w:t>
      </w:r>
      <w:r w:rsidRPr="004B465A">
        <w:rPr>
          <w:rFonts w:ascii="Cambria" w:eastAsia="Calibri" w:hAnsi="Cambria" w:cs="Times New Roman"/>
          <w:sz w:val="24"/>
          <w:szCs w:val="24"/>
          <w:lang w:val="en-US"/>
        </w:rPr>
        <w:t xml:space="preserve"> </w:t>
      </w:r>
    </w:p>
    <w:p w:rsidR="004B465A" w:rsidRPr="004B465A" w:rsidRDefault="004B465A" w:rsidP="004B465A">
      <w:pPr>
        <w:keepNext/>
        <w:keepLines/>
        <w:spacing w:before="200" w:after="0" w:line="360" w:lineRule="auto"/>
        <w:jc w:val="both"/>
        <w:outlineLvl w:val="1"/>
        <w:rPr>
          <w:rFonts w:ascii="Cambria" w:eastAsia="Times New Roman" w:hAnsi="Cambria" w:cs="Times New Roman"/>
          <w:b/>
          <w:bCs/>
          <w:sz w:val="24"/>
          <w:szCs w:val="24"/>
          <w:lang w:val="en-US"/>
        </w:rPr>
      </w:pPr>
      <w:bookmarkStart w:id="10" w:name="_Toc28960148"/>
      <w:r w:rsidRPr="004B465A">
        <w:rPr>
          <w:rFonts w:ascii="Cambria" w:eastAsia="Times New Roman" w:hAnsi="Cambria" w:cs="Times New Roman"/>
          <w:b/>
          <w:bCs/>
          <w:sz w:val="24"/>
          <w:szCs w:val="24"/>
          <w:lang w:val="en-US"/>
        </w:rPr>
        <w:t>Secondary data analysis</w:t>
      </w:r>
      <w:bookmarkEnd w:id="10"/>
      <w:r w:rsidRPr="004B465A">
        <w:rPr>
          <w:rFonts w:ascii="Cambria" w:eastAsia="Times New Roman" w:hAnsi="Cambria" w:cs="Times New Roman"/>
          <w:b/>
          <w:bCs/>
          <w:sz w:val="24"/>
          <w:szCs w:val="24"/>
          <w:lang w:val="en-US"/>
        </w:rPr>
        <w:t xml:space="preserv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Arial"/>
          <w:sz w:val="24"/>
          <w:szCs w:val="24"/>
          <w:shd w:val="clear" w:color="auto" w:fill="FFFFFF"/>
          <w:lang w:val="en-US"/>
        </w:rPr>
        <w:t xml:space="preserve">Phungsuk, Viriyavejakul, and Ratanaolarn, (2017) </w:t>
      </w:r>
      <w:r w:rsidRPr="004B465A">
        <w:rPr>
          <w:rFonts w:ascii="Cambria" w:eastAsia="Calibri" w:hAnsi="Cambria" w:cs="Times New Roman"/>
          <w:sz w:val="24"/>
          <w:szCs w:val="24"/>
          <w:lang w:val="en-US"/>
        </w:rPr>
        <w:t xml:space="preserve">found that a virtual learning environment provides a way where students can access academic modules through internet connections and enhance skills. The key point of VLE technology is that it helps students to reduce barriers that impact on the experience or knowledge. From recent literature, it is found that the virtual learning environment provided by the University of Wales Trinity reduces the barriers and difficulties faced by the students. </w:t>
      </w:r>
      <w:r w:rsidRPr="004B465A">
        <w:rPr>
          <w:rFonts w:ascii="Cambria" w:eastAsia="Calibri" w:hAnsi="Cambria" w:cs="Arial"/>
          <w:sz w:val="24"/>
          <w:szCs w:val="24"/>
          <w:shd w:val="clear" w:color="auto" w:fill="FFFFFF"/>
          <w:lang w:val="en-US"/>
        </w:rPr>
        <w:t>Schmidt</w:t>
      </w:r>
      <w:r w:rsidRPr="004B465A">
        <w:rPr>
          <w:rFonts w:ascii="Cambria" w:eastAsia="Calibri" w:hAnsi="Cambria" w:cs="Times New Roman"/>
          <w:sz w:val="24"/>
          <w:szCs w:val="24"/>
          <w:lang w:val="en-US"/>
        </w:rPr>
        <w:t xml:space="preserve">, et al., (2012) reported that the major significance of the virtual learning environment is that it has the potential to provide accessibility of the modules to the students. </w:t>
      </w:r>
    </w:p>
    <w:p w:rsidR="004B465A" w:rsidRDefault="004B465A" w:rsidP="004B465A">
      <w:pPr>
        <w:rPr>
          <w:b/>
          <w:bCs/>
        </w:rPr>
      </w:pP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lastRenderedPageBreak/>
        <w:t>For obtaining secondary data numerous sources are used including peer-reviewed articles, online websites, and journal papers and so on. In order to analyze secondary data content analysis method is used due to their capability to provide effective outcomes to the researchers. It is found that VLE impact on the student’s learning experience in both positive and negative manners (</w:t>
      </w:r>
      <w:r w:rsidRPr="004B465A">
        <w:rPr>
          <w:rFonts w:ascii="Cambria" w:eastAsia="Calibri" w:hAnsi="Cambria" w:cs="Arial"/>
          <w:sz w:val="24"/>
          <w:szCs w:val="24"/>
          <w:shd w:val="clear" w:color="auto" w:fill="FFFFFF"/>
          <w:lang w:val="en-US"/>
        </w:rPr>
        <w:t>Wolff, et al., 2013).</w:t>
      </w:r>
      <w:r w:rsidRPr="004B465A">
        <w:rPr>
          <w:rFonts w:ascii="Cambria" w:eastAsia="Calibri" w:hAnsi="Cambria" w:cs="Times New Roman"/>
          <w:sz w:val="24"/>
          <w:szCs w:val="24"/>
          <w:lang w:val="en-US"/>
        </w:rPr>
        <w:t xml:space="preserve"> In a positive manner, VLE helps students to access university modules from any location and enhance the learning experience. In a negative manner, VLE technology reduces face to face communication and produces less effective outcomes towards the student’s learning experience. </w:t>
      </w:r>
    </w:p>
    <w:p w:rsidR="004B465A" w:rsidRPr="004B465A" w:rsidRDefault="004B465A" w:rsidP="004B465A">
      <w:pPr>
        <w:keepNext/>
        <w:keepLines/>
        <w:spacing w:before="480" w:after="0" w:line="360" w:lineRule="auto"/>
        <w:jc w:val="both"/>
        <w:outlineLvl w:val="0"/>
        <w:rPr>
          <w:rFonts w:ascii="Cambria" w:eastAsia="Times New Roman" w:hAnsi="Cambria" w:cs="Times New Roman"/>
          <w:b/>
          <w:bCs/>
          <w:sz w:val="24"/>
          <w:szCs w:val="24"/>
          <w:lang w:val="en-US"/>
        </w:rPr>
      </w:pPr>
      <w:bookmarkStart w:id="11" w:name="_Toc28960149"/>
      <w:r w:rsidRPr="004B465A">
        <w:rPr>
          <w:rFonts w:ascii="Cambria" w:eastAsia="Times New Roman" w:hAnsi="Cambria" w:cs="Times New Roman"/>
          <w:b/>
          <w:bCs/>
          <w:sz w:val="24"/>
          <w:szCs w:val="24"/>
          <w:lang w:val="en-US"/>
        </w:rPr>
        <w:t>Conclusion and recommendation</w:t>
      </w:r>
      <w:bookmarkEnd w:id="11"/>
      <w:r w:rsidRPr="004B465A">
        <w:rPr>
          <w:rFonts w:ascii="Cambria" w:eastAsia="Times New Roman" w:hAnsi="Cambria" w:cs="Times New Roman"/>
          <w:b/>
          <w:bCs/>
          <w:sz w:val="24"/>
          <w:szCs w:val="24"/>
          <w:lang w:val="en-US"/>
        </w:rPr>
        <w:t xml:space="preserv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It can be concluded that a virtual learning environment is an effective technology that can be used by for enhancing student’s learning experience. This research provided depth examination in the relation of the virtual learning environment and highlighted both positive and negative points of VLE. The conducted survey provided depth information and helped to achieve the objectives of the research. It is found that most of the participants provided positive responses towards VLE technology and highlighted the VLE positively and negative impact on the student’s learning experience. It is recommended that the researcher should include more participants and conduct a literature review for a better understanding of the concept behind the virtual learning environment. The future research will analyze the advantages and disadvantages of the virtual learning environment in relation to student’s learning experience of the University of Wales.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br w:type="page"/>
      </w:r>
    </w:p>
    <w:p w:rsidR="004B465A" w:rsidRPr="004B465A" w:rsidRDefault="004B465A" w:rsidP="004B465A">
      <w:pPr>
        <w:keepNext/>
        <w:keepLines/>
        <w:spacing w:before="480" w:after="0" w:line="360" w:lineRule="auto"/>
        <w:jc w:val="both"/>
        <w:outlineLvl w:val="0"/>
        <w:rPr>
          <w:rFonts w:ascii="Cambria" w:eastAsia="Times New Roman" w:hAnsi="Cambria" w:cs="Times New Roman"/>
          <w:b/>
          <w:bCs/>
          <w:sz w:val="24"/>
          <w:szCs w:val="24"/>
          <w:lang w:val="en-US"/>
        </w:rPr>
      </w:pPr>
      <w:bookmarkStart w:id="12" w:name="_Toc28960151"/>
      <w:r w:rsidRPr="004B465A">
        <w:rPr>
          <w:rFonts w:ascii="Cambria" w:eastAsia="Times New Roman" w:hAnsi="Cambria" w:cs="Times New Roman"/>
          <w:b/>
          <w:bCs/>
          <w:sz w:val="24"/>
          <w:szCs w:val="24"/>
          <w:lang w:val="en-US"/>
        </w:rPr>
        <w:lastRenderedPageBreak/>
        <w:t>Appendix</w:t>
      </w:r>
      <w:bookmarkEnd w:id="12"/>
    </w:p>
    <w:p w:rsidR="004B465A" w:rsidRPr="004B465A" w:rsidRDefault="004B465A" w:rsidP="004B465A">
      <w:pPr>
        <w:keepNext/>
        <w:keepLines/>
        <w:spacing w:before="200" w:after="0" w:line="276" w:lineRule="auto"/>
        <w:outlineLvl w:val="1"/>
        <w:rPr>
          <w:rFonts w:ascii="Cambria" w:eastAsia="Times New Roman" w:hAnsi="Cambria" w:cs="Times New Roman"/>
          <w:b/>
          <w:bCs/>
          <w:sz w:val="24"/>
          <w:szCs w:val="24"/>
          <w:lang w:val="en-US"/>
        </w:rPr>
      </w:pPr>
      <w:bookmarkStart w:id="13" w:name="_Toc28960152"/>
      <w:r w:rsidRPr="004B465A">
        <w:rPr>
          <w:rFonts w:ascii="Cambria" w:eastAsia="Times New Roman" w:hAnsi="Cambria" w:cs="Times New Roman"/>
          <w:b/>
          <w:bCs/>
          <w:sz w:val="24"/>
          <w:szCs w:val="24"/>
          <w:lang w:val="en-US"/>
        </w:rPr>
        <w:t>Appendix A: Questionnaire</w:t>
      </w:r>
      <w:bookmarkEnd w:id="13"/>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Q1. What is your gender?</w:t>
      </w:r>
    </w:p>
    <w:p w:rsidR="004B465A" w:rsidRPr="004B465A" w:rsidRDefault="004B465A" w:rsidP="004B465A">
      <w:pPr>
        <w:numPr>
          <w:ilvl w:val="0"/>
          <w:numId w:val="2"/>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Male </w:t>
      </w:r>
    </w:p>
    <w:p w:rsidR="004B465A" w:rsidRPr="004B465A" w:rsidRDefault="004B465A" w:rsidP="004B465A">
      <w:pPr>
        <w:numPr>
          <w:ilvl w:val="0"/>
          <w:numId w:val="2"/>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Female </w:t>
      </w:r>
    </w:p>
    <w:p w:rsidR="004B465A" w:rsidRPr="004B465A" w:rsidRDefault="004B465A" w:rsidP="004B465A">
      <w:pPr>
        <w:numPr>
          <w:ilvl w:val="0"/>
          <w:numId w:val="2"/>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Other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Q2. What is your age?</w:t>
      </w:r>
    </w:p>
    <w:p w:rsidR="004B465A" w:rsidRPr="004B465A" w:rsidRDefault="004B465A" w:rsidP="004B465A">
      <w:pPr>
        <w:numPr>
          <w:ilvl w:val="0"/>
          <w:numId w:val="3"/>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Below 18 years</w:t>
      </w:r>
    </w:p>
    <w:p w:rsidR="004B465A" w:rsidRPr="004B465A" w:rsidRDefault="004B465A" w:rsidP="004B465A">
      <w:pPr>
        <w:numPr>
          <w:ilvl w:val="0"/>
          <w:numId w:val="3"/>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18-24 years</w:t>
      </w:r>
    </w:p>
    <w:p w:rsidR="004B465A" w:rsidRPr="004B465A" w:rsidRDefault="004B465A" w:rsidP="004B465A">
      <w:pPr>
        <w:numPr>
          <w:ilvl w:val="0"/>
          <w:numId w:val="3"/>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Above 24 years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Q3. How many years do you have experience in the virtual learning environment?</w:t>
      </w:r>
    </w:p>
    <w:p w:rsidR="004B465A" w:rsidRPr="004B465A" w:rsidRDefault="004B465A" w:rsidP="004B465A">
      <w:pPr>
        <w:numPr>
          <w:ilvl w:val="0"/>
          <w:numId w:val="4"/>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Below 1 year</w:t>
      </w:r>
    </w:p>
    <w:p w:rsidR="004B465A" w:rsidRPr="004B465A" w:rsidRDefault="004B465A" w:rsidP="004B465A">
      <w:pPr>
        <w:numPr>
          <w:ilvl w:val="0"/>
          <w:numId w:val="4"/>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1-3 years </w:t>
      </w:r>
    </w:p>
    <w:p w:rsidR="004B465A" w:rsidRPr="004B465A" w:rsidRDefault="004B465A" w:rsidP="004B465A">
      <w:pPr>
        <w:numPr>
          <w:ilvl w:val="0"/>
          <w:numId w:val="4"/>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Above 3 years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Q4. Do you agree that the utilization of virtual learning environment is helpful in educational sector?</w:t>
      </w:r>
    </w:p>
    <w:p w:rsidR="004B465A" w:rsidRPr="004B465A" w:rsidRDefault="004B465A" w:rsidP="004B465A">
      <w:pPr>
        <w:numPr>
          <w:ilvl w:val="0"/>
          <w:numId w:val="5"/>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Strongly agree</w:t>
      </w:r>
    </w:p>
    <w:p w:rsidR="004B465A" w:rsidRPr="004B465A" w:rsidRDefault="004B465A" w:rsidP="004B465A">
      <w:pPr>
        <w:numPr>
          <w:ilvl w:val="0"/>
          <w:numId w:val="5"/>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Agree</w:t>
      </w:r>
    </w:p>
    <w:p w:rsidR="004B465A" w:rsidRPr="004B465A" w:rsidRDefault="004B465A" w:rsidP="004B465A">
      <w:pPr>
        <w:numPr>
          <w:ilvl w:val="0"/>
          <w:numId w:val="5"/>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Neutral</w:t>
      </w:r>
    </w:p>
    <w:p w:rsidR="004B465A" w:rsidRPr="004B465A" w:rsidRDefault="004B465A" w:rsidP="004B465A">
      <w:pPr>
        <w:numPr>
          <w:ilvl w:val="0"/>
          <w:numId w:val="5"/>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Disagree </w:t>
      </w:r>
    </w:p>
    <w:p w:rsidR="004B465A" w:rsidRPr="004B465A" w:rsidRDefault="004B465A" w:rsidP="004B465A">
      <w:pPr>
        <w:numPr>
          <w:ilvl w:val="0"/>
          <w:numId w:val="5"/>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Strongly disagree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Q5. Do you agree that virtual learning environment c</w:t>
      </w:r>
      <w:r w:rsidRPr="004B465A">
        <w:rPr>
          <w:rFonts w:ascii="Cambria" w:eastAsia="Arial Unicode MS" w:hAnsi="Cambria" w:cs="Arial Unicode MS"/>
          <w:sz w:val="24"/>
          <w:szCs w:val="24"/>
          <w:lang w:val="en-US"/>
        </w:rPr>
        <w:t>an be accessed by both on and off-campus</w:t>
      </w:r>
      <w:r w:rsidRPr="004B465A">
        <w:rPr>
          <w:rFonts w:ascii="Cambria" w:eastAsia="Calibri" w:hAnsi="Cambria" w:cs="Times New Roman"/>
          <w:sz w:val="24"/>
          <w:szCs w:val="24"/>
          <w:lang w:val="en-US"/>
        </w:rPr>
        <w:t>?</w:t>
      </w:r>
    </w:p>
    <w:p w:rsidR="004B465A" w:rsidRPr="004B465A" w:rsidRDefault="004B465A" w:rsidP="004B465A">
      <w:pPr>
        <w:numPr>
          <w:ilvl w:val="0"/>
          <w:numId w:val="6"/>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Strongly agree</w:t>
      </w:r>
    </w:p>
    <w:p w:rsidR="004B465A" w:rsidRPr="004B465A" w:rsidRDefault="004B465A" w:rsidP="004B465A">
      <w:pPr>
        <w:numPr>
          <w:ilvl w:val="0"/>
          <w:numId w:val="6"/>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Agree</w:t>
      </w:r>
    </w:p>
    <w:p w:rsidR="004B465A" w:rsidRPr="004B465A" w:rsidRDefault="004B465A" w:rsidP="004B465A">
      <w:pPr>
        <w:numPr>
          <w:ilvl w:val="0"/>
          <w:numId w:val="6"/>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Neutral</w:t>
      </w:r>
    </w:p>
    <w:p w:rsidR="004B465A" w:rsidRPr="004B465A" w:rsidRDefault="004B465A" w:rsidP="004B465A">
      <w:pPr>
        <w:numPr>
          <w:ilvl w:val="0"/>
          <w:numId w:val="6"/>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Disagree </w:t>
      </w:r>
    </w:p>
    <w:p w:rsidR="004B465A" w:rsidRPr="004B465A" w:rsidRDefault="004B465A" w:rsidP="004B465A">
      <w:pPr>
        <w:numPr>
          <w:ilvl w:val="0"/>
          <w:numId w:val="6"/>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Strongly disagree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Q6. Do you agree that VLE technology can be accessed from any location?</w:t>
      </w:r>
    </w:p>
    <w:p w:rsidR="004B465A" w:rsidRPr="004B465A" w:rsidRDefault="004B465A" w:rsidP="004B465A">
      <w:pPr>
        <w:numPr>
          <w:ilvl w:val="0"/>
          <w:numId w:val="7"/>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lastRenderedPageBreak/>
        <w:t>Strongly agree</w:t>
      </w:r>
    </w:p>
    <w:p w:rsidR="004B465A" w:rsidRPr="004B465A" w:rsidRDefault="004B465A" w:rsidP="004B465A">
      <w:pPr>
        <w:numPr>
          <w:ilvl w:val="0"/>
          <w:numId w:val="7"/>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Agree</w:t>
      </w:r>
    </w:p>
    <w:p w:rsidR="004B465A" w:rsidRPr="004B465A" w:rsidRDefault="004B465A" w:rsidP="004B465A">
      <w:pPr>
        <w:numPr>
          <w:ilvl w:val="0"/>
          <w:numId w:val="7"/>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Neutral</w:t>
      </w:r>
    </w:p>
    <w:p w:rsidR="004B465A" w:rsidRPr="004B465A" w:rsidRDefault="004B465A" w:rsidP="004B465A">
      <w:pPr>
        <w:numPr>
          <w:ilvl w:val="0"/>
          <w:numId w:val="7"/>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Disagree </w:t>
      </w:r>
    </w:p>
    <w:p w:rsidR="004B465A" w:rsidRPr="004B465A" w:rsidRDefault="004B465A" w:rsidP="004B465A">
      <w:pPr>
        <w:numPr>
          <w:ilvl w:val="0"/>
          <w:numId w:val="7"/>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Strongly disagree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Q7. What are the ways through which VLE provides academic modules to the students?</w:t>
      </w:r>
    </w:p>
    <w:p w:rsidR="004B465A" w:rsidRPr="004B465A" w:rsidRDefault="004B465A" w:rsidP="004B465A">
      <w:pPr>
        <w:numPr>
          <w:ilvl w:val="0"/>
          <w:numId w:val="8"/>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Lecture notes </w:t>
      </w:r>
    </w:p>
    <w:p w:rsidR="004B465A" w:rsidRPr="004B465A" w:rsidRDefault="004B465A" w:rsidP="004B465A">
      <w:pPr>
        <w:numPr>
          <w:ilvl w:val="0"/>
          <w:numId w:val="8"/>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Online sources </w:t>
      </w:r>
    </w:p>
    <w:p w:rsidR="004B465A" w:rsidRPr="004B465A" w:rsidRDefault="004B465A" w:rsidP="004B465A">
      <w:pPr>
        <w:numPr>
          <w:ilvl w:val="0"/>
          <w:numId w:val="8"/>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Links to the external websites</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Q.8 do you agree that VLE has negative impact on the knowledge of the students?</w:t>
      </w:r>
    </w:p>
    <w:p w:rsidR="004B465A" w:rsidRPr="004B465A" w:rsidRDefault="004B465A" w:rsidP="004B465A">
      <w:pPr>
        <w:numPr>
          <w:ilvl w:val="0"/>
          <w:numId w:val="9"/>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Strongly agree</w:t>
      </w:r>
    </w:p>
    <w:p w:rsidR="004B465A" w:rsidRPr="004B465A" w:rsidRDefault="004B465A" w:rsidP="004B465A">
      <w:pPr>
        <w:numPr>
          <w:ilvl w:val="0"/>
          <w:numId w:val="9"/>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Agree</w:t>
      </w:r>
    </w:p>
    <w:p w:rsidR="004B465A" w:rsidRPr="004B465A" w:rsidRDefault="004B465A" w:rsidP="004B465A">
      <w:pPr>
        <w:numPr>
          <w:ilvl w:val="0"/>
          <w:numId w:val="9"/>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Neutral</w:t>
      </w:r>
    </w:p>
    <w:p w:rsidR="004B465A" w:rsidRPr="004B465A" w:rsidRDefault="004B465A" w:rsidP="004B465A">
      <w:pPr>
        <w:numPr>
          <w:ilvl w:val="0"/>
          <w:numId w:val="9"/>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Disagree </w:t>
      </w:r>
    </w:p>
    <w:p w:rsidR="004B465A" w:rsidRPr="004B465A" w:rsidRDefault="004B465A" w:rsidP="004B465A">
      <w:pPr>
        <w:numPr>
          <w:ilvl w:val="0"/>
          <w:numId w:val="9"/>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Strongly disagree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Q9. Do you believe that VLE can </w:t>
      </w:r>
      <w:r w:rsidR="000704D4" w:rsidRPr="004B465A">
        <w:rPr>
          <w:rFonts w:ascii="Cambria" w:eastAsia="Calibri" w:hAnsi="Cambria" w:cs="Times New Roman"/>
          <w:sz w:val="24"/>
          <w:szCs w:val="24"/>
          <w:lang w:val="en-US"/>
        </w:rPr>
        <w:t>overtake</w:t>
      </w:r>
      <w:r w:rsidRPr="004B465A">
        <w:rPr>
          <w:rFonts w:ascii="Cambria" w:eastAsia="Calibri" w:hAnsi="Cambria" w:cs="Times New Roman"/>
          <w:sz w:val="24"/>
          <w:szCs w:val="24"/>
          <w:lang w:val="en-US"/>
        </w:rPr>
        <w:t xml:space="preserve"> the rational process of learning in university?</w:t>
      </w:r>
    </w:p>
    <w:p w:rsidR="004B465A" w:rsidRPr="004B465A" w:rsidRDefault="004B465A" w:rsidP="004B465A">
      <w:pPr>
        <w:numPr>
          <w:ilvl w:val="0"/>
          <w:numId w:val="10"/>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Strongly agree</w:t>
      </w:r>
    </w:p>
    <w:p w:rsidR="004B465A" w:rsidRPr="004B465A" w:rsidRDefault="004B465A" w:rsidP="004B465A">
      <w:pPr>
        <w:numPr>
          <w:ilvl w:val="0"/>
          <w:numId w:val="10"/>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Agree</w:t>
      </w:r>
    </w:p>
    <w:p w:rsidR="004B465A" w:rsidRPr="004B465A" w:rsidRDefault="004B465A" w:rsidP="004B465A">
      <w:pPr>
        <w:numPr>
          <w:ilvl w:val="0"/>
          <w:numId w:val="10"/>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Neutral</w:t>
      </w:r>
    </w:p>
    <w:p w:rsidR="004B465A" w:rsidRPr="004B465A" w:rsidRDefault="004B465A" w:rsidP="004B465A">
      <w:pPr>
        <w:numPr>
          <w:ilvl w:val="0"/>
          <w:numId w:val="10"/>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Disagree </w:t>
      </w:r>
    </w:p>
    <w:p w:rsidR="004B465A" w:rsidRPr="004B465A" w:rsidRDefault="004B465A" w:rsidP="004B465A">
      <w:pPr>
        <w:numPr>
          <w:ilvl w:val="0"/>
          <w:numId w:val="10"/>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Strongly disagree </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Q10. Do you believe that virtual learning environment can enhance student’s learning experience?</w:t>
      </w:r>
    </w:p>
    <w:p w:rsidR="004B465A" w:rsidRPr="004B465A" w:rsidRDefault="004B465A" w:rsidP="004B465A">
      <w:pPr>
        <w:numPr>
          <w:ilvl w:val="0"/>
          <w:numId w:val="11"/>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Strongly agree</w:t>
      </w:r>
    </w:p>
    <w:p w:rsidR="004B465A" w:rsidRPr="004B465A" w:rsidRDefault="004B465A" w:rsidP="004B465A">
      <w:pPr>
        <w:numPr>
          <w:ilvl w:val="0"/>
          <w:numId w:val="11"/>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Agree</w:t>
      </w:r>
    </w:p>
    <w:p w:rsidR="004B465A" w:rsidRPr="004B465A" w:rsidRDefault="004B465A" w:rsidP="004B465A">
      <w:pPr>
        <w:numPr>
          <w:ilvl w:val="0"/>
          <w:numId w:val="11"/>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Neutral</w:t>
      </w:r>
    </w:p>
    <w:p w:rsidR="004B465A" w:rsidRPr="004B465A" w:rsidRDefault="004B465A" w:rsidP="004B465A">
      <w:pPr>
        <w:numPr>
          <w:ilvl w:val="0"/>
          <w:numId w:val="11"/>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Disagree </w:t>
      </w:r>
    </w:p>
    <w:p w:rsidR="004B465A" w:rsidRPr="004B465A" w:rsidRDefault="004B465A" w:rsidP="004B465A">
      <w:pPr>
        <w:numPr>
          <w:ilvl w:val="0"/>
          <w:numId w:val="11"/>
        </w:numPr>
        <w:spacing w:after="200" w:line="360" w:lineRule="auto"/>
        <w:contextualSpacing/>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Strongly disagree </w:t>
      </w:r>
    </w:p>
    <w:p w:rsidR="004B465A" w:rsidRPr="004B465A" w:rsidRDefault="004B465A" w:rsidP="004B465A">
      <w:pPr>
        <w:keepNext/>
        <w:keepLines/>
        <w:spacing w:before="200" w:after="0" w:line="276" w:lineRule="auto"/>
        <w:outlineLvl w:val="1"/>
        <w:rPr>
          <w:rFonts w:ascii="Cambria" w:eastAsia="Times New Roman" w:hAnsi="Cambria" w:cs="Times New Roman"/>
          <w:b/>
          <w:bCs/>
          <w:sz w:val="24"/>
          <w:szCs w:val="24"/>
          <w:lang w:val="en-US"/>
        </w:rPr>
      </w:pPr>
      <w:bookmarkStart w:id="14" w:name="_Toc28960153"/>
      <w:r w:rsidRPr="004B465A">
        <w:rPr>
          <w:rFonts w:ascii="Cambria" w:eastAsia="Times New Roman" w:hAnsi="Cambria" w:cs="Times New Roman"/>
          <w:b/>
          <w:bCs/>
          <w:sz w:val="24"/>
          <w:szCs w:val="24"/>
          <w:lang w:val="en-US"/>
        </w:rPr>
        <w:t>Appendix B: primary data analysis</w:t>
      </w:r>
      <w:bookmarkEnd w:id="14"/>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Q1. Gender </w:t>
      </w:r>
    </w:p>
    <w:tbl>
      <w:tblPr>
        <w:tblStyle w:val="TableGrid"/>
        <w:tblW w:w="7507" w:type="dxa"/>
        <w:tblInd w:w="0" w:type="dxa"/>
        <w:tblLook w:val="04A0" w:firstRow="1" w:lastRow="0" w:firstColumn="1" w:lastColumn="0" w:noHBand="0" w:noVBand="1"/>
      </w:tblPr>
      <w:tblGrid>
        <w:gridCol w:w="2268"/>
        <w:gridCol w:w="5239"/>
      </w:tblGrid>
      <w:tr w:rsidR="004B465A" w:rsidRPr="004B465A" w:rsidTr="004B465A">
        <w:tc>
          <w:tcPr>
            <w:tcW w:w="226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lastRenderedPageBreak/>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male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47.37%</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9</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female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42.11%</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8</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other</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10.53%</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19</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Q2. Age</w:t>
      </w:r>
    </w:p>
    <w:p w:rsidR="004B465A" w:rsidRPr="004B465A" w:rsidRDefault="004B465A" w:rsidP="004B465A">
      <w:pPr>
        <w:spacing w:after="200" w:line="360" w:lineRule="auto"/>
        <w:jc w:val="both"/>
        <w:rPr>
          <w:rFonts w:ascii="Cambria" w:eastAsia="Calibri" w:hAnsi="Cambria" w:cs="Times New Roman"/>
          <w:sz w:val="24"/>
          <w:szCs w:val="24"/>
          <w:lang w:val="en-US"/>
        </w:rPr>
      </w:pPr>
    </w:p>
    <w:tbl>
      <w:tblPr>
        <w:tblStyle w:val="TableGrid"/>
        <w:tblW w:w="7597" w:type="dxa"/>
        <w:tblInd w:w="0" w:type="dxa"/>
        <w:tblLook w:val="04A0" w:firstRow="1" w:lastRow="0" w:firstColumn="1" w:lastColumn="0" w:noHBand="0" w:noVBand="1"/>
      </w:tblPr>
      <w:tblGrid>
        <w:gridCol w:w="2358"/>
        <w:gridCol w:w="5239"/>
      </w:tblGrid>
      <w:tr w:rsidR="004B465A" w:rsidRPr="004B465A" w:rsidTr="004B465A">
        <w:tc>
          <w:tcPr>
            <w:tcW w:w="235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35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Under 18</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27.78%</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w:t>
            </w:r>
          </w:p>
        </w:tc>
      </w:tr>
      <w:tr w:rsidR="004B465A" w:rsidRPr="004B465A" w:rsidTr="004B465A">
        <w:tc>
          <w:tcPr>
            <w:tcW w:w="235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18-24</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44.44%</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8</w:t>
            </w:r>
          </w:p>
        </w:tc>
      </w:tr>
      <w:tr w:rsidR="004B465A" w:rsidRPr="004B465A" w:rsidTr="004B465A">
        <w:tc>
          <w:tcPr>
            <w:tcW w:w="235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Above 24</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27.78%</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w:t>
            </w:r>
          </w:p>
        </w:tc>
      </w:tr>
      <w:tr w:rsidR="004B465A" w:rsidRPr="004B465A" w:rsidTr="004B465A">
        <w:tc>
          <w:tcPr>
            <w:tcW w:w="235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18</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Q3. Experience </w:t>
      </w:r>
    </w:p>
    <w:p w:rsidR="004B465A" w:rsidRPr="004B465A" w:rsidRDefault="004B465A" w:rsidP="004B465A">
      <w:pPr>
        <w:spacing w:after="200" w:line="360" w:lineRule="auto"/>
        <w:jc w:val="both"/>
        <w:rPr>
          <w:rFonts w:ascii="Cambria" w:eastAsia="Calibri" w:hAnsi="Cambria" w:cs="Times New Roman"/>
          <w:sz w:val="24"/>
          <w:szCs w:val="24"/>
          <w:lang w:val="en-US"/>
        </w:rPr>
      </w:pPr>
    </w:p>
    <w:tbl>
      <w:tblPr>
        <w:tblStyle w:val="TableGrid"/>
        <w:tblW w:w="7507" w:type="dxa"/>
        <w:tblInd w:w="0" w:type="dxa"/>
        <w:tblLook w:val="04A0" w:firstRow="1" w:lastRow="0" w:firstColumn="1" w:lastColumn="0" w:noHBand="0" w:noVBand="1"/>
      </w:tblPr>
      <w:tblGrid>
        <w:gridCol w:w="2268"/>
        <w:gridCol w:w="5239"/>
      </w:tblGrid>
      <w:tr w:rsidR="004B465A" w:rsidRPr="004B465A" w:rsidTr="004B465A">
        <w:tc>
          <w:tcPr>
            <w:tcW w:w="226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below 1 year</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25.00%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1-3 years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43.75%</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7</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above 3 years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31.25%</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5</w:t>
            </w:r>
          </w:p>
        </w:tc>
      </w:tr>
      <w:tr w:rsidR="004B465A" w:rsidRPr="004B465A" w:rsidTr="004B465A">
        <w:tc>
          <w:tcPr>
            <w:tcW w:w="226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16</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Q4. Utilization of VLE</w:t>
      </w:r>
    </w:p>
    <w:p w:rsidR="004B465A" w:rsidRPr="004B465A" w:rsidRDefault="004B465A" w:rsidP="004B465A">
      <w:pPr>
        <w:spacing w:after="200" w:line="360" w:lineRule="auto"/>
        <w:jc w:val="both"/>
        <w:rPr>
          <w:rFonts w:ascii="Cambria" w:eastAsia="Calibri" w:hAnsi="Cambria" w:cs="Times New Roman"/>
          <w:sz w:val="24"/>
          <w:szCs w:val="24"/>
          <w:lang w:val="en-US"/>
        </w:rPr>
      </w:pPr>
    </w:p>
    <w:tbl>
      <w:tblPr>
        <w:tblStyle w:val="TableGrid"/>
        <w:tblW w:w="7299" w:type="dxa"/>
        <w:tblInd w:w="0" w:type="dxa"/>
        <w:tblLook w:val="04A0" w:firstRow="1" w:lastRow="0" w:firstColumn="1" w:lastColumn="0" w:noHBand="0" w:noVBand="1"/>
      </w:tblPr>
      <w:tblGrid>
        <w:gridCol w:w="2628"/>
        <w:gridCol w:w="4671"/>
      </w:tblGrid>
      <w:tr w:rsidR="004B465A" w:rsidRPr="004B465A" w:rsidTr="004B465A">
        <w:tc>
          <w:tcPr>
            <w:tcW w:w="262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62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41.18%</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7</w:t>
            </w:r>
          </w:p>
        </w:tc>
      </w:tr>
      <w:tr w:rsidR="004B465A" w:rsidRPr="004B465A" w:rsidTr="004B465A">
        <w:tc>
          <w:tcPr>
            <w:tcW w:w="262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41.18%</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7</w:t>
            </w:r>
          </w:p>
        </w:tc>
      </w:tr>
      <w:tr w:rsidR="004B465A" w:rsidRPr="004B465A" w:rsidTr="004B465A">
        <w:tc>
          <w:tcPr>
            <w:tcW w:w="262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Neither agree nor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w:t>
            </w:r>
          </w:p>
        </w:tc>
      </w:tr>
      <w:tr w:rsidR="004B465A" w:rsidRPr="004B465A" w:rsidTr="004B465A">
        <w:tc>
          <w:tcPr>
            <w:tcW w:w="262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11.76%</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262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5.88%</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w:t>
            </w:r>
          </w:p>
        </w:tc>
      </w:tr>
      <w:tr w:rsidR="004B465A" w:rsidRPr="004B465A" w:rsidTr="004B465A">
        <w:tc>
          <w:tcPr>
            <w:tcW w:w="262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17</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Q5. Accessibility of VLE</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 </w:t>
      </w:r>
    </w:p>
    <w:p w:rsidR="004B465A" w:rsidRPr="004B465A" w:rsidRDefault="004B465A" w:rsidP="004B465A">
      <w:pPr>
        <w:spacing w:after="200" w:line="360" w:lineRule="auto"/>
        <w:jc w:val="both"/>
        <w:rPr>
          <w:rFonts w:ascii="Cambria" w:eastAsia="Calibri" w:hAnsi="Cambria" w:cs="Times New Roman"/>
          <w:sz w:val="24"/>
          <w:szCs w:val="24"/>
          <w:lang w:val="en-US"/>
        </w:rPr>
      </w:pPr>
    </w:p>
    <w:tbl>
      <w:tblPr>
        <w:tblStyle w:val="TableGrid"/>
        <w:tblW w:w="7569" w:type="dxa"/>
        <w:tblInd w:w="0" w:type="dxa"/>
        <w:tblLook w:val="04A0" w:firstRow="1" w:lastRow="0" w:firstColumn="1" w:lastColumn="0" w:noHBand="0" w:noVBand="1"/>
      </w:tblPr>
      <w:tblGrid>
        <w:gridCol w:w="2898"/>
        <w:gridCol w:w="4671"/>
      </w:tblGrid>
      <w:tr w:rsidR="004B465A" w:rsidRPr="004B465A" w:rsidTr="004B465A">
        <w:tc>
          <w:tcPr>
            <w:tcW w:w="289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23.53%</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17.65%</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3</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Neither agree nor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29.41%</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17.65%</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3</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11.76%</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17</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Q6. VLE accessed from any location </w:t>
      </w:r>
    </w:p>
    <w:tbl>
      <w:tblPr>
        <w:tblStyle w:val="TableGrid"/>
        <w:tblW w:w="7858" w:type="dxa"/>
        <w:tblInd w:w="0" w:type="dxa"/>
        <w:tblLook w:val="04A0" w:firstRow="1" w:lastRow="0" w:firstColumn="1" w:lastColumn="0" w:noHBand="0" w:noVBand="1"/>
      </w:tblPr>
      <w:tblGrid>
        <w:gridCol w:w="3078"/>
        <w:gridCol w:w="4780"/>
      </w:tblGrid>
      <w:tr w:rsidR="004B465A" w:rsidRPr="004B465A" w:rsidTr="004B465A">
        <w:tc>
          <w:tcPr>
            <w:tcW w:w="307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307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26.32%</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w:t>
            </w:r>
          </w:p>
        </w:tc>
      </w:tr>
      <w:tr w:rsidR="004B465A" w:rsidRPr="004B465A" w:rsidTr="004B465A">
        <w:tc>
          <w:tcPr>
            <w:tcW w:w="307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47.37%</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9</w:t>
            </w:r>
          </w:p>
        </w:tc>
      </w:tr>
      <w:tr w:rsidR="004B465A" w:rsidRPr="004B465A" w:rsidTr="004B465A">
        <w:tc>
          <w:tcPr>
            <w:tcW w:w="307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Neither agree nor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5.26%</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w:t>
            </w:r>
          </w:p>
        </w:tc>
      </w:tr>
      <w:tr w:rsidR="004B465A" w:rsidRPr="004B465A" w:rsidTr="004B465A">
        <w:tc>
          <w:tcPr>
            <w:tcW w:w="307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21.05%</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w:t>
            </w:r>
          </w:p>
        </w:tc>
      </w:tr>
      <w:tr w:rsidR="004B465A" w:rsidRPr="004B465A" w:rsidTr="004B465A">
        <w:tc>
          <w:tcPr>
            <w:tcW w:w="307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w:t>
            </w:r>
          </w:p>
        </w:tc>
      </w:tr>
      <w:tr w:rsidR="004B465A" w:rsidRPr="004B465A" w:rsidTr="004B465A">
        <w:tc>
          <w:tcPr>
            <w:tcW w:w="307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19</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Q7. Methods for VLE </w:t>
      </w:r>
    </w:p>
    <w:p w:rsidR="004B465A" w:rsidRPr="004B465A" w:rsidRDefault="004B465A" w:rsidP="004B465A">
      <w:pPr>
        <w:spacing w:after="200" w:line="360" w:lineRule="auto"/>
        <w:jc w:val="both"/>
        <w:rPr>
          <w:rFonts w:ascii="Cambria" w:eastAsia="Calibri" w:hAnsi="Cambria" w:cs="Times New Roman"/>
          <w:sz w:val="24"/>
          <w:szCs w:val="24"/>
          <w:lang w:val="en-US"/>
        </w:rPr>
      </w:pPr>
    </w:p>
    <w:tbl>
      <w:tblPr>
        <w:tblStyle w:val="TableGrid"/>
        <w:tblW w:w="7801" w:type="dxa"/>
        <w:tblInd w:w="0" w:type="dxa"/>
        <w:tblLook w:val="04A0" w:firstRow="1" w:lastRow="0" w:firstColumn="1" w:lastColumn="0" w:noHBand="0" w:noVBand="1"/>
      </w:tblPr>
      <w:tblGrid>
        <w:gridCol w:w="3348"/>
        <w:gridCol w:w="4453"/>
      </w:tblGrid>
      <w:tr w:rsidR="004B465A" w:rsidRPr="004B465A" w:rsidTr="004B465A">
        <w:tc>
          <w:tcPr>
            <w:tcW w:w="334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334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Lecture notes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30.00%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6</w:t>
            </w:r>
          </w:p>
        </w:tc>
      </w:tr>
      <w:tr w:rsidR="004B465A" w:rsidRPr="004B465A" w:rsidTr="004B465A">
        <w:tc>
          <w:tcPr>
            <w:tcW w:w="334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Modules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30.00%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6</w:t>
            </w:r>
          </w:p>
        </w:tc>
      </w:tr>
      <w:tr w:rsidR="004B465A" w:rsidRPr="004B465A" w:rsidTr="004B465A">
        <w:tc>
          <w:tcPr>
            <w:tcW w:w="334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Online sources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20.00%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4</w:t>
            </w:r>
          </w:p>
        </w:tc>
      </w:tr>
      <w:tr w:rsidR="004B465A" w:rsidRPr="004B465A" w:rsidTr="004B465A">
        <w:tc>
          <w:tcPr>
            <w:tcW w:w="334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Links to the external websites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334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Others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334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20</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Q8. Negative impact</w:t>
      </w:r>
    </w:p>
    <w:p w:rsidR="004B465A" w:rsidRPr="004B465A" w:rsidRDefault="004B465A" w:rsidP="004B465A">
      <w:pPr>
        <w:spacing w:after="200" w:line="360" w:lineRule="auto"/>
        <w:jc w:val="both"/>
        <w:rPr>
          <w:rFonts w:ascii="Cambria" w:eastAsia="Calibri" w:hAnsi="Cambria" w:cs="Times New Roman"/>
          <w:sz w:val="24"/>
          <w:szCs w:val="24"/>
          <w:lang w:val="en-US"/>
        </w:rPr>
      </w:pPr>
    </w:p>
    <w:tbl>
      <w:tblPr>
        <w:tblStyle w:val="TableGrid"/>
        <w:tblW w:w="7569" w:type="dxa"/>
        <w:tblInd w:w="0" w:type="dxa"/>
        <w:tblLook w:val="04A0" w:firstRow="1" w:lastRow="0" w:firstColumn="1" w:lastColumn="0" w:noHBand="0" w:noVBand="1"/>
      </w:tblPr>
      <w:tblGrid>
        <w:gridCol w:w="2898"/>
        <w:gridCol w:w="4671"/>
      </w:tblGrid>
      <w:tr w:rsidR="004B465A" w:rsidRPr="004B465A" w:rsidTr="004B465A">
        <w:tc>
          <w:tcPr>
            <w:tcW w:w="289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16.67%</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3</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55.56%</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10</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Neither agree nor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16.67%</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3</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11.11%</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18</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Q9. Rational process </w:t>
      </w:r>
    </w:p>
    <w:tbl>
      <w:tblPr>
        <w:tblStyle w:val="TableGrid"/>
        <w:tblW w:w="7389" w:type="dxa"/>
        <w:tblInd w:w="0" w:type="dxa"/>
        <w:tblLook w:val="04A0" w:firstRow="1" w:lastRow="0" w:firstColumn="1" w:lastColumn="0" w:noHBand="0" w:noVBand="1"/>
      </w:tblPr>
      <w:tblGrid>
        <w:gridCol w:w="2718"/>
        <w:gridCol w:w="4671"/>
      </w:tblGrid>
      <w:tr w:rsidR="004B465A" w:rsidRPr="004B465A" w:rsidTr="004B465A">
        <w:tc>
          <w:tcPr>
            <w:tcW w:w="271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71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21.05%</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w:t>
            </w:r>
          </w:p>
        </w:tc>
      </w:tr>
      <w:tr w:rsidR="004B465A" w:rsidRPr="004B465A" w:rsidTr="004B465A">
        <w:tc>
          <w:tcPr>
            <w:tcW w:w="271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57.89%</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11</w:t>
            </w:r>
          </w:p>
        </w:tc>
      </w:tr>
      <w:tr w:rsidR="004B465A" w:rsidRPr="004B465A" w:rsidTr="004B465A">
        <w:tc>
          <w:tcPr>
            <w:tcW w:w="271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Neither agree nor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10.53%</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lastRenderedPageBreak/>
              <w:t>2</w:t>
            </w:r>
          </w:p>
        </w:tc>
      </w:tr>
      <w:tr w:rsidR="004B465A" w:rsidRPr="004B465A" w:rsidTr="004B465A">
        <w:tc>
          <w:tcPr>
            <w:tcW w:w="271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10.53%</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w:t>
            </w:r>
          </w:p>
        </w:tc>
      </w:tr>
      <w:tr w:rsidR="004B465A" w:rsidRPr="004B465A" w:rsidTr="004B465A">
        <w:tc>
          <w:tcPr>
            <w:tcW w:w="271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w:t>
            </w:r>
          </w:p>
        </w:tc>
      </w:tr>
      <w:tr w:rsidR="004B465A" w:rsidRPr="004B465A" w:rsidTr="004B465A">
        <w:tc>
          <w:tcPr>
            <w:tcW w:w="271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19</w:t>
            </w:r>
          </w:p>
        </w:tc>
      </w:tr>
    </w:tbl>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b/>
          <w:sz w:val="24"/>
          <w:szCs w:val="24"/>
          <w:lang w:val="en-US"/>
        </w:rPr>
      </w:pPr>
      <w:r w:rsidRPr="004B465A">
        <w:rPr>
          <w:rFonts w:ascii="Cambria" w:eastAsia="Calibri" w:hAnsi="Cambria" w:cs="Times New Roman"/>
          <w:b/>
          <w:sz w:val="24"/>
          <w:szCs w:val="24"/>
          <w:lang w:val="en-US"/>
        </w:rPr>
        <w:t xml:space="preserve">10. Impact of VLE </w:t>
      </w:r>
    </w:p>
    <w:tbl>
      <w:tblPr>
        <w:tblStyle w:val="TableGrid"/>
        <w:tblW w:w="7569" w:type="dxa"/>
        <w:tblInd w:w="0" w:type="dxa"/>
        <w:tblLook w:val="04A0" w:firstRow="1" w:lastRow="0" w:firstColumn="1" w:lastColumn="0" w:noHBand="0" w:noVBand="1"/>
      </w:tblPr>
      <w:tblGrid>
        <w:gridCol w:w="2898"/>
        <w:gridCol w:w="4671"/>
      </w:tblGrid>
      <w:tr w:rsidR="004B465A" w:rsidRPr="004B465A" w:rsidTr="004B465A">
        <w:tc>
          <w:tcPr>
            <w:tcW w:w="289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ANSWER CHOICES</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b/>
                <w:bCs/>
                <w:sz w:val="24"/>
                <w:szCs w:val="24"/>
              </w:rPr>
            </w:pPr>
            <w:r w:rsidRPr="004B465A">
              <w:rPr>
                <w:rFonts w:ascii="Cambria" w:eastAsia="Times New Roman" w:hAnsi="Cambria"/>
                <w:b/>
                <w:bCs/>
                <w:sz w:val="24"/>
                <w:szCs w:val="24"/>
              </w:rPr>
              <w:t>RESPONSES</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25.00%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55.00%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11</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Neither agree nor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4</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tcPr>
          <w:p w:rsidR="004B465A" w:rsidRPr="004B465A" w:rsidRDefault="004B465A" w:rsidP="004B465A">
            <w:pPr>
              <w:spacing w:line="360" w:lineRule="auto"/>
              <w:jc w:val="both"/>
              <w:rPr>
                <w:rFonts w:ascii="Cambria" w:eastAsia="Times New Roman" w:hAnsi="Cambria"/>
                <w:sz w:val="24"/>
                <w:szCs w:val="24"/>
              </w:rPr>
            </w:pP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Strongly disagree</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0.00%</w:t>
            </w:r>
          </w:p>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0</w:t>
            </w:r>
          </w:p>
        </w:tc>
      </w:tr>
      <w:tr w:rsidR="004B465A" w:rsidRPr="004B465A" w:rsidTr="004B465A">
        <w:tc>
          <w:tcPr>
            <w:tcW w:w="2898" w:type="dxa"/>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TOTAL</w:t>
            </w:r>
          </w:p>
        </w:tc>
        <w:tc>
          <w:tcPr>
            <w:tcW w:w="0" w:type="auto"/>
            <w:tcBorders>
              <w:top w:val="single" w:sz="4" w:space="0" w:color="auto"/>
              <w:left w:val="single" w:sz="4" w:space="0" w:color="auto"/>
              <w:bottom w:val="single" w:sz="4" w:space="0" w:color="auto"/>
              <w:right w:val="single" w:sz="4" w:space="0" w:color="auto"/>
            </w:tcBorders>
            <w:hideMark/>
          </w:tcPr>
          <w:p w:rsidR="004B465A" w:rsidRPr="004B465A" w:rsidRDefault="004B465A" w:rsidP="004B465A">
            <w:pPr>
              <w:spacing w:line="360" w:lineRule="auto"/>
              <w:jc w:val="both"/>
              <w:rPr>
                <w:rFonts w:ascii="Cambria" w:eastAsia="Times New Roman" w:hAnsi="Cambria"/>
                <w:sz w:val="24"/>
                <w:szCs w:val="24"/>
              </w:rPr>
            </w:pPr>
            <w:r w:rsidRPr="004B465A">
              <w:rPr>
                <w:rFonts w:ascii="Cambria" w:eastAsia="Times New Roman" w:hAnsi="Cambria"/>
                <w:sz w:val="24"/>
                <w:szCs w:val="24"/>
              </w:rPr>
              <w:t>20</w:t>
            </w:r>
          </w:p>
        </w:tc>
      </w:tr>
    </w:tbl>
    <w:p w:rsidR="004B465A" w:rsidRPr="004B465A" w:rsidRDefault="004B465A" w:rsidP="004B465A">
      <w:pPr>
        <w:spacing w:after="200" w:line="276" w:lineRule="auto"/>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 </w:t>
      </w:r>
    </w:p>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sz w:val="24"/>
          <w:szCs w:val="24"/>
          <w:lang w:val="en-US"/>
        </w:rPr>
      </w:pP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Times New Roman"/>
          <w:sz w:val="24"/>
          <w:szCs w:val="24"/>
          <w:lang w:val="en-US"/>
        </w:rPr>
        <w:t xml:space="preserve"> </w:t>
      </w:r>
    </w:p>
    <w:p w:rsidR="004B465A" w:rsidRDefault="004B465A" w:rsidP="004B465A">
      <w:pPr>
        <w:rPr>
          <w:b/>
          <w:bCs/>
        </w:rPr>
      </w:pPr>
    </w:p>
    <w:p w:rsidR="004B465A" w:rsidRPr="004B465A" w:rsidRDefault="004B465A" w:rsidP="004B465A">
      <w:pPr>
        <w:keepNext/>
        <w:keepLines/>
        <w:spacing w:before="480" w:after="0" w:line="360" w:lineRule="auto"/>
        <w:jc w:val="both"/>
        <w:outlineLvl w:val="0"/>
        <w:rPr>
          <w:rFonts w:ascii="Cambria" w:eastAsia="Times New Roman" w:hAnsi="Cambria" w:cs="Times New Roman"/>
          <w:b/>
          <w:bCs/>
          <w:sz w:val="24"/>
          <w:szCs w:val="24"/>
          <w:lang w:val="en-US"/>
        </w:rPr>
      </w:pPr>
      <w:bookmarkStart w:id="15" w:name="_Toc28960150"/>
      <w:r w:rsidRPr="004B465A">
        <w:rPr>
          <w:rFonts w:ascii="Cambria" w:eastAsia="Times New Roman" w:hAnsi="Cambria" w:cs="Times New Roman"/>
          <w:b/>
          <w:bCs/>
          <w:sz w:val="24"/>
          <w:szCs w:val="24"/>
          <w:lang w:val="en-US"/>
        </w:rPr>
        <w:lastRenderedPageBreak/>
        <w:t>References</w:t>
      </w:r>
      <w:bookmarkEnd w:id="15"/>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Barker, J. and Gossman, P., (2013) The learning impact of a virtual learning environment: students’ views. </w:t>
      </w:r>
      <w:r w:rsidRPr="004B465A">
        <w:rPr>
          <w:rFonts w:ascii="Cambria" w:eastAsia="Calibri" w:hAnsi="Cambria" w:cs="Arial"/>
          <w:i/>
          <w:iCs/>
          <w:sz w:val="24"/>
          <w:szCs w:val="24"/>
          <w:shd w:val="clear" w:color="auto" w:fill="FFFFFF"/>
          <w:lang w:val="en-US"/>
        </w:rPr>
        <w:t>Teacher Education Advancement Network Journal (TEAN)</w:t>
      </w:r>
      <w:r w:rsidRPr="004B465A">
        <w:rPr>
          <w:rFonts w:ascii="Cambria" w:eastAsia="Calibri" w:hAnsi="Cambria" w:cs="Arial"/>
          <w:sz w:val="24"/>
          <w:szCs w:val="24"/>
          <w:shd w:val="clear" w:color="auto" w:fill="FFFFFF"/>
          <w:lang w:val="en-US"/>
        </w:rPr>
        <w:t>, </w:t>
      </w:r>
      <w:r w:rsidRPr="004B465A">
        <w:rPr>
          <w:rFonts w:ascii="Cambria" w:eastAsia="Calibri" w:hAnsi="Cambria" w:cs="Arial"/>
          <w:iCs/>
          <w:sz w:val="24"/>
          <w:szCs w:val="24"/>
          <w:shd w:val="clear" w:color="auto" w:fill="FFFFFF"/>
          <w:lang w:val="en-US"/>
        </w:rPr>
        <w:t>5</w:t>
      </w:r>
      <w:r w:rsidRPr="004B465A">
        <w:rPr>
          <w:rFonts w:ascii="Cambria" w:eastAsia="Calibri" w:hAnsi="Cambria" w:cs="Arial"/>
          <w:sz w:val="24"/>
          <w:szCs w:val="24"/>
          <w:shd w:val="clear" w:color="auto" w:fill="FFFFFF"/>
          <w:lang w:val="en-US"/>
        </w:rPr>
        <w:t>(2), pp.19-38.</w:t>
      </w:r>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Comas-Quinn, A., de los Arcos, B. and Mardomingo, R., (2012) Virtual learning environments (VLEs) for distance language learning: Shifting tutor roles in a contested space for interaction. </w:t>
      </w:r>
      <w:r w:rsidRPr="004B465A">
        <w:rPr>
          <w:rFonts w:ascii="Cambria" w:eastAsia="Calibri" w:hAnsi="Cambria" w:cs="Arial"/>
          <w:i/>
          <w:iCs/>
          <w:sz w:val="24"/>
          <w:szCs w:val="24"/>
          <w:shd w:val="clear" w:color="auto" w:fill="FFFFFF"/>
          <w:lang w:val="en-US"/>
        </w:rPr>
        <w:t>Computer Assisted Language Learning</w:t>
      </w:r>
      <w:r w:rsidRPr="004B465A">
        <w:rPr>
          <w:rFonts w:ascii="Cambria" w:eastAsia="Calibri" w:hAnsi="Cambria" w:cs="Arial"/>
          <w:sz w:val="24"/>
          <w:szCs w:val="24"/>
          <w:shd w:val="clear" w:color="auto" w:fill="FFFFFF"/>
          <w:lang w:val="en-US"/>
        </w:rPr>
        <w:t>, </w:t>
      </w:r>
      <w:r w:rsidRPr="004B465A">
        <w:rPr>
          <w:rFonts w:ascii="Cambria" w:eastAsia="Calibri" w:hAnsi="Cambria" w:cs="Arial"/>
          <w:iCs/>
          <w:sz w:val="24"/>
          <w:szCs w:val="24"/>
          <w:shd w:val="clear" w:color="auto" w:fill="FFFFFF"/>
          <w:lang w:val="en-US"/>
        </w:rPr>
        <w:t>25</w:t>
      </w:r>
      <w:r w:rsidRPr="004B465A">
        <w:rPr>
          <w:rFonts w:ascii="Cambria" w:eastAsia="Calibri" w:hAnsi="Cambria" w:cs="Arial"/>
          <w:sz w:val="24"/>
          <w:szCs w:val="24"/>
          <w:shd w:val="clear" w:color="auto" w:fill="FFFFFF"/>
          <w:lang w:val="en-US"/>
        </w:rPr>
        <w:t>(2), pp.129-143.</w:t>
      </w:r>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Ernest, P., Guitert Catasús, M., Hampel, R., Heiser, S., Hopkins, J., Murphy, L. and Stickler, U., (2013) Online teacher development: Collaborating in a virtual learning environment. </w:t>
      </w:r>
      <w:r w:rsidRPr="004B465A">
        <w:rPr>
          <w:rFonts w:ascii="Cambria" w:eastAsia="Calibri" w:hAnsi="Cambria" w:cs="Arial"/>
          <w:i/>
          <w:iCs/>
          <w:sz w:val="24"/>
          <w:szCs w:val="24"/>
          <w:shd w:val="clear" w:color="auto" w:fill="FFFFFF"/>
          <w:lang w:val="en-US"/>
        </w:rPr>
        <w:t>Computer assisted language learning</w:t>
      </w:r>
      <w:r w:rsidRPr="004B465A">
        <w:rPr>
          <w:rFonts w:ascii="Cambria" w:eastAsia="Calibri" w:hAnsi="Cambria" w:cs="Arial"/>
          <w:sz w:val="24"/>
          <w:szCs w:val="24"/>
          <w:shd w:val="clear" w:color="auto" w:fill="FFFFFF"/>
          <w:lang w:val="en-US"/>
        </w:rPr>
        <w:t>, </w:t>
      </w:r>
      <w:r w:rsidRPr="004B465A">
        <w:rPr>
          <w:rFonts w:ascii="Cambria" w:eastAsia="Calibri" w:hAnsi="Cambria" w:cs="Arial"/>
          <w:iCs/>
          <w:sz w:val="24"/>
          <w:szCs w:val="24"/>
          <w:shd w:val="clear" w:color="auto" w:fill="FFFFFF"/>
          <w:lang w:val="en-US"/>
        </w:rPr>
        <w:t>26</w:t>
      </w:r>
      <w:r w:rsidRPr="004B465A">
        <w:rPr>
          <w:rFonts w:ascii="Cambria" w:eastAsia="Calibri" w:hAnsi="Cambria" w:cs="Arial"/>
          <w:sz w:val="24"/>
          <w:szCs w:val="24"/>
          <w:shd w:val="clear" w:color="auto" w:fill="FFFFFF"/>
          <w:lang w:val="en-US"/>
        </w:rPr>
        <w:t>(4), pp.311-333.</w:t>
      </w:r>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Hampel, R. and Pleines, C., (2013) Fostering student interaction and engagement in a virtual learning environment: An investigation into activity design and implementation. </w:t>
      </w:r>
      <w:r w:rsidRPr="004B465A">
        <w:rPr>
          <w:rFonts w:ascii="Cambria" w:eastAsia="Calibri" w:hAnsi="Cambria" w:cs="Arial"/>
          <w:i/>
          <w:iCs/>
          <w:sz w:val="24"/>
          <w:szCs w:val="24"/>
          <w:shd w:val="clear" w:color="auto" w:fill="FFFFFF"/>
          <w:lang w:val="en-US"/>
        </w:rPr>
        <w:t>Calico Journal</w:t>
      </w:r>
      <w:r w:rsidRPr="004B465A">
        <w:rPr>
          <w:rFonts w:ascii="Cambria" w:eastAsia="Calibri" w:hAnsi="Cambria" w:cs="Arial"/>
          <w:sz w:val="24"/>
          <w:szCs w:val="24"/>
          <w:shd w:val="clear" w:color="auto" w:fill="FFFFFF"/>
          <w:lang w:val="en-US"/>
        </w:rPr>
        <w:t>, </w:t>
      </w:r>
      <w:r w:rsidRPr="004B465A">
        <w:rPr>
          <w:rFonts w:ascii="Cambria" w:eastAsia="Calibri" w:hAnsi="Cambria" w:cs="Arial"/>
          <w:iCs/>
          <w:sz w:val="24"/>
          <w:szCs w:val="24"/>
          <w:shd w:val="clear" w:color="auto" w:fill="FFFFFF"/>
          <w:lang w:val="en-US"/>
        </w:rPr>
        <w:t>30</w:t>
      </w:r>
      <w:r w:rsidRPr="004B465A">
        <w:rPr>
          <w:rFonts w:ascii="Cambria" w:eastAsia="Calibri" w:hAnsi="Cambria" w:cs="Arial"/>
          <w:sz w:val="24"/>
          <w:szCs w:val="24"/>
          <w:shd w:val="clear" w:color="auto" w:fill="FFFFFF"/>
          <w:lang w:val="en-US"/>
        </w:rPr>
        <w:t>(3), pp.342-370.</w:t>
      </w:r>
    </w:p>
    <w:p w:rsidR="004B465A" w:rsidRPr="004B465A" w:rsidRDefault="004B465A" w:rsidP="004B465A">
      <w:pPr>
        <w:spacing w:after="200" w:line="360" w:lineRule="auto"/>
        <w:jc w:val="both"/>
        <w:rPr>
          <w:rFonts w:ascii="Cambria" w:eastAsia="Calibri" w:hAnsi="Cambria" w:cs="Times New Roman"/>
          <w:sz w:val="24"/>
          <w:szCs w:val="24"/>
          <w:lang w:val="en-US"/>
        </w:rPr>
      </w:pPr>
      <w:r w:rsidRPr="004B465A">
        <w:rPr>
          <w:rFonts w:ascii="Cambria" w:eastAsia="Calibri" w:hAnsi="Cambria" w:cs="Arial"/>
          <w:sz w:val="24"/>
          <w:szCs w:val="24"/>
          <w:shd w:val="clear" w:color="auto" w:fill="FFFFFF"/>
          <w:lang w:val="en-US"/>
        </w:rPr>
        <w:t>Kurilovas, E., Kubilinskiene, S. and Dagiene, V., (2014) Web 3.0–Based personalisation of learning objects in virtual learning environments. </w:t>
      </w:r>
      <w:r w:rsidRPr="004B465A">
        <w:rPr>
          <w:rFonts w:ascii="Cambria" w:eastAsia="Calibri" w:hAnsi="Cambria" w:cs="Arial"/>
          <w:i/>
          <w:iCs/>
          <w:sz w:val="24"/>
          <w:szCs w:val="24"/>
          <w:shd w:val="clear" w:color="auto" w:fill="FFFFFF"/>
          <w:lang w:val="en-US"/>
        </w:rPr>
        <w:t>Computers in Human Behavior</w:t>
      </w:r>
      <w:r w:rsidRPr="004B465A">
        <w:rPr>
          <w:rFonts w:ascii="Cambria" w:eastAsia="Calibri" w:hAnsi="Cambria" w:cs="Arial"/>
          <w:sz w:val="24"/>
          <w:szCs w:val="24"/>
          <w:shd w:val="clear" w:color="auto" w:fill="FFFFFF"/>
          <w:lang w:val="en-US"/>
        </w:rPr>
        <w:t>, </w:t>
      </w:r>
      <w:r w:rsidRPr="004B465A">
        <w:rPr>
          <w:rFonts w:ascii="Cambria" w:eastAsia="Calibri" w:hAnsi="Cambria" w:cs="Arial"/>
          <w:iCs/>
          <w:sz w:val="24"/>
          <w:szCs w:val="24"/>
          <w:shd w:val="clear" w:color="auto" w:fill="FFFFFF"/>
          <w:lang w:val="en-US"/>
        </w:rPr>
        <w:t>30</w:t>
      </w:r>
      <w:r w:rsidRPr="004B465A">
        <w:rPr>
          <w:rFonts w:ascii="Cambria" w:eastAsia="Calibri" w:hAnsi="Cambria" w:cs="Arial"/>
          <w:sz w:val="24"/>
          <w:szCs w:val="24"/>
          <w:shd w:val="clear" w:color="auto" w:fill="FFFFFF"/>
          <w:lang w:val="en-US"/>
        </w:rPr>
        <w:t>(4), pp.654-662.</w:t>
      </w:r>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Makransky, G., Bonde, M.T., Wulff, J.S., Wandall, J., Hood, M., Creed, P.A., Bache, I., Silahtaroglu, A. and Nørremølle, A., (2016) Simulation based virtual learning environment in medical genetics counseling: an example of bridging the gap between theory and practice in medical education. </w:t>
      </w:r>
      <w:r w:rsidRPr="004B465A">
        <w:rPr>
          <w:rFonts w:ascii="Cambria" w:eastAsia="Calibri" w:hAnsi="Cambria" w:cs="Arial"/>
          <w:i/>
          <w:iCs/>
          <w:sz w:val="24"/>
          <w:szCs w:val="24"/>
          <w:shd w:val="clear" w:color="auto" w:fill="FFFFFF"/>
          <w:lang w:val="en-US"/>
        </w:rPr>
        <w:t>BMC medical education</w:t>
      </w:r>
      <w:r w:rsidRPr="004B465A">
        <w:rPr>
          <w:rFonts w:ascii="Cambria" w:eastAsia="Calibri" w:hAnsi="Cambria" w:cs="Arial"/>
          <w:sz w:val="24"/>
          <w:szCs w:val="24"/>
          <w:shd w:val="clear" w:color="auto" w:fill="FFFFFF"/>
          <w:lang w:val="en-US"/>
        </w:rPr>
        <w:t>, </w:t>
      </w:r>
      <w:r w:rsidRPr="004B465A">
        <w:rPr>
          <w:rFonts w:ascii="Cambria" w:eastAsia="Calibri" w:hAnsi="Cambria" w:cs="Arial"/>
          <w:iCs/>
          <w:sz w:val="24"/>
          <w:szCs w:val="24"/>
          <w:shd w:val="clear" w:color="auto" w:fill="FFFFFF"/>
          <w:lang w:val="en-US"/>
        </w:rPr>
        <w:t>16</w:t>
      </w:r>
      <w:r w:rsidRPr="004B465A">
        <w:rPr>
          <w:rFonts w:ascii="Cambria" w:eastAsia="Calibri" w:hAnsi="Cambria" w:cs="Arial"/>
          <w:sz w:val="24"/>
          <w:szCs w:val="24"/>
          <w:shd w:val="clear" w:color="auto" w:fill="FFFFFF"/>
          <w:lang w:val="en-US"/>
        </w:rPr>
        <w:t>(1), p.98.</w:t>
      </w:r>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Mkrttchian, V., Kataev, M., Hwang, W.Y., Bedi, S.S. and Fedotova, A., (2014) Using plug-avatars “hhh” technology education as service-oriented virtual learning environment in sliding mode. In </w:t>
      </w:r>
      <w:r w:rsidRPr="004B465A">
        <w:rPr>
          <w:rFonts w:ascii="Cambria" w:eastAsia="Calibri" w:hAnsi="Cambria" w:cs="Arial"/>
          <w:i/>
          <w:iCs/>
          <w:sz w:val="24"/>
          <w:szCs w:val="24"/>
          <w:shd w:val="clear" w:color="auto" w:fill="FFFFFF"/>
          <w:lang w:val="en-US"/>
        </w:rPr>
        <w:t>Handbook of Research on Emerging Priorities and Trends in Distance Education: Communication, Pedagogy, and Technology</w:t>
      </w:r>
      <w:r w:rsidRPr="004B465A">
        <w:rPr>
          <w:rFonts w:ascii="Cambria" w:eastAsia="Calibri" w:hAnsi="Cambria" w:cs="Arial"/>
          <w:sz w:val="24"/>
          <w:szCs w:val="24"/>
          <w:shd w:val="clear" w:color="auto" w:fill="FFFFFF"/>
          <w:lang w:val="en-US"/>
        </w:rPr>
        <w:t>, 12(6), pp. 43-55.</w:t>
      </w:r>
    </w:p>
    <w:p w:rsidR="004B465A" w:rsidRPr="004B465A" w:rsidRDefault="004B465A" w:rsidP="004B465A">
      <w:pPr>
        <w:spacing w:after="200" w:line="360" w:lineRule="auto"/>
        <w:jc w:val="both"/>
        <w:rPr>
          <w:rFonts w:ascii="Cambria" w:eastAsia="Calibri" w:hAnsi="Cambria" w:cs="Arial"/>
          <w:sz w:val="24"/>
          <w:szCs w:val="24"/>
          <w:shd w:val="clear" w:color="auto" w:fill="FFFFFF"/>
          <w:lang w:val="en-US"/>
        </w:rPr>
      </w:pPr>
      <w:r w:rsidRPr="004B465A">
        <w:rPr>
          <w:rFonts w:ascii="Cambria" w:eastAsia="Calibri" w:hAnsi="Cambria" w:cs="Arial"/>
          <w:sz w:val="24"/>
          <w:szCs w:val="24"/>
          <w:shd w:val="clear" w:color="auto" w:fill="FFFFFF"/>
          <w:lang w:val="en-US"/>
        </w:rPr>
        <w:t xml:space="preserve">Pedro, L.Z., Lopes, A.M., Prates, B.G., Vassileva, J. and Isotani, S., (2015) Does gamification work for boys and </w:t>
      </w:r>
      <w:r w:rsidR="000704D4" w:rsidRPr="004B465A">
        <w:rPr>
          <w:rFonts w:ascii="Cambria" w:eastAsia="Calibri" w:hAnsi="Cambria" w:cs="Arial"/>
          <w:sz w:val="24"/>
          <w:szCs w:val="24"/>
          <w:shd w:val="clear" w:color="auto" w:fill="FFFFFF"/>
          <w:lang w:val="en-US"/>
        </w:rPr>
        <w:t>girls?</w:t>
      </w:r>
      <w:r w:rsidRPr="004B465A">
        <w:rPr>
          <w:rFonts w:ascii="Cambria" w:eastAsia="Calibri" w:hAnsi="Cambria" w:cs="Arial"/>
          <w:sz w:val="24"/>
          <w:szCs w:val="24"/>
          <w:shd w:val="clear" w:color="auto" w:fill="FFFFFF"/>
          <w:lang w:val="en-US"/>
        </w:rPr>
        <w:t xml:space="preserve"> An exploratory study with a virtual learning environment. In </w:t>
      </w:r>
      <w:r w:rsidRPr="004B465A">
        <w:rPr>
          <w:rFonts w:ascii="Cambria" w:eastAsia="Calibri" w:hAnsi="Cambria" w:cs="Arial"/>
          <w:i/>
          <w:iCs/>
          <w:sz w:val="24"/>
          <w:szCs w:val="24"/>
          <w:shd w:val="clear" w:color="auto" w:fill="FFFFFF"/>
          <w:lang w:val="en-US"/>
        </w:rPr>
        <w:t>Proceedings of the 30th annual ACM symposium on applied computing</w:t>
      </w:r>
      <w:r w:rsidRPr="004B465A">
        <w:rPr>
          <w:rFonts w:ascii="Cambria" w:eastAsia="Calibri" w:hAnsi="Cambria" w:cs="Arial"/>
          <w:sz w:val="24"/>
          <w:szCs w:val="24"/>
          <w:shd w:val="clear" w:color="auto" w:fill="FFFFFF"/>
          <w:lang w:val="en-US"/>
        </w:rPr>
        <w:t>, 12(6), pp. 214-219.</w:t>
      </w:r>
    </w:p>
    <w:p w:rsidR="004B465A" w:rsidRPr="00E47AF0" w:rsidRDefault="004B465A" w:rsidP="004B465A">
      <w:pPr>
        <w:rPr>
          <w:b/>
          <w:bCs/>
        </w:rPr>
      </w:pPr>
    </w:p>
    <w:sectPr w:rsidR="004B465A" w:rsidRPr="00E47A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B550F"/>
    <w:multiLevelType w:val="hybridMultilevel"/>
    <w:tmpl w:val="BDE0BF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82836CD"/>
    <w:multiLevelType w:val="hybridMultilevel"/>
    <w:tmpl w:val="135060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E8B4721"/>
    <w:multiLevelType w:val="hybridMultilevel"/>
    <w:tmpl w:val="08342C0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0CA6F78"/>
    <w:multiLevelType w:val="hybridMultilevel"/>
    <w:tmpl w:val="3474AD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9076FEE"/>
    <w:multiLevelType w:val="hybridMultilevel"/>
    <w:tmpl w:val="92125C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B900B36"/>
    <w:multiLevelType w:val="hybridMultilevel"/>
    <w:tmpl w:val="848C59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9D92BD6"/>
    <w:multiLevelType w:val="hybridMultilevel"/>
    <w:tmpl w:val="EC60A3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4DA463C"/>
    <w:multiLevelType w:val="hybridMultilevel"/>
    <w:tmpl w:val="4BB844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64D53CC"/>
    <w:multiLevelType w:val="hybridMultilevel"/>
    <w:tmpl w:val="DE1C855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66B337CB"/>
    <w:multiLevelType w:val="hybridMultilevel"/>
    <w:tmpl w:val="5448AB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6E6618A1"/>
    <w:multiLevelType w:val="hybridMultilevel"/>
    <w:tmpl w:val="1F46187E"/>
    <w:lvl w:ilvl="0" w:tplc="392C960A">
      <w:start w:val="1"/>
      <w:numFmt w:val="bullet"/>
      <w:lvlText w:val=""/>
      <w:lvlJc w:val="left"/>
      <w:pPr>
        <w:ind w:left="720" w:hanging="360"/>
      </w:pPr>
      <w:rPr>
        <w:rFonts w:ascii="Symbol" w:hAnsi="Symbol" w:hint="default"/>
      </w:rPr>
    </w:lvl>
    <w:lvl w:ilvl="1" w:tplc="A0C8A69A">
      <w:start w:val="1"/>
      <w:numFmt w:val="bullet"/>
      <w:lvlText w:val="o"/>
      <w:lvlJc w:val="left"/>
      <w:pPr>
        <w:ind w:left="1440" w:hanging="360"/>
      </w:pPr>
      <w:rPr>
        <w:rFonts w:ascii="Courier New" w:hAnsi="Courier New" w:cs="Courier New" w:hint="default"/>
      </w:rPr>
    </w:lvl>
    <w:lvl w:ilvl="2" w:tplc="EA0ED1CE">
      <w:start w:val="1"/>
      <w:numFmt w:val="bullet"/>
      <w:lvlText w:val=""/>
      <w:lvlJc w:val="left"/>
      <w:pPr>
        <w:ind w:left="2160" w:hanging="360"/>
      </w:pPr>
      <w:rPr>
        <w:rFonts w:ascii="Wingdings" w:hAnsi="Wingdings" w:hint="default"/>
      </w:rPr>
    </w:lvl>
    <w:lvl w:ilvl="3" w:tplc="7A823096">
      <w:start w:val="1"/>
      <w:numFmt w:val="bullet"/>
      <w:lvlText w:val=""/>
      <w:lvlJc w:val="left"/>
      <w:pPr>
        <w:ind w:left="2880" w:hanging="360"/>
      </w:pPr>
      <w:rPr>
        <w:rFonts w:ascii="Symbol" w:hAnsi="Symbol" w:hint="default"/>
      </w:rPr>
    </w:lvl>
    <w:lvl w:ilvl="4" w:tplc="4B7AFD44">
      <w:start w:val="1"/>
      <w:numFmt w:val="bullet"/>
      <w:lvlText w:val="o"/>
      <w:lvlJc w:val="left"/>
      <w:pPr>
        <w:ind w:left="3600" w:hanging="360"/>
      </w:pPr>
      <w:rPr>
        <w:rFonts w:ascii="Courier New" w:hAnsi="Courier New" w:cs="Courier New" w:hint="default"/>
      </w:rPr>
    </w:lvl>
    <w:lvl w:ilvl="5" w:tplc="AAF63D4C">
      <w:start w:val="1"/>
      <w:numFmt w:val="bullet"/>
      <w:lvlText w:val=""/>
      <w:lvlJc w:val="left"/>
      <w:pPr>
        <w:ind w:left="4320" w:hanging="360"/>
      </w:pPr>
      <w:rPr>
        <w:rFonts w:ascii="Wingdings" w:hAnsi="Wingdings" w:hint="default"/>
      </w:rPr>
    </w:lvl>
    <w:lvl w:ilvl="6" w:tplc="182EF648">
      <w:start w:val="1"/>
      <w:numFmt w:val="bullet"/>
      <w:lvlText w:val=""/>
      <w:lvlJc w:val="left"/>
      <w:pPr>
        <w:ind w:left="5040" w:hanging="360"/>
      </w:pPr>
      <w:rPr>
        <w:rFonts w:ascii="Symbol" w:hAnsi="Symbol" w:hint="default"/>
      </w:rPr>
    </w:lvl>
    <w:lvl w:ilvl="7" w:tplc="C212CA1A">
      <w:start w:val="1"/>
      <w:numFmt w:val="bullet"/>
      <w:lvlText w:val="o"/>
      <w:lvlJc w:val="left"/>
      <w:pPr>
        <w:ind w:left="5760" w:hanging="360"/>
      </w:pPr>
      <w:rPr>
        <w:rFonts w:ascii="Courier New" w:hAnsi="Courier New" w:cs="Courier New" w:hint="default"/>
      </w:rPr>
    </w:lvl>
    <w:lvl w:ilvl="8" w:tplc="F7D8AFE6">
      <w:start w:val="1"/>
      <w:numFmt w:val="bullet"/>
      <w:lvlText w:val=""/>
      <w:lvlJc w:val="left"/>
      <w:pPr>
        <w:ind w:left="6480" w:hanging="360"/>
      </w:pPr>
      <w:rPr>
        <w:rFonts w:ascii="Wingdings" w:hAnsi="Wingdings" w:hint="default"/>
      </w:rPr>
    </w:lvl>
  </w:abstractNum>
  <w:num w:numId="1">
    <w:abstractNumId w:val="10"/>
    <w:lvlOverride w:ilvl="0"/>
    <w:lvlOverride w:ilvl="1"/>
    <w:lvlOverride w:ilvl="2"/>
    <w:lvlOverride w:ilvl="3"/>
    <w:lvlOverride w:ilvl="4"/>
    <w:lvlOverride w:ilvl="5"/>
    <w:lvlOverride w:ilvl="6"/>
    <w:lvlOverride w:ilvl="7"/>
    <w:lvlOverride w:ilvl="8"/>
  </w:num>
  <w:num w:numId="2">
    <w:abstractNumId w:val="8"/>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6"/>
    <w:lvlOverride w:ilvl="0"/>
    <w:lvlOverride w:ilvl="1"/>
    <w:lvlOverride w:ilvl="2"/>
    <w:lvlOverride w:ilvl="3"/>
    <w:lvlOverride w:ilvl="4"/>
    <w:lvlOverride w:ilvl="5"/>
    <w:lvlOverride w:ilvl="6"/>
    <w:lvlOverride w:ilvl="7"/>
    <w:lvlOverride w:ilvl="8"/>
  </w:num>
  <w:num w:numId="5">
    <w:abstractNumId w:val="7"/>
    <w:lvlOverride w:ilvl="0"/>
    <w:lvlOverride w:ilvl="1"/>
    <w:lvlOverride w:ilvl="2"/>
    <w:lvlOverride w:ilvl="3"/>
    <w:lvlOverride w:ilvl="4"/>
    <w:lvlOverride w:ilvl="5"/>
    <w:lvlOverride w:ilvl="6"/>
    <w:lvlOverride w:ilvl="7"/>
    <w:lvlOverride w:ilvl="8"/>
  </w:num>
  <w:num w:numId="6">
    <w:abstractNumId w:val="2"/>
    <w:lvlOverride w:ilvl="0"/>
    <w:lvlOverride w:ilvl="1"/>
    <w:lvlOverride w:ilvl="2"/>
    <w:lvlOverride w:ilvl="3"/>
    <w:lvlOverride w:ilvl="4"/>
    <w:lvlOverride w:ilvl="5"/>
    <w:lvlOverride w:ilvl="6"/>
    <w:lvlOverride w:ilvl="7"/>
    <w:lvlOverride w:ilvl="8"/>
  </w:num>
  <w:num w:numId="7">
    <w:abstractNumId w:val="0"/>
    <w:lvlOverride w:ilvl="0"/>
    <w:lvlOverride w:ilvl="1"/>
    <w:lvlOverride w:ilvl="2"/>
    <w:lvlOverride w:ilvl="3"/>
    <w:lvlOverride w:ilvl="4"/>
    <w:lvlOverride w:ilvl="5"/>
    <w:lvlOverride w:ilvl="6"/>
    <w:lvlOverride w:ilvl="7"/>
    <w:lvlOverride w:ilvl="8"/>
  </w:num>
  <w:num w:numId="8">
    <w:abstractNumId w:val="4"/>
    <w:lvlOverride w:ilvl="0"/>
    <w:lvlOverride w:ilvl="1"/>
    <w:lvlOverride w:ilvl="2"/>
    <w:lvlOverride w:ilvl="3"/>
    <w:lvlOverride w:ilvl="4"/>
    <w:lvlOverride w:ilvl="5"/>
    <w:lvlOverride w:ilvl="6"/>
    <w:lvlOverride w:ilvl="7"/>
    <w:lvlOverride w:ilvl="8"/>
  </w:num>
  <w:num w:numId="9">
    <w:abstractNumId w:val="9"/>
    <w:lvlOverride w:ilvl="0"/>
    <w:lvlOverride w:ilvl="1"/>
    <w:lvlOverride w:ilvl="2"/>
    <w:lvlOverride w:ilvl="3"/>
    <w:lvlOverride w:ilvl="4"/>
    <w:lvlOverride w:ilvl="5"/>
    <w:lvlOverride w:ilvl="6"/>
    <w:lvlOverride w:ilvl="7"/>
    <w:lvlOverride w:ilvl="8"/>
  </w:num>
  <w:num w:numId="10">
    <w:abstractNumId w:val="5"/>
    <w:lvlOverride w:ilvl="0"/>
    <w:lvlOverride w:ilvl="1"/>
    <w:lvlOverride w:ilvl="2"/>
    <w:lvlOverride w:ilvl="3"/>
    <w:lvlOverride w:ilvl="4"/>
    <w:lvlOverride w:ilvl="5"/>
    <w:lvlOverride w:ilvl="6"/>
    <w:lvlOverride w:ilvl="7"/>
    <w:lvlOverride w:ilvl="8"/>
  </w:num>
  <w:num w:numId="11">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AF0"/>
    <w:rsid w:val="000704D4"/>
    <w:rsid w:val="004B465A"/>
    <w:rsid w:val="00796A75"/>
    <w:rsid w:val="00E47AF0"/>
    <w:rsid w:val="00F4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ABD85"/>
  <w15:chartTrackingRefBased/>
  <w15:docId w15:val="{8E44E0C0-FE53-4B7F-9B4C-A61E6AFCB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2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2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47233"/>
    <w:pPr>
      <w:outlineLvl w:val="9"/>
    </w:pPr>
  </w:style>
  <w:style w:type="table" w:styleId="TableGrid">
    <w:name w:val="Table Grid"/>
    <w:basedOn w:val="TableNormal"/>
    <w:uiPriority w:val="59"/>
    <w:rsid w:val="004B465A"/>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868">
      <w:bodyDiv w:val="1"/>
      <w:marLeft w:val="0"/>
      <w:marRight w:val="0"/>
      <w:marTop w:val="0"/>
      <w:marBottom w:val="0"/>
      <w:divBdr>
        <w:top w:val="none" w:sz="0" w:space="0" w:color="auto"/>
        <w:left w:val="none" w:sz="0" w:space="0" w:color="auto"/>
        <w:bottom w:val="none" w:sz="0" w:space="0" w:color="auto"/>
        <w:right w:val="none" w:sz="0" w:space="0" w:color="auto"/>
      </w:divBdr>
    </w:div>
    <w:div w:id="88086208">
      <w:bodyDiv w:val="1"/>
      <w:marLeft w:val="0"/>
      <w:marRight w:val="0"/>
      <w:marTop w:val="0"/>
      <w:marBottom w:val="0"/>
      <w:divBdr>
        <w:top w:val="none" w:sz="0" w:space="0" w:color="auto"/>
        <w:left w:val="none" w:sz="0" w:space="0" w:color="auto"/>
        <w:bottom w:val="none" w:sz="0" w:space="0" w:color="auto"/>
        <w:right w:val="none" w:sz="0" w:space="0" w:color="auto"/>
      </w:divBdr>
    </w:div>
    <w:div w:id="246964163">
      <w:bodyDiv w:val="1"/>
      <w:marLeft w:val="0"/>
      <w:marRight w:val="0"/>
      <w:marTop w:val="0"/>
      <w:marBottom w:val="0"/>
      <w:divBdr>
        <w:top w:val="none" w:sz="0" w:space="0" w:color="auto"/>
        <w:left w:val="none" w:sz="0" w:space="0" w:color="auto"/>
        <w:bottom w:val="none" w:sz="0" w:space="0" w:color="auto"/>
        <w:right w:val="none" w:sz="0" w:space="0" w:color="auto"/>
      </w:divBdr>
    </w:div>
    <w:div w:id="1022820437">
      <w:bodyDiv w:val="1"/>
      <w:marLeft w:val="0"/>
      <w:marRight w:val="0"/>
      <w:marTop w:val="0"/>
      <w:marBottom w:val="0"/>
      <w:divBdr>
        <w:top w:val="none" w:sz="0" w:space="0" w:color="auto"/>
        <w:left w:val="none" w:sz="0" w:space="0" w:color="auto"/>
        <w:bottom w:val="none" w:sz="0" w:space="0" w:color="auto"/>
        <w:right w:val="none" w:sz="0" w:space="0" w:color="auto"/>
      </w:divBdr>
    </w:div>
    <w:div w:id="1242373542">
      <w:bodyDiv w:val="1"/>
      <w:marLeft w:val="0"/>
      <w:marRight w:val="0"/>
      <w:marTop w:val="0"/>
      <w:marBottom w:val="0"/>
      <w:divBdr>
        <w:top w:val="none" w:sz="0" w:space="0" w:color="auto"/>
        <w:left w:val="none" w:sz="0" w:space="0" w:color="auto"/>
        <w:bottom w:val="none" w:sz="0" w:space="0" w:color="auto"/>
        <w:right w:val="none" w:sz="0" w:space="0" w:color="auto"/>
      </w:divBdr>
    </w:div>
    <w:div w:id="1321152221">
      <w:bodyDiv w:val="1"/>
      <w:marLeft w:val="0"/>
      <w:marRight w:val="0"/>
      <w:marTop w:val="0"/>
      <w:marBottom w:val="0"/>
      <w:divBdr>
        <w:top w:val="none" w:sz="0" w:space="0" w:color="auto"/>
        <w:left w:val="none" w:sz="0" w:space="0" w:color="auto"/>
        <w:bottom w:val="none" w:sz="0" w:space="0" w:color="auto"/>
        <w:right w:val="none" w:sz="0" w:space="0" w:color="auto"/>
      </w:divBdr>
    </w:div>
    <w:div w:id="1774978472">
      <w:bodyDiv w:val="1"/>
      <w:marLeft w:val="0"/>
      <w:marRight w:val="0"/>
      <w:marTop w:val="0"/>
      <w:marBottom w:val="0"/>
      <w:divBdr>
        <w:top w:val="none" w:sz="0" w:space="0" w:color="auto"/>
        <w:left w:val="none" w:sz="0" w:space="0" w:color="auto"/>
        <w:bottom w:val="none" w:sz="0" w:space="0" w:color="auto"/>
        <w:right w:val="none" w:sz="0" w:space="0" w:color="auto"/>
      </w:divBdr>
    </w:div>
    <w:div w:id="1790709369">
      <w:bodyDiv w:val="1"/>
      <w:marLeft w:val="0"/>
      <w:marRight w:val="0"/>
      <w:marTop w:val="0"/>
      <w:marBottom w:val="0"/>
      <w:divBdr>
        <w:top w:val="none" w:sz="0" w:space="0" w:color="auto"/>
        <w:left w:val="none" w:sz="0" w:space="0" w:color="auto"/>
        <w:bottom w:val="none" w:sz="0" w:space="0" w:color="auto"/>
        <w:right w:val="none" w:sz="0" w:space="0" w:color="auto"/>
      </w:divBdr>
    </w:div>
    <w:div w:id="1832790833">
      <w:bodyDiv w:val="1"/>
      <w:marLeft w:val="0"/>
      <w:marRight w:val="0"/>
      <w:marTop w:val="0"/>
      <w:marBottom w:val="0"/>
      <w:divBdr>
        <w:top w:val="none" w:sz="0" w:space="0" w:color="auto"/>
        <w:left w:val="none" w:sz="0" w:space="0" w:color="auto"/>
        <w:bottom w:val="none" w:sz="0" w:space="0" w:color="auto"/>
        <w:right w:val="none" w:sz="0" w:space="0" w:color="auto"/>
      </w:divBdr>
    </w:div>
    <w:div w:id="1916745772">
      <w:bodyDiv w:val="1"/>
      <w:marLeft w:val="0"/>
      <w:marRight w:val="0"/>
      <w:marTop w:val="0"/>
      <w:marBottom w:val="0"/>
      <w:divBdr>
        <w:top w:val="none" w:sz="0" w:space="0" w:color="auto"/>
        <w:left w:val="none" w:sz="0" w:space="0" w:color="auto"/>
        <w:bottom w:val="none" w:sz="0" w:space="0" w:color="auto"/>
        <w:right w:val="none" w:sz="0" w:space="0" w:color="auto"/>
      </w:divBdr>
    </w:div>
    <w:div w:id="2003897043">
      <w:bodyDiv w:val="1"/>
      <w:marLeft w:val="0"/>
      <w:marRight w:val="0"/>
      <w:marTop w:val="0"/>
      <w:marBottom w:val="0"/>
      <w:divBdr>
        <w:top w:val="none" w:sz="0" w:space="0" w:color="auto"/>
        <w:left w:val="none" w:sz="0" w:space="0" w:color="auto"/>
        <w:bottom w:val="none" w:sz="0" w:space="0" w:color="auto"/>
        <w:right w:val="none" w:sz="0" w:space="0" w:color="auto"/>
      </w:divBdr>
    </w:div>
    <w:div w:id="2022464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Yolanda\Desktop\LAINY%20TRABALHOS\3857124_1687072805_38547647668220801171146.edited.docx" TargetMode="External"/><Relationship Id="rId13" Type="http://schemas.openxmlformats.org/officeDocument/2006/relationships/hyperlink" Target="file:///C:\Users\Yolanda\Desktop\LAINY%20TRABALHOS\3857124_1687072805_38547647668220801171146.edited.docx" TargetMode="External"/><Relationship Id="rId18" Type="http://schemas.openxmlformats.org/officeDocument/2006/relationships/hyperlink" Target="file:///C:\Users\Yolanda\Desktop\LAINY%20TRABALHOS\3857124_1687072805_38547647668220801171146.edited.docx"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file:///C:\Users\Yolanda\Desktop\LAINY%20TRABALHOS\3857124_1687072805_38547647668220801171146.edited.docx" TargetMode="External"/><Relationship Id="rId12" Type="http://schemas.openxmlformats.org/officeDocument/2006/relationships/hyperlink" Target="file:///C:\Users\Yolanda\Desktop\LAINY%20TRABALHOS\3857124_1687072805_38547647668220801171146.edited.docx" TargetMode="External"/><Relationship Id="rId17" Type="http://schemas.openxmlformats.org/officeDocument/2006/relationships/hyperlink" Target="file:///C:\Users\Yolanda\Desktop\LAINY%20TRABALHOS\3857124_1687072805_38547647668220801171146.edited.docx" TargetMode="External"/><Relationship Id="rId25"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file:///C:\Users\Yolanda\Desktop\LAINY%20TRABALHOS\3857124_1687072805_38547647668220801171146.edited.docx" TargetMode="Externa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file:///C:\Users\Yolanda\Desktop\LAINY%20TRABALHOS\3857124_1687072805_38547647668220801171146.edited.docx" TargetMode="External"/><Relationship Id="rId11" Type="http://schemas.openxmlformats.org/officeDocument/2006/relationships/hyperlink" Target="file:///C:\Users\Yolanda\Desktop\LAINY%20TRABALHOS\3857124_1687072805_38547647668220801171146.edited.docx" TargetMode="External"/><Relationship Id="rId24" Type="http://schemas.openxmlformats.org/officeDocument/2006/relationships/image" Target="media/image5.png"/><Relationship Id="rId5" Type="http://schemas.openxmlformats.org/officeDocument/2006/relationships/hyperlink" Target="file:///C:\Users\Yolanda\Desktop\LAINY%20TRABALHOS\3857124_1687072805_38547647668220801171146.edited.docx" TargetMode="External"/><Relationship Id="rId15" Type="http://schemas.openxmlformats.org/officeDocument/2006/relationships/hyperlink" Target="file:///C:\Users\Yolanda\Desktop\LAINY%20TRABALHOS\3857124_1687072805_38547647668220801171146.edited.docx"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file:///C:\Users\Yolanda\Desktop\LAINY%20TRABALHOS\3857124_1687072805_38547647668220801171146.edited.docx" TargetMode="External"/><Relationship Id="rId19" Type="http://schemas.openxmlformats.org/officeDocument/2006/relationships/hyperlink" Target="file:///C:\Users\Yolanda\Desktop\LAINY%20TRABALHOS\3857124_1687072805_38547647668220801171146.edited.docx"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Yolanda\Desktop\LAINY%20TRABALHOS\3857124_1687072805_38547647668220801171146.edited.docx" TargetMode="External"/><Relationship Id="rId14" Type="http://schemas.openxmlformats.org/officeDocument/2006/relationships/hyperlink" Target="file:///C:\Users\Yolanda\Desktop\LAINY%20TRABALHOS\3857124_1687072805_38547647668220801171146.edited.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2828</Words>
  <Characters>16122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1</cp:revision>
  <dcterms:created xsi:type="dcterms:W3CDTF">2020-01-03T11:34:00Z</dcterms:created>
  <dcterms:modified xsi:type="dcterms:W3CDTF">2020-01-03T12:08:00Z</dcterms:modified>
</cp:coreProperties>
</file>