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ECF" w:rsidRDefault="000B5ECF">
      <w:pPr>
        <w:rPr>
          <w:b/>
        </w:rPr>
      </w:pPr>
      <w:r>
        <w:rPr>
          <w:b/>
        </w:rPr>
        <w:t>Louise Porter Thomas</w:t>
      </w:r>
    </w:p>
    <w:p w:rsidR="00A6789C" w:rsidRPr="000B5ECF" w:rsidRDefault="009E1BE9">
      <w:pPr>
        <w:rPr>
          <w:b/>
        </w:rPr>
      </w:pPr>
      <w:r w:rsidRPr="000B5ECF">
        <w:rPr>
          <w:b/>
        </w:rPr>
        <w:t>Talent Management and Workforce Planning</w:t>
      </w:r>
    </w:p>
    <w:p w:rsidR="000B5ECF" w:rsidRPr="000B5ECF" w:rsidRDefault="000B5ECF">
      <w:pPr>
        <w:rPr>
          <w:b/>
        </w:rPr>
      </w:pPr>
      <w:r w:rsidRPr="000B5ECF">
        <w:rPr>
          <w:b/>
        </w:rPr>
        <w:t>Word Count - 4129</w:t>
      </w:r>
    </w:p>
    <w:p w:rsidR="009E1BE9" w:rsidRDefault="009E1BE9"/>
    <w:p w:rsidR="009E1BE9" w:rsidRPr="00F20379" w:rsidRDefault="009E1BE9" w:rsidP="00FA015D">
      <w:pPr>
        <w:pStyle w:val="Nornal"/>
        <w:numPr>
          <w:ilvl w:val="0"/>
          <w:numId w:val="2"/>
        </w:numPr>
        <w:rPr>
          <w:b/>
        </w:rPr>
      </w:pPr>
      <w:r w:rsidRPr="00F20379">
        <w:rPr>
          <w:b/>
        </w:rPr>
        <w:t>How can organisations strategically position themselves in competitive labour markets? (AC 1.1)</w:t>
      </w:r>
    </w:p>
    <w:p w:rsidR="009E1BE9" w:rsidRDefault="009E1BE9" w:rsidP="009E1BE9">
      <w:pPr>
        <w:pStyle w:val="Nornal"/>
      </w:pPr>
    </w:p>
    <w:p w:rsidR="009E1BE9" w:rsidRDefault="009E1BE9" w:rsidP="009E1BE9">
      <w:pPr>
        <w:pStyle w:val="Nornal"/>
      </w:pPr>
      <w:r>
        <w:t xml:space="preserve">Organisations can strategically position themselves in competitive labour markets through various approaches to attract and retain talented employees.  These strategies are designed to gain a competitive advantage in the recruitment and retention of skilled workers, ensuring the organisation’s </w:t>
      </w:r>
      <w:r w:rsidR="001C29CE">
        <w:t>long-term</w:t>
      </w:r>
      <w:r>
        <w:t xml:space="preserve"> success (Boys, 2022)</w:t>
      </w:r>
      <w:r w:rsidR="001C29CE">
        <w:t>.</w:t>
      </w:r>
    </w:p>
    <w:p w:rsidR="009E1BE9" w:rsidRDefault="009E1BE9" w:rsidP="009E1BE9">
      <w:pPr>
        <w:pStyle w:val="Nornal"/>
      </w:pPr>
      <w:r>
        <w:t>A common strategy is offering competitive financial packages. Organisations strive to provide attractive salary and benefit packages that align with industry standards to attract high quality candidates.</w:t>
      </w:r>
      <w:r w:rsidR="001C29CE">
        <w:t xml:space="preserve">  This could include competitive wages, performance based incentives, comprehensive health and pension benefits along with opportunities for career advancements (Taylor and </w:t>
      </w:r>
      <w:proofErr w:type="spellStart"/>
      <w:r w:rsidR="001C29CE">
        <w:t>Woodhams</w:t>
      </w:r>
      <w:proofErr w:type="spellEnd"/>
      <w:r w:rsidR="001C29CE">
        <w:t>, 2022).</w:t>
      </w:r>
    </w:p>
    <w:p w:rsidR="004E4185" w:rsidRDefault="00BF625B" w:rsidP="009E1BE9">
      <w:pPr>
        <w:pStyle w:val="Nornal"/>
      </w:pPr>
      <w:r>
        <w:t>Additionally</w:t>
      </w:r>
      <w:r w:rsidR="004E4185">
        <w:t>, Taylor</w:t>
      </w:r>
      <w:r w:rsidR="001C29CE">
        <w:t xml:space="preserve"> and </w:t>
      </w:r>
      <w:proofErr w:type="spellStart"/>
      <w:r w:rsidR="001C29CE">
        <w:t>Woodhams</w:t>
      </w:r>
      <w:proofErr w:type="spellEnd"/>
      <w:r w:rsidR="001C29CE">
        <w:t xml:space="preserve"> (2022) suggest that </w:t>
      </w:r>
      <w:r w:rsidR="004E4185">
        <w:t>organisations</w:t>
      </w:r>
      <w:r w:rsidR="001C29CE">
        <w:t xml:space="preserve"> focus on building a positive employer brand.  They invest in creating a strong corporate culture, emphasising </w:t>
      </w:r>
      <w:r w:rsidR="004E4185">
        <w:t>values such as diversity, inclusion, and work life balance.  By promoting a desirable work environment, organisations can differentiate themselves from competitors and appeal to a wider pool of talented individuals.</w:t>
      </w:r>
    </w:p>
    <w:p w:rsidR="00BF625B" w:rsidRDefault="00BF625B" w:rsidP="00BF625B">
      <w:pPr>
        <w:pStyle w:val="Nornal"/>
      </w:pPr>
      <w:r>
        <w:t>Furthermore, organisations strategically invest in employee development and training programs. By offering opportunities for professional growth, such as mentorship p</w:t>
      </w:r>
      <w:r w:rsidR="000363B2">
        <w:t>rograms, training including skill building</w:t>
      </w:r>
      <w:r>
        <w:t xml:space="preserve"> workshops, and paying fees for education, an organisation can </w:t>
      </w:r>
      <w:r w:rsidR="00F20379">
        <w:t>demonstrate</w:t>
      </w:r>
      <w:r>
        <w:t xml:space="preserve"> their commitment to employee development, attracting individuals seeking long-term career progression (CIPD, 2022).</w:t>
      </w:r>
    </w:p>
    <w:p w:rsidR="00BF625B" w:rsidRDefault="00BF625B" w:rsidP="00BF625B">
      <w:pPr>
        <w:pStyle w:val="Nornal"/>
      </w:pPr>
      <w:r>
        <w:t>Moreover, for an organisation to effectively position themselves in the labour market, they can also leverage technology and digital platforms.  They utilise online recruitment platforms, social media channels, and professional networking sites to reach a broader audience and engage with potential candidates effectively (Brinkley, 2015).</w:t>
      </w:r>
    </w:p>
    <w:p w:rsidR="000B0D90" w:rsidRDefault="000B0D90" w:rsidP="00BF625B">
      <w:pPr>
        <w:pStyle w:val="Nornal"/>
      </w:pPr>
      <w:r>
        <w:t xml:space="preserve">Taylor and </w:t>
      </w:r>
      <w:proofErr w:type="spellStart"/>
      <w:r>
        <w:t>Woodhams</w:t>
      </w:r>
      <w:proofErr w:type="spellEnd"/>
      <w:r>
        <w:t xml:space="preserve"> (2022) further</w:t>
      </w:r>
      <w:r w:rsidR="000363B2">
        <w:t xml:space="preserve"> suggest that organisations who</w:t>
      </w:r>
      <w:r>
        <w:t xml:space="preserve"> actively engage in employer branding and recruitment campaigns to </w:t>
      </w:r>
      <w:r w:rsidR="003816D4">
        <w:t>highlight</w:t>
      </w:r>
      <w:r w:rsidR="000363B2">
        <w:t xml:space="preserve"> their unique selling points potentially</w:t>
      </w:r>
      <w:r>
        <w:t xml:space="preserve"> attract top talent.  These campaigns</w:t>
      </w:r>
      <w:r w:rsidR="00F20379">
        <w:t xml:space="preserve"> may include employer-sponsored events, participation in job fairs, and collaboration with educational institutes.</w:t>
      </w:r>
      <w:r>
        <w:t xml:space="preserve"> </w:t>
      </w:r>
    </w:p>
    <w:p w:rsidR="00FA015D" w:rsidRDefault="00FA015D" w:rsidP="00BF625B">
      <w:pPr>
        <w:pStyle w:val="Nornal"/>
      </w:pPr>
    </w:p>
    <w:p w:rsidR="00FA015D" w:rsidRDefault="00FA015D" w:rsidP="00FA015D">
      <w:pPr>
        <w:pStyle w:val="Nornal"/>
        <w:numPr>
          <w:ilvl w:val="0"/>
          <w:numId w:val="2"/>
        </w:numPr>
        <w:rPr>
          <w:b/>
        </w:rPr>
      </w:pPr>
      <w:r w:rsidRPr="00FA015D">
        <w:rPr>
          <w:b/>
        </w:rPr>
        <w:t>What is the impact of changing labour market conditions on resourcing decisions? (AC 1.2)</w:t>
      </w:r>
    </w:p>
    <w:p w:rsidR="00CA48A7" w:rsidRDefault="00CA48A7" w:rsidP="00CA48A7">
      <w:pPr>
        <w:pStyle w:val="Nornal"/>
        <w:ind w:left="720"/>
        <w:rPr>
          <w:b/>
        </w:rPr>
      </w:pPr>
    </w:p>
    <w:p w:rsidR="001574B8" w:rsidRDefault="001574B8" w:rsidP="001574B8">
      <w:pPr>
        <w:pStyle w:val="Nornal"/>
      </w:pPr>
      <w:r>
        <w:t>According to CIPD (</w:t>
      </w:r>
      <w:r w:rsidR="00C04A4B">
        <w:t>2022b),</w:t>
      </w:r>
      <w:r w:rsidR="00DF0A5F">
        <w:t xml:space="preserve"> the concept of tight and loose </w:t>
      </w:r>
      <w:r w:rsidR="008818BF">
        <w:t xml:space="preserve">labour markets </w:t>
      </w:r>
      <w:proofErr w:type="gramStart"/>
      <w:r w:rsidR="008818BF">
        <w:t>can be used</w:t>
      </w:r>
      <w:proofErr w:type="gramEnd"/>
      <w:r w:rsidR="008818BF">
        <w:t xml:space="preserve"> to examine the evolving labour market.</w:t>
      </w:r>
      <w:r>
        <w:t xml:space="preserve"> In tight labour markets, where unemployment rates are low, orga</w:t>
      </w:r>
      <w:r w:rsidR="00DF73CB">
        <w:t>nisations often face challenges</w:t>
      </w:r>
      <w:r>
        <w:t xml:space="preserve"> in attracting and retaining skilled workers.  This can </w:t>
      </w:r>
      <w:r>
        <w:lastRenderedPageBreak/>
        <w:t>necessitate the use of competitive employers branding strategies to differentiate themselves and attract</w:t>
      </w:r>
      <w:r w:rsidR="00C04A4B">
        <w:t xml:space="preserve"> top talent.  Additionally it has been</w:t>
      </w:r>
      <w:r>
        <w:t xml:space="preserve"> suggested that recruitment methods may need </w:t>
      </w:r>
      <w:r w:rsidR="00C76414">
        <w:t>to be adjusted to target passive job seekers and explore alternative talent pools.</w:t>
      </w:r>
    </w:p>
    <w:p w:rsidR="00C76414" w:rsidRDefault="00C76414" w:rsidP="001574B8">
      <w:pPr>
        <w:pStyle w:val="Nornal"/>
      </w:pPr>
    </w:p>
    <w:p w:rsidR="001574B8" w:rsidRDefault="00B778AC" w:rsidP="001574B8">
      <w:pPr>
        <w:pStyle w:val="Nornal"/>
      </w:pPr>
      <w:r>
        <w:t>Furthermore</w:t>
      </w:r>
      <w:r w:rsidR="00C76414">
        <w:t>, CIPD (2022b) suggest that in loose labour markets with high unemployment rates, organisations have a wider poo</w:t>
      </w:r>
      <w:r w:rsidR="00C96F34">
        <w:t>l of job seekers to choose fr</w:t>
      </w:r>
      <w:r>
        <w:t>om.  This can result in cost advantages and decreased competition for talent.  In such situations, resourcing decisions may focus on optimising recruitment methods to efficiently screen and select candidates, ensuring the right fit for the organisation.</w:t>
      </w:r>
    </w:p>
    <w:p w:rsidR="00B778AC" w:rsidRDefault="00B778AC" w:rsidP="001574B8">
      <w:pPr>
        <w:pStyle w:val="Nornal"/>
      </w:pPr>
      <w:r>
        <w:t>Moreover, analytical models like PES</w:t>
      </w:r>
      <w:r w:rsidR="001C4D4B">
        <w:t>TLE (Political, Economic, Social, Technological, Legal and Environmental) can aid in understanding labour market trends.  For instance, economic factors such as GDP growth or changes in minimum wage legislation can influence resourcing decisions.  Social factors, such as demographic shifts or changing workforce expectations, may require adjustments to employer branding and retention strategies (Battista, 2023).</w:t>
      </w:r>
    </w:p>
    <w:p w:rsidR="001C4D4B" w:rsidRDefault="001C4D4B" w:rsidP="001574B8">
      <w:pPr>
        <w:pStyle w:val="Nornal"/>
      </w:pPr>
      <w:r>
        <w:t>Further impacts could include resourcing decisions related to employer branding that aims to create a compelling image of an organisation as an employer of choice.</w:t>
      </w:r>
      <w:r w:rsidR="00C04A4B">
        <w:t xml:space="preserve">  Recruitment methods can include traditional methods like job boards and recruitment agencies, as well as utilising technology driven approaches such as social media and online platforms.  Retention strategies focus on creating an engaging work environment, offering competitive benefits, and providing opportunities for career development to retain valuable employees Peters (2022).</w:t>
      </w:r>
    </w:p>
    <w:p w:rsidR="0019395F" w:rsidRDefault="0019395F" w:rsidP="001574B8">
      <w:pPr>
        <w:pStyle w:val="Nornal"/>
      </w:pPr>
    </w:p>
    <w:p w:rsidR="0019395F" w:rsidRPr="0019395F" w:rsidRDefault="0019395F" w:rsidP="00947C45">
      <w:pPr>
        <w:pStyle w:val="Nornal"/>
        <w:numPr>
          <w:ilvl w:val="0"/>
          <w:numId w:val="2"/>
        </w:numPr>
        <w:rPr>
          <w:b/>
        </w:rPr>
      </w:pPr>
      <w:r w:rsidRPr="0019395F">
        <w:rPr>
          <w:b/>
        </w:rPr>
        <w:t xml:space="preserve">What is the role of government, employers and trade unions in ensuring future skills needs </w:t>
      </w:r>
      <w:proofErr w:type="gramStart"/>
      <w:r w:rsidRPr="0019395F">
        <w:rPr>
          <w:b/>
        </w:rPr>
        <w:t>are met</w:t>
      </w:r>
      <w:proofErr w:type="gramEnd"/>
      <w:r w:rsidRPr="0019395F">
        <w:rPr>
          <w:b/>
        </w:rPr>
        <w:t>? (AC 1.3)</w:t>
      </w:r>
    </w:p>
    <w:p w:rsidR="00FA015D" w:rsidRDefault="00FA015D" w:rsidP="00363A2D">
      <w:pPr>
        <w:pStyle w:val="Nornal"/>
      </w:pPr>
    </w:p>
    <w:p w:rsidR="00363A2D" w:rsidRDefault="00363A2D" w:rsidP="00363A2D">
      <w:pPr>
        <w:pStyle w:val="Nornal"/>
      </w:pPr>
      <w:r>
        <w:t xml:space="preserve">According to the research (UK Government, 2021), ensuring future skills needs are met requires collaboration between the government, employers, and trade unions.  The government plays a crucial </w:t>
      </w:r>
      <w:r w:rsidR="00B642AF">
        <w:t>role</w:t>
      </w:r>
      <w:r>
        <w:t xml:space="preserve"> in promoting skills development by implementing policies that address literacy, </w:t>
      </w:r>
      <w:r w:rsidR="00B642AF">
        <w:t>numeracy</w:t>
      </w:r>
      <w:r>
        <w:t xml:space="preserve">, and IT skills.  It provides funding and support for education and training </w:t>
      </w:r>
      <w:r w:rsidR="00B642AF">
        <w:t>initiatives, such as apprenticeship programs, to bridge the gap and meet the evolving demands of the labour market.</w:t>
      </w:r>
    </w:p>
    <w:p w:rsidR="008904BA" w:rsidRDefault="00B642AF" w:rsidP="00363A2D">
      <w:pPr>
        <w:pStyle w:val="Nornal"/>
      </w:pPr>
      <w:r>
        <w:t>Employers have a responsibility to identify their skills needs and development programs.  They play a pivotal role in providing training opportunities and upskilling their workforce to meet future demands.  By offering training programs and professional development opportunities, employers can enhance skills and competencies of their employees, thereby ensuring their organisation remain competitive (Crowley, 2022).</w:t>
      </w:r>
    </w:p>
    <w:p w:rsidR="008904BA" w:rsidRDefault="008904BA" w:rsidP="00363A2D">
      <w:pPr>
        <w:pStyle w:val="Nornal"/>
      </w:pPr>
      <w:r>
        <w:t>Furthermore, trade unions also play a significant role in advocating for the improvement and access to learning and training.  They negotiate with employers on behalf of workers to ensure fair and adequate training provisions.  Trade unions often include learning and development agendas in their collective bargaining agreements, ensuring that employees have opportunities for continuous skill enhancement and career progression (TUC, 2021).</w:t>
      </w:r>
    </w:p>
    <w:p w:rsidR="00BF625B" w:rsidRDefault="00596531" w:rsidP="00BF625B">
      <w:pPr>
        <w:pStyle w:val="Nornal"/>
      </w:pPr>
      <w:r>
        <w:lastRenderedPageBreak/>
        <w:t>Moreover and according to UK Government (2010), the collaboration with the government, employers and trade unions contribute to the development of policies and programs that address the needs of workers, promote lifelong learning, and improve access to training initi</w:t>
      </w:r>
      <w:r w:rsidR="00C10DFF">
        <w:t>atives.  They advocate for workers’ rights to training and ensure that employers fulfil their obligations in providing opportunities for skill development.</w:t>
      </w:r>
    </w:p>
    <w:p w:rsidR="001E3CC0" w:rsidRDefault="001E3CC0" w:rsidP="00BF625B">
      <w:pPr>
        <w:pStyle w:val="Nornal"/>
      </w:pPr>
    </w:p>
    <w:p w:rsidR="001E3CC0" w:rsidRDefault="001E3CC0" w:rsidP="00947C45">
      <w:pPr>
        <w:pStyle w:val="Nornal"/>
        <w:numPr>
          <w:ilvl w:val="0"/>
          <w:numId w:val="2"/>
        </w:numPr>
        <w:rPr>
          <w:b/>
        </w:rPr>
      </w:pPr>
      <w:r w:rsidRPr="001E3CC0">
        <w:rPr>
          <w:b/>
        </w:rPr>
        <w:t>I am new to people practice and have heard that workforce planning is important. Before I try to convince others of this, I welcome the views of someone with more experience. Could you analyse the impact of effective workforce planning? (AC 2.1)</w:t>
      </w:r>
    </w:p>
    <w:p w:rsidR="00CA48A7" w:rsidRDefault="00CA48A7" w:rsidP="00CA48A7">
      <w:pPr>
        <w:pStyle w:val="Nornal"/>
        <w:ind w:left="720"/>
        <w:rPr>
          <w:b/>
        </w:rPr>
      </w:pPr>
    </w:p>
    <w:p w:rsidR="00ED4C19" w:rsidRDefault="00ED4C19" w:rsidP="00106088">
      <w:pPr>
        <w:pStyle w:val="Nornal"/>
      </w:pPr>
      <w:r w:rsidRPr="00ED4C19">
        <w:t xml:space="preserve">According to </w:t>
      </w:r>
      <w:r>
        <w:t xml:space="preserve">Armstrong and Taylor (2020), effective workforce planning has a significant impact on organisations, helping to align their workforce with future demands and achieve strategic objectives.  Strategic objectives refer to the </w:t>
      </w:r>
      <w:r w:rsidR="00C043B5">
        <w:t>long-term</w:t>
      </w:r>
      <w:r>
        <w:t xml:space="preserve"> goals and outcomes that organisations aim to achieve to fulfil the mission and vis</w:t>
      </w:r>
      <w:r w:rsidR="00C043B5">
        <w:t xml:space="preserve">ion, examples of this could be </w:t>
      </w:r>
    </w:p>
    <w:p w:rsidR="00C043B5" w:rsidRDefault="00C043B5" w:rsidP="00C043B5">
      <w:pPr>
        <w:pStyle w:val="Nornal"/>
        <w:numPr>
          <w:ilvl w:val="0"/>
          <w:numId w:val="3"/>
        </w:numPr>
      </w:pPr>
      <w:r>
        <w:t>Business Growth, anticipating and preparing future growth by ensuring they have the right talent in the right positions</w:t>
      </w:r>
    </w:p>
    <w:p w:rsidR="00C043B5" w:rsidRDefault="00C043B5" w:rsidP="00C043B5">
      <w:pPr>
        <w:pStyle w:val="Nornal"/>
        <w:numPr>
          <w:ilvl w:val="0"/>
          <w:numId w:val="3"/>
        </w:numPr>
      </w:pPr>
      <w:r>
        <w:t>Cost optimisation, accurately forecasting labour demand, avoiding over or under staffing situations and reducing unnecessary recruitment or termination costs</w:t>
      </w:r>
    </w:p>
    <w:p w:rsidR="00C043B5" w:rsidRDefault="00C043B5" w:rsidP="00C043B5">
      <w:pPr>
        <w:pStyle w:val="Nornal"/>
        <w:numPr>
          <w:ilvl w:val="0"/>
          <w:numId w:val="3"/>
        </w:numPr>
      </w:pPr>
      <w:r>
        <w:t>Talent Development, identify skill gaps and develop appropriate training and development programs.</w:t>
      </w:r>
    </w:p>
    <w:p w:rsidR="00A95CC3" w:rsidRDefault="00C043B5" w:rsidP="00C043B5">
      <w:pPr>
        <w:pStyle w:val="Nornal"/>
      </w:pPr>
      <w:r>
        <w:t>According to George (</w:t>
      </w:r>
      <w:r w:rsidR="00A95CC3">
        <w:t>2022</w:t>
      </w:r>
      <w:r w:rsidR="004C279D">
        <w:t>b</w:t>
      </w:r>
      <w:r w:rsidR="00A95CC3">
        <w:t>),</w:t>
      </w:r>
      <w:r>
        <w:t xml:space="preserve"> forecast demand for labour is crucial for organisations to anticipate their future workforce needs.  By considering </w:t>
      </w:r>
      <w:r w:rsidR="00A95CC3">
        <w:t>factors such as business growth, market trends, and technological advancements, organisations can estimate the quantity and types of skills required.  This would then enable them to plan recruitment, training, and talent acquisition strategies accordingly.</w:t>
      </w:r>
    </w:p>
    <w:p w:rsidR="00A95CC3" w:rsidRDefault="00152B59" w:rsidP="00C043B5">
      <w:pPr>
        <w:pStyle w:val="Nornal"/>
      </w:pPr>
      <w:r>
        <w:t>Furthermore, George (2022</w:t>
      </w:r>
      <w:r w:rsidR="004C279D">
        <w:t>b</w:t>
      </w:r>
      <w:r>
        <w:t xml:space="preserve">) states that by forecasting the internal and external supply of labour involves assessing the existing workforce and analysing the availability of talent in the external labour market.  This includes evaluating factors like employee turnover, retirements, promotions, and external hiring trends. By understanding the internal talent pool and external labour market conditions, organisations can determine the feasibility of filling future workforce requirements. </w:t>
      </w:r>
    </w:p>
    <w:p w:rsidR="00152B59" w:rsidRDefault="00152B59" w:rsidP="00C043B5">
      <w:pPr>
        <w:pStyle w:val="Nornal"/>
      </w:pPr>
      <w:r>
        <w:t xml:space="preserve">Identifying and analysing gaps between supply and demand of labour is essential for effective workforce planning.  </w:t>
      </w:r>
      <w:r w:rsidR="00106088">
        <w:t>It helps organisations identify potential skills shortage or surpluses and take proactive measures to address them.  This could involve implementing training and development programs, adjusting recruitment strategies, or exploring alternative talent sources (</w:t>
      </w:r>
      <w:proofErr w:type="spellStart"/>
      <w:r w:rsidR="00106088">
        <w:t>Solano</w:t>
      </w:r>
      <w:proofErr w:type="spellEnd"/>
      <w:r w:rsidR="00106088">
        <w:t xml:space="preserve"> and </w:t>
      </w:r>
      <w:proofErr w:type="spellStart"/>
      <w:r w:rsidR="00106088">
        <w:t>Seto</w:t>
      </w:r>
      <w:proofErr w:type="spellEnd"/>
      <w:r w:rsidR="00106088">
        <w:t>, 2023).</w:t>
      </w:r>
    </w:p>
    <w:p w:rsidR="0053646B" w:rsidRDefault="0053646B" w:rsidP="00C043B5">
      <w:pPr>
        <w:pStyle w:val="Nornal"/>
      </w:pPr>
    </w:p>
    <w:p w:rsidR="0053646B" w:rsidRDefault="0053646B" w:rsidP="00947C45">
      <w:pPr>
        <w:pStyle w:val="Nornal"/>
        <w:numPr>
          <w:ilvl w:val="0"/>
          <w:numId w:val="2"/>
        </w:numPr>
        <w:rPr>
          <w:b/>
        </w:rPr>
      </w:pPr>
      <w:r w:rsidRPr="0053646B">
        <w:rPr>
          <w:b/>
        </w:rPr>
        <w:t xml:space="preserve">I want to introduce workforce planning in my organisation but </w:t>
      </w:r>
      <w:proofErr w:type="gramStart"/>
      <w:r w:rsidRPr="0053646B">
        <w:rPr>
          <w:b/>
        </w:rPr>
        <w:t>I’m</w:t>
      </w:r>
      <w:proofErr w:type="gramEnd"/>
      <w:r w:rsidRPr="0053646B">
        <w:rPr>
          <w:b/>
        </w:rPr>
        <w:t xml:space="preserve"> unsure which technique/s to use. Could you evaluate the techniques used to support the process of workforce planning? (AC 2.2)</w:t>
      </w:r>
    </w:p>
    <w:p w:rsidR="0053646B" w:rsidRDefault="00510DAE" w:rsidP="0053646B">
      <w:pPr>
        <w:pStyle w:val="Nornal"/>
      </w:pPr>
      <w:r>
        <w:lastRenderedPageBreak/>
        <w:t>According to George (</w:t>
      </w:r>
      <w:r w:rsidR="00947C45">
        <w:t>2022),</w:t>
      </w:r>
      <w:r>
        <w:t xml:space="preserve"> f</w:t>
      </w:r>
      <w:r w:rsidR="0053646B" w:rsidRPr="0053646B">
        <w:t>or</w:t>
      </w:r>
      <w:r w:rsidR="0053646B">
        <w:t xml:space="preserve">ecasting demand is a common technique used to estimate future labour requirements.  It involves </w:t>
      </w:r>
      <w:r>
        <w:t>analysing historical data trends, market conditions, business projections, and anticipated changes to determine the quantity and types of skills needed.  By considering internal and external factors, organisations can make accurate predictions about their future workforce needs.  Working back from costs is another approach used in workforce planning.  It involves determining the desired level of investment in the workforce and then developing a plan to meet that target within allocated budget constraints.  This technique helps organisations to align their workforce plans with financial considerations while ensuring they have the resources necessary to achieve strategic objectives.</w:t>
      </w:r>
    </w:p>
    <w:p w:rsidR="00510DAE" w:rsidRDefault="00510DAE" w:rsidP="0053646B">
      <w:pPr>
        <w:pStyle w:val="Nornal"/>
      </w:pPr>
      <w:r>
        <w:t xml:space="preserve">Furthermore and according to Taylor and </w:t>
      </w:r>
      <w:proofErr w:type="spellStart"/>
      <w:r>
        <w:t>Woodhams</w:t>
      </w:r>
      <w:proofErr w:type="spellEnd"/>
      <w:r>
        <w:t xml:space="preserve"> (2022), systematic approaches, such as scenario planning </w:t>
      </w:r>
      <w:r w:rsidR="00B83EE0">
        <w:t>and workforce modelling, are employed to support workforce planning.  Scenario planning allows organisations to explore various future scenarios and their potential impact on labour requirements.  Workforce modelling involves using mathematical models and simulations to analyse different workforce scenarios and optimise workforce composition and deployment.</w:t>
      </w:r>
    </w:p>
    <w:p w:rsidR="0057204D" w:rsidRDefault="0057204D" w:rsidP="0053646B">
      <w:pPr>
        <w:pStyle w:val="Nornal"/>
      </w:pPr>
      <w:r>
        <w:t>Data analysis plays a crucial role in forecasting labour supply.  Organisations use historical data, employee records, talent management systems, and external labour</w:t>
      </w:r>
      <w:r w:rsidR="00B728B6">
        <w:t xml:space="preserve"> market data to assess the availability of skills both internally and externally.  Data driven approaches enable organisations to identify talent gaps, predict attrition rates, and develop targeted strategies</w:t>
      </w:r>
      <w:r w:rsidR="0032598C">
        <w:t xml:space="preserve"> for target acquisitions and development (PWC, 2016).</w:t>
      </w:r>
    </w:p>
    <w:p w:rsidR="0032598C" w:rsidRPr="0053646B" w:rsidRDefault="0032598C" w:rsidP="0053646B">
      <w:pPr>
        <w:pStyle w:val="Nornal"/>
      </w:pPr>
      <w:r>
        <w:t>According to Peters (2023) employment turnover rate analysis helps organisations understand the rate at which the employees leave the organisation and the reasons behind their departures.  Critical incident analysis involves examining significant workforce events or incidents to identify patterns and trends that can inform workforce planning decisions.</w:t>
      </w:r>
    </w:p>
    <w:p w:rsidR="0053646B" w:rsidRDefault="0053646B" w:rsidP="00C043B5">
      <w:pPr>
        <w:pStyle w:val="Nornal"/>
      </w:pPr>
    </w:p>
    <w:p w:rsidR="00744117" w:rsidRDefault="00744117" w:rsidP="00947C45">
      <w:pPr>
        <w:pStyle w:val="Nornal"/>
        <w:numPr>
          <w:ilvl w:val="0"/>
          <w:numId w:val="2"/>
        </w:numPr>
        <w:rPr>
          <w:b/>
        </w:rPr>
      </w:pPr>
      <w:r w:rsidRPr="00744117">
        <w:rPr>
          <w:b/>
        </w:rPr>
        <w:t>Could you explain two approaches to succession and contingency planning aimed at mitigating workforce risks? (AC 2.3)</w:t>
      </w:r>
    </w:p>
    <w:p w:rsidR="00744117" w:rsidRDefault="00744117" w:rsidP="00744117">
      <w:pPr>
        <w:pStyle w:val="Nornal"/>
        <w:rPr>
          <w:b/>
        </w:rPr>
      </w:pPr>
    </w:p>
    <w:p w:rsidR="00453AA0" w:rsidRDefault="009356E4" w:rsidP="00744117">
      <w:pPr>
        <w:pStyle w:val="Nornal"/>
      </w:pPr>
      <w:r w:rsidRPr="009356E4">
        <w:t xml:space="preserve">One </w:t>
      </w:r>
      <w:r>
        <w:t xml:space="preserve">approach to succession planning is the development of talent pools.  This involves identifying </w:t>
      </w:r>
      <w:r w:rsidR="00A7074C">
        <w:t>high potential employees within an organisation and nurturing their skills and capabilities for future leadership positions. Talent pools can be created through various methods such as identifying individuals through performance appraisals, assessing their interest in progression, and evaluating their curren</w:t>
      </w:r>
      <w:r w:rsidR="00AF75DC">
        <w:t>t abilities whilst having the potential to take on higher-level roles.  Moving forward the organisation could assess their current abilities and providing them with development plans tailored to their needs can help prepare them for future leadership positions, reducing the risk of talent gaps.  In addition to this</w:t>
      </w:r>
      <w:r w:rsidR="00A7074C">
        <w:t xml:space="preserve"> building individual development plans that focus on enhancing knowledge, skills, and behaviour, organisations can ensure a pipeline of qualified internal candidates to fill key roles when needed (George, 2022a).</w:t>
      </w:r>
    </w:p>
    <w:p w:rsidR="00A7074C" w:rsidRDefault="00A7074C" w:rsidP="00744117">
      <w:pPr>
        <w:pStyle w:val="Nornal"/>
      </w:pPr>
      <w:r>
        <w:t xml:space="preserve">Furthermore, balancing internal progression with external candidates brings fresh perspectives and ideas into the organisation.  While internal candidates have a deep understanding </w:t>
      </w:r>
      <w:r w:rsidR="00D05C75">
        <w:t xml:space="preserve">of the company culture and operations, external candidates may bring diverse experiences and innovative thinking.  Organisations can leverage external recruitment strategies, such as targeted job advertisements, talent acquisition agencies, and industry </w:t>
      </w:r>
      <w:r w:rsidR="00D05C75">
        <w:lastRenderedPageBreak/>
        <w:t>networking, to attract external candidates who can contribute new ideas and skills to the organisation.  This approach helps to mitigate risks associated with potential skill gaps and limited internal talent availability (Armstrong and Taylor, 2020).</w:t>
      </w:r>
    </w:p>
    <w:p w:rsidR="00D05C75" w:rsidRDefault="00D05C75" w:rsidP="00744117">
      <w:pPr>
        <w:pStyle w:val="Nornal"/>
      </w:pPr>
      <w:r>
        <w:t xml:space="preserve">Moreover, if the organisation were to adopt both approaches, they can create a comprehensive succession and contingency plan that mitigates workforce risks.  It also ensures a </w:t>
      </w:r>
      <w:r w:rsidR="00AF75DC">
        <w:t>continuous talent</w:t>
      </w:r>
      <w:r>
        <w:t xml:space="preserve"> pipeline from with the </w:t>
      </w:r>
      <w:r w:rsidR="004E322D">
        <w:t>organisation</w:t>
      </w:r>
      <w:r>
        <w:t xml:space="preserve"> while also considering the need for fresh perspective and skills from </w:t>
      </w:r>
      <w:r w:rsidR="004E322D">
        <w:t>external sources</w:t>
      </w:r>
      <w:r w:rsidR="004E322D" w:rsidRPr="004E322D">
        <w:t xml:space="preserve"> </w:t>
      </w:r>
      <w:r w:rsidR="004E322D">
        <w:t>(SHRM, 2019).</w:t>
      </w:r>
    </w:p>
    <w:p w:rsidR="005053EE" w:rsidRDefault="005053EE" w:rsidP="00744117">
      <w:pPr>
        <w:pStyle w:val="Nornal"/>
      </w:pPr>
    </w:p>
    <w:p w:rsidR="005053EE" w:rsidRDefault="005053EE" w:rsidP="00403434">
      <w:pPr>
        <w:pStyle w:val="Nornal"/>
        <w:numPr>
          <w:ilvl w:val="0"/>
          <w:numId w:val="2"/>
        </w:numPr>
        <w:rPr>
          <w:b/>
        </w:rPr>
      </w:pPr>
      <w:r w:rsidRPr="005053EE">
        <w:rPr>
          <w:b/>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CA48A7" w:rsidRDefault="00CA48A7" w:rsidP="00CA48A7">
      <w:pPr>
        <w:pStyle w:val="Nornal"/>
        <w:ind w:left="720"/>
        <w:rPr>
          <w:b/>
        </w:rPr>
      </w:pPr>
    </w:p>
    <w:p w:rsidR="00C65F8D" w:rsidRDefault="00C65F8D" w:rsidP="00C65F8D">
      <w:pPr>
        <w:pStyle w:val="Nornal"/>
      </w:pPr>
      <w:r>
        <w:t xml:space="preserve">According to </w:t>
      </w:r>
      <w:proofErr w:type="gramStart"/>
      <w:r w:rsidR="00E27D08">
        <w:t>SHRM</w:t>
      </w:r>
      <w:proofErr w:type="gramEnd"/>
      <w:r w:rsidR="00E27D08">
        <w:t xml:space="preserve"> (</w:t>
      </w:r>
      <w:proofErr w:type="spellStart"/>
      <w:r w:rsidR="00E27D08">
        <w:t>n.d.</w:t>
      </w:r>
      <w:proofErr w:type="spellEnd"/>
      <w:r w:rsidR="00E27D08">
        <w:t>)</w:t>
      </w:r>
      <w:r>
        <w:t xml:space="preserve"> </w:t>
      </w:r>
      <w:r w:rsidR="001249DB">
        <w:t>one</w:t>
      </w:r>
      <w:r w:rsidRPr="00C65F8D">
        <w:t xml:space="preserve"> </w:t>
      </w:r>
      <w:r>
        <w:t xml:space="preserve">commonly used recruitment method is advertising vacancies on an organisations website.  The strengths of this method include cost effectiveness, wide reach, and the ability </w:t>
      </w:r>
      <w:r w:rsidR="00E27D08">
        <w:t>to attract</w:t>
      </w:r>
      <w:r>
        <w:t xml:space="preserve"> candidates who are specifically interested in working for the organisation.  However, it may limit the diversity and number of applicants, as it relies on individuals actively seeking job </w:t>
      </w:r>
      <w:r w:rsidR="00E27D08">
        <w:t>opportunities</w:t>
      </w:r>
      <w:r>
        <w:t xml:space="preserve"> on the company’s website</w:t>
      </w:r>
      <w:r w:rsidR="00E27D08">
        <w:t>.</w:t>
      </w:r>
    </w:p>
    <w:p w:rsidR="00E27D08" w:rsidRDefault="00E27D08" w:rsidP="00C65F8D">
      <w:pPr>
        <w:pStyle w:val="Nornal"/>
      </w:pPr>
      <w:r>
        <w:t>In addition to this and according to (McCartney, 2022) an alternative recruitment method is using job boards or online job portal.  This approach expands the reach to a larger pool of potential candidates who actively search for job opportunities.  It offers a wider geographical coverage and increases the chances of attracting diverse talent.  However, it can time-consuming to sort through a large number of applications, and there is a risk of receiving applications from unqualified candidates.</w:t>
      </w:r>
    </w:p>
    <w:p w:rsidR="00E27D08" w:rsidRDefault="00E27D08" w:rsidP="00C65F8D">
      <w:pPr>
        <w:pStyle w:val="Nornal"/>
      </w:pPr>
      <w:r>
        <w:t xml:space="preserve">An alternative selection method is the use of psychometric assessments.  These assessments provide objective data on a candidate’s cognitive abilities, personality traits, and skills.  They can be tailored to specific job requirements and provide a standardised evaluation process.  However, psychometric assessments should be used in conjunction with other selection methods, as they not capture all aspects of the </w:t>
      </w:r>
      <w:r w:rsidR="001249DB">
        <w:t>candidate’s</w:t>
      </w:r>
      <w:r>
        <w:t xml:space="preserve"> suitability </w:t>
      </w:r>
      <w:r w:rsidR="001249DB">
        <w:t>for the role (</w:t>
      </w:r>
      <w:proofErr w:type="spellStart"/>
      <w:r w:rsidR="001249DB">
        <w:t>Pulakos</w:t>
      </w:r>
      <w:proofErr w:type="spellEnd"/>
      <w:r w:rsidR="001249DB">
        <w:t>, 2005).</w:t>
      </w:r>
    </w:p>
    <w:p w:rsidR="001249DB" w:rsidRDefault="001249DB" w:rsidP="00C65F8D">
      <w:pPr>
        <w:pStyle w:val="Nornal"/>
      </w:pPr>
      <w:r>
        <w:t xml:space="preserve">According to Taylor and </w:t>
      </w:r>
      <w:proofErr w:type="spellStart"/>
      <w:r>
        <w:t>Woodhams</w:t>
      </w:r>
      <w:proofErr w:type="spellEnd"/>
      <w:r>
        <w:t xml:space="preserve"> (2022) by considering alternative </w:t>
      </w:r>
      <w:r w:rsidR="00403434">
        <w:t>recruitment</w:t>
      </w:r>
      <w:r>
        <w:t xml:space="preserve"> methods such as job boards and leveraging selection methods link psychometric assessments, organisations can enhance the </w:t>
      </w:r>
      <w:r w:rsidR="006B0ECD">
        <w:t>effectiveness and objectivity of their recruitment and selection processes.</w:t>
      </w:r>
      <w:r>
        <w:t xml:space="preserve"> </w:t>
      </w:r>
    </w:p>
    <w:p w:rsidR="00745A29" w:rsidRDefault="00745A29" w:rsidP="00C65F8D">
      <w:pPr>
        <w:pStyle w:val="Nornal"/>
      </w:pPr>
    </w:p>
    <w:p w:rsidR="00745A29" w:rsidRDefault="00745A29" w:rsidP="00745A29">
      <w:pPr>
        <w:pStyle w:val="Nornal"/>
        <w:ind w:left="720"/>
        <w:rPr>
          <w:b/>
        </w:rPr>
      </w:pPr>
      <w:r w:rsidRPr="00745A29">
        <w:rPr>
          <w:b/>
        </w:rPr>
        <w:t xml:space="preserve">8. I am aware employee turnover rates vary from one organisation to another but what turnover </w:t>
      </w:r>
      <w:r w:rsidRPr="00745A29">
        <w:rPr>
          <w:b/>
          <w:bCs/>
        </w:rPr>
        <w:t>and</w:t>
      </w:r>
      <w:r w:rsidRPr="00745A29">
        <w:rPr>
          <w:b/>
        </w:rPr>
        <w:t xml:space="preserve"> retention trends exist </w:t>
      </w:r>
      <w:r w:rsidRPr="00745A29">
        <w:rPr>
          <w:b/>
          <w:bCs/>
        </w:rPr>
        <w:t>and</w:t>
      </w:r>
      <w:r w:rsidRPr="00745A29">
        <w:rPr>
          <w:b/>
        </w:rPr>
        <w:t xml:space="preserve"> what factors influence why people choose to leave or </w:t>
      </w:r>
      <w:proofErr w:type="gramStart"/>
      <w:r w:rsidRPr="00745A29">
        <w:rPr>
          <w:b/>
        </w:rPr>
        <w:t>remain?</w:t>
      </w:r>
      <w:proofErr w:type="gramEnd"/>
      <w:r w:rsidRPr="00745A29">
        <w:rPr>
          <w:b/>
        </w:rPr>
        <w:t xml:space="preserve"> (AC 3.1)</w:t>
      </w:r>
    </w:p>
    <w:p w:rsidR="009C2B89" w:rsidRDefault="009C2B89" w:rsidP="00745A29">
      <w:pPr>
        <w:pStyle w:val="Nornal"/>
        <w:ind w:left="720"/>
        <w:rPr>
          <w:b/>
        </w:rPr>
      </w:pPr>
    </w:p>
    <w:p w:rsidR="009C2B89" w:rsidRDefault="009C2B89" w:rsidP="009C2B89">
      <w:pPr>
        <w:pStyle w:val="Nornal"/>
      </w:pPr>
      <w:r w:rsidRPr="009C2B89">
        <w:t xml:space="preserve">According </w:t>
      </w:r>
      <w:r>
        <w:t xml:space="preserve">to Allen, Bryant and </w:t>
      </w:r>
      <w:proofErr w:type="spellStart"/>
      <w:r>
        <w:t>Vardaman</w:t>
      </w:r>
      <w:proofErr w:type="spellEnd"/>
      <w:r>
        <w:t xml:space="preserve"> (2010) turnover trends indicate that voluntary turnover (employee leaving by choice) tends to be more prevalent than involuntary turnover (employees leaving due to circumstances beyond their control).  Voluntary turnover can be </w:t>
      </w:r>
      <w:r>
        <w:lastRenderedPageBreak/>
        <w:t>influenced by push and pull factors.  Push factors are internal to the individual, such as job dissatisfaction or lack of career growth, while pull factors are external, such as better job opportunities or higher pay elsewhere.  In contrast, involuntary turnover may result from factors like organisational restructuring, layoffs, or job redundancy.</w:t>
      </w:r>
    </w:p>
    <w:p w:rsidR="009C2B89" w:rsidRDefault="009C2B89" w:rsidP="009C2B89">
      <w:pPr>
        <w:pStyle w:val="Nornal"/>
      </w:pPr>
      <w:r>
        <w:t>Furthermore, Peters (2023)</w:t>
      </w:r>
      <w:r w:rsidR="00A756E5">
        <w:t xml:space="preserve"> states that ethical issues and cultural expectations also </w:t>
      </w:r>
      <w:proofErr w:type="gramStart"/>
      <w:r w:rsidR="00A756E5">
        <w:t>impact</w:t>
      </w:r>
      <w:proofErr w:type="gramEnd"/>
      <w:r w:rsidR="00A756E5">
        <w:t xml:space="preserve"> the turnover rates.  Employees are more likely to leave organisations that exhibit unethical practices or do not align with their personal values. Similarly, cultural expectations, such as inclusivity, diversity, and work life balance, can influence employees’ decisions to stay or leave. According to research (</w:t>
      </w:r>
      <w:proofErr w:type="spellStart"/>
      <w:r w:rsidR="00A756E5">
        <w:t>Deci</w:t>
      </w:r>
      <w:proofErr w:type="spellEnd"/>
      <w:r w:rsidR="00A756E5">
        <w:t xml:space="preserve"> and Ryan, 2000) state that motivational issues play a crucial role in turnover.  Employees who lack intrinsic</w:t>
      </w:r>
      <w:r w:rsidR="003D0BE9">
        <w:t xml:space="preserve"> motivation or feel disconnected from their work are more likely to seek alternative employment.  Providing meaningful work, opportunities for growth, and a positive work environment can enhance motivation and reduce turnover.</w:t>
      </w:r>
      <w:r w:rsidR="00A756E5">
        <w:t xml:space="preserve"> </w:t>
      </w:r>
    </w:p>
    <w:p w:rsidR="003D0BE9" w:rsidRDefault="003D0BE9" w:rsidP="009C2B89">
      <w:pPr>
        <w:pStyle w:val="Nornal"/>
      </w:pPr>
      <w:r>
        <w:t>Moreover, Peters (2023) states that management style as another critical factor.  Employees are more likely to stay in organisations where they have supportive managers who provide guidance, recognition, and opportunities for development.  Alternatively, poor management can lead to increased turnover.</w:t>
      </w:r>
    </w:p>
    <w:p w:rsidR="003D0BE9" w:rsidRDefault="003D0BE9" w:rsidP="009C2B89">
      <w:pPr>
        <w:pStyle w:val="Nornal"/>
      </w:pPr>
      <w:r>
        <w:t>Analysing stability and cohort trends is essential for understanding turnover patterns.  Stability analysis examines turnover rates over time, identifying trends and patterns.  Cohort analysis helps identify factors that influence turnover</w:t>
      </w:r>
      <w:r w:rsidR="00B008CE">
        <w:t xml:space="preserve"> with specific groups, such as age cohorts or job roles.  This analysis can provide valuable insights for organisations aiming to reduce turnover and retain talent (Armstrong and Taylor, 2020).</w:t>
      </w:r>
    </w:p>
    <w:p w:rsidR="00611AAB" w:rsidRDefault="00611AAB" w:rsidP="009C2B89">
      <w:pPr>
        <w:pStyle w:val="Nornal"/>
      </w:pPr>
    </w:p>
    <w:p w:rsidR="007E2B5F" w:rsidRDefault="007E2B5F" w:rsidP="00403434">
      <w:pPr>
        <w:pStyle w:val="Nornal"/>
        <w:numPr>
          <w:ilvl w:val="0"/>
          <w:numId w:val="8"/>
        </w:numPr>
        <w:rPr>
          <w:b/>
        </w:rPr>
      </w:pPr>
      <w:r w:rsidRPr="007E2B5F">
        <w:rPr>
          <w:b/>
        </w:rPr>
        <w:t xml:space="preserve">I want to compare different approaches to developing and retaining talent on an individual and group </w:t>
      </w:r>
      <w:proofErr w:type="gramStart"/>
      <w:r w:rsidRPr="007E2B5F">
        <w:rPr>
          <w:b/>
        </w:rPr>
        <w:t>level?</w:t>
      </w:r>
      <w:proofErr w:type="gramEnd"/>
      <w:r w:rsidRPr="007E2B5F">
        <w:rPr>
          <w:b/>
        </w:rPr>
        <w:t xml:space="preserve"> Could you give me some pointers? (AC 3.2)</w:t>
      </w:r>
    </w:p>
    <w:p w:rsidR="00323DA1" w:rsidRDefault="00323DA1" w:rsidP="007E2B5F">
      <w:pPr>
        <w:pStyle w:val="Nornal"/>
        <w:rPr>
          <w:b/>
        </w:rPr>
      </w:pPr>
    </w:p>
    <w:p w:rsidR="00E502E1" w:rsidRDefault="00323DA1" w:rsidP="007E2B5F">
      <w:pPr>
        <w:pStyle w:val="Nornal"/>
      </w:pPr>
      <w:r w:rsidRPr="00323DA1">
        <w:t>According</w:t>
      </w:r>
      <w:r>
        <w:t xml:space="preserve"> to Peters (2023), talent can be defined as individuals who possess exceptional skills, capabilities, and potential to make significant contributions to an organisation.  On an individual level, performance appraisal plays a crucial role.  Regular feedback and performance discussions</w:t>
      </w:r>
      <w:r w:rsidR="00347C49">
        <w:t xml:space="preserve"> help identify individual strengths and areas of development.  This enables targeted training and development interventions to enhance skills and competencies.  Training and development programmes provide employees with opportunities to acquire new skills, enhance their knowledge and grow in their roles.  This can be done through formal training sessions, coach</w:t>
      </w:r>
      <w:r w:rsidR="00E502E1">
        <w:t xml:space="preserve">ing, mentoring, or job rotation (Allen, Bryant and </w:t>
      </w:r>
      <w:proofErr w:type="spellStart"/>
      <w:r w:rsidR="00E502E1">
        <w:t>Vardaman</w:t>
      </w:r>
      <w:proofErr w:type="spellEnd"/>
      <w:r w:rsidR="00E502E1">
        <w:t>, 2018).</w:t>
      </w:r>
    </w:p>
    <w:p w:rsidR="004B412A" w:rsidRDefault="00E502E1" w:rsidP="007E2B5F">
      <w:pPr>
        <w:pStyle w:val="Nornal"/>
      </w:pPr>
      <w:r>
        <w:t xml:space="preserve">Lateral moves or job rotations are effective approaches to talent development and retention.  By providing employees with opportunities to work in different roles or departments, organisations can broaden their skills, knowledge, and perspectives.  Lateral moves also help retain talent by offering career progression without requiring employees to leave the organisation </w:t>
      </w:r>
      <w:r w:rsidR="004B412A">
        <w:t>(</w:t>
      </w:r>
      <w:proofErr w:type="spellStart"/>
      <w:r w:rsidR="004B412A">
        <w:t>Gamba</w:t>
      </w:r>
      <w:proofErr w:type="spellEnd"/>
      <w:r w:rsidR="004B412A">
        <w:t xml:space="preserve"> </w:t>
      </w:r>
      <w:proofErr w:type="spellStart"/>
      <w:r w:rsidR="004B412A">
        <w:t>Quilliam</w:t>
      </w:r>
      <w:proofErr w:type="spellEnd"/>
      <w:r w:rsidR="004B412A">
        <w:t xml:space="preserve">, 2023).  Flexible working arrangements and work-life balance initiatives are increasingly import in talent retention.  Offering flexible schedules, remote work options, and policies that support work life balance can improve employee satisfaction, well-being, and loyalty (Allen, Bryant and </w:t>
      </w:r>
      <w:proofErr w:type="spellStart"/>
      <w:r w:rsidR="004B412A">
        <w:t>Vardaman</w:t>
      </w:r>
      <w:proofErr w:type="spellEnd"/>
      <w:r w:rsidR="004B412A">
        <w:t xml:space="preserve">, 2018).  Organisations that prioritise workplace characteristics such as positive cultures, supportive environment, and </w:t>
      </w:r>
      <w:r w:rsidR="004B412A">
        <w:lastRenderedPageBreak/>
        <w:t>opportunities for autonomy and collaboration tend to attract and retain talented individuals (CIPD, 2021).</w:t>
      </w:r>
    </w:p>
    <w:p w:rsidR="009A6FEB" w:rsidRDefault="009A6FEB" w:rsidP="007E2B5F">
      <w:pPr>
        <w:pStyle w:val="Nornal"/>
      </w:pPr>
      <w:r>
        <w:t xml:space="preserve">Furthermore, it has been suggested that fair and equitable reward systems are critical for talent retention.  Providing competitive salaries, benefits, and recognition programs helps ensure that employees feel valued and </w:t>
      </w:r>
      <w:r w:rsidR="002446D1">
        <w:t>fairly compensated</w:t>
      </w:r>
      <w:r>
        <w:t xml:space="preserve"> for their contribution.  Career breaks or sabbaticals can also be offered to retain talent by providing opportunities for</w:t>
      </w:r>
      <w:r w:rsidR="002446D1">
        <w:t xml:space="preserve"> personal growth, rejuvenation, and avoiding burnout (Kumar, 2021).</w:t>
      </w:r>
    </w:p>
    <w:p w:rsidR="007A3251" w:rsidRDefault="002446D1" w:rsidP="007E2B5F">
      <w:pPr>
        <w:pStyle w:val="Nornal"/>
      </w:pPr>
      <w:r>
        <w:t>Moreover</w:t>
      </w:r>
      <w:r w:rsidR="002D26F9">
        <w:t>,</w:t>
      </w:r>
      <w:r>
        <w:t xml:space="preserve"> </w:t>
      </w:r>
      <w:r w:rsidR="002D26F9">
        <w:t xml:space="preserve">(Taylor, </w:t>
      </w:r>
      <w:r>
        <w:t>2018)</w:t>
      </w:r>
      <w:r w:rsidR="002D26F9">
        <w:t xml:space="preserve"> suggests that job enrichment is another approach to talent development and retention.  By expanding the scope of employees’ roles and responsibilities, organisations can provide challenging and meaningful work experiences, which in turn can enhance job satisfaction, engagement and retention.</w:t>
      </w:r>
    </w:p>
    <w:p w:rsidR="002D26F9" w:rsidRDefault="002D26F9" w:rsidP="007E2B5F">
      <w:pPr>
        <w:pStyle w:val="Nornal"/>
      </w:pPr>
    </w:p>
    <w:p w:rsidR="002D26F9" w:rsidRDefault="002D26F9" w:rsidP="002D26F9">
      <w:pPr>
        <w:pStyle w:val="Nornal"/>
        <w:rPr>
          <w:b/>
        </w:rPr>
      </w:pPr>
      <w:r>
        <w:rPr>
          <w:b/>
        </w:rPr>
        <w:t xml:space="preserve">10. </w:t>
      </w:r>
      <w:r w:rsidRPr="002D26F9">
        <w:rPr>
          <w:b/>
        </w:rPr>
        <w:t>Could you evaluate approaches that an organisation can take to build and support different talent pools? (AC 3.3)</w:t>
      </w:r>
    </w:p>
    <w:p w:rsidR="002D26F9" w:rsidRPr="002D26F9" w:rsidRDefault="002D26F9" w:rsidP="002D26F9">
      <w:pPr>
        <w:pStyle w:val="Nornal"/>
        <w:rPr>
          <w:b/>
        </w:rPr>
      </w:pPr>
    </w:p>
    <w:p w:rsidR="002D26F9" w:rsidRDefault="0054340A" w:rsidP="007E2B5F">
      <w:pPr>
        <w:pStyle w:val="Nornal"/>
      </w:pPr>
      <w:r>
        <w:t xml:space="preserve">According to </w:t>
      </w:r>
      <w:proofErr w:type="spellStart"/>
      <w:r>
        <w:t>Gamba</w:t>
      </w:r>
      <w:proofErr w:type="spellEnd"/>
      <w:r>
        <w:t xml:space="preserve"> </w:t>
      </w:r>
      <w:proofErr w:type="spellStart"/>
      <w:r>
        <w:t>Quilliam</w:t>
      </w:r>
      <w:proofErr w:type="spellEnd"/>
      <w:r>
        <w:t xml:space="preserve"> (2023), talent pools refer to groups of individuals with specific skills, competencies, or potential for future roles within an organisation.</w:t>
      </w:r>
    </w:p>
    <w:p w:rsidR="00123157" w:rsidRDefault="0054340A" w:rsidP="007E2B5F">
      <w:pPr>
        <w:pStyle w:val="Nornal"/>
      </w:pPr>
      <w:r>
        <w:t>Inclusive recruitment and selection practices are crucial for building diverse talent pools.  Organisations can implement strategies to attract candidates from diverse backgrounds, ensure unbiased selection processes, and promote equal opportunities.  This can include dive</w:t>
      </w:r>
      <w:r w:rsidR="00123157">
        <w:t>rse sourcing channels, implementing blind recruitment techniques, and establishing clear diversity and inclusion goals (ACAS, 2021).</w:t>
      </w:r>
    </w:p>
    <w:p w:rsidR="00123157" w:rsidRDefault="00123157" w:rsidP="007E2B5F">
      <w:pPr>
        <w:pStyle w:val="Nornal"/>
      </w:pPr>
      <w:r>
        <w:t xml:space="preserve">Learning and development initiatives are seen to play a significant role in building talent pools.  Coaching and mentoring programs can be established to provide guidance, support and skill development opportunities for high potential individuals.  These </w:t>
      </w:r>
      <w:r w:rsidR="00EE4B83">
        <w:t>programs help nurture and develop talent, preparing them for future leadership roles within an organisation (</w:t>
      </w:r>
      <w:proofErr w:type="spellStart"/>
      <w:r w:rsidR="00EE4B83">
        <w:t>Gamba</w:t>
      </w:r>
      <w:proofErr w:type="spellEnd"/>
      <w:r w:rsidR="00EE4B83">
        <w:t xml:space="preserve"> </w:t>
      </w:r>
      <w:proofErr w:type="spellStart"/>
      <w:r w:rsidR="00EE4B83">
        <w:t>Quilliam</w:t>
      </w:r>
      <w:proofErr w:type="spellEnd"/>
      <w:r w:rsidR="00EE4B83">
        <w:t xml:space="preserve">, 2023). </w:t>
      </w:r>
    </w:p>
    <w:p w:rsidR="00044A0E" w:rsidRDefault="00EE4B83" w:rsidP="007E2B5F">
      <w:pPr>
        <w:pStyle w:val="Nornal"/>
      </w:pPr>
      <w:r>
        <w:t>Furthermore, (ACAS, 2021) state that performance reviews are valuable for identifying and assessing talent within an organisation.  Regular performance discussions and evaluations enable organisations to identify high performing individuals and determine their potential for future roles.  Performance reviews can inform decisions related to talent development, succession planning, and career progression.</w:t>
      </w:r>
      <w:r w:rsidR="00EA53E9">
        <w:t xml:space="preserve"> </w:t>
      </w:r>
    </w:p>
    <w:p w:rsidR="00EE4B83" w:rsidRDefault="00EA53E9" w:rsidP="007E2B5F">
      <w:pPr>
        <w:pStyle w:val="Nornal"/>
      </w:pPr>
      <w:r>
        <w:t xml:space="preserve"> Analytical tools and data driven approaches are increasingly utilised to build and support talent pools.  Organisations can leverage talent analytics to identify skills gaps, succession planning needs, and areas where talent development efforts should be focussed.  These tools help inform talent management strategies and enable evidence-based decision-making. By using and evaluating these approaches, organisations can identify, nurture and develop talent, ensuring a strong pipeline of individuals ready to take on key roles and contribute to the success of the organisation (</w:t>
      </w:r>
      <w:proofErr w:type="spellStart"/>
      <w:r>
        <w:t>Gamba</w:t>
      </w:r>
      <w:proofErr w:type="spellEnd"/>
      <w:r>
        <w:t xml:space="preserve"> </w:t>
      </w:r>
      <w:proofErr w:type="spellStart"/>
      <w:r>
        <w:t>Quilliam</w:t>
      </w:r>
      <w:proofErr w:type="spellEnd"/>
      <w:r>
        <w:t>, 2023).</w:t>
      </w:r>
    </w:p>
    <w:p w:rsidR="004A2981" w:rsidRDefault="004A2981" w:rsidP="007E2B5F">
      <w:pPr>
        <w:pStyle w:val="Nornal"/>
      </w:pPr>
    </w:p>
    <w:p w:rsidR="004A2981" w:rsidRDefault="004A2981" w:rsidP="004A2981">
      <w:pPr>
        <w:pStyle w:val="Nornal"/>
        <w:numPr>
          <w:ilvl w:val="0"/>
          <w:numId w:val="6"/>
        </w:numPr>
        <w:rPr>
          <w:b/>
        </w:rPr>
      </w:pPr>
      <w:r w:rsidRPr="004A2981">
        <w:rPr>
          <w:b/>
        </w:rPr>
        <w:t>Could you evaluate two benefits of diversity in building and supporting talent pools? (AC 3.4).</w:t>
      </w:r>
    </w:p>
    <w:p w:rsidR="00A85E64" w:rsidRDefault="00A85E64" w:rsidP="00A85E64">
      <w:pPr>
        <w:pStyle w:val="Nornal"/>
      </w:pPr>
      <w:r w:rsidRPr="00A85E64">
        <w:lastRenderedPageBreak/>
        <w:t>According</w:t>
      </w:r>
      <w:r>
        <w:t xml:space="preserve"> to Miller (</w:t>
      </w:r>
      <w:r w:rsidR="005D2278">
        <w:t>2022),</w:t>
      </w:r>
      <w:r>
        <w:t xml:space="preserve"> diversity in talent pools brings together individuals with varied backgrounds, experiences and perspectives.  This diversity of thought fosters innovation and creativity with an organisation.  When people from different backgrounds collaborate, they bring unique insights and ideas, leading to more innovative solutions and approaches, creativity which could drive organisational growth, problem solving, and competitive </w:t>
      </w:r>
      <w:r w:rsidR="00BE4022">
        <w:t>advantage</w:t>
      </w:r>
      <w:r w:rsidR="003966DC">
        <w:t xml:space="preserve">. </w:t>
      </w:r>
      <w:r>
        <w:t xml:space="preserve">Furthermore, </w:t>
      </w:r>
      <w:proofErr w:type="spellStart"/>
      <w:r>
        <w:t>Kochan</w:t>
      </w:r>
      <w:proofErr w:type="spellEnd"/>
      <w:r>
        <w:t xml:space="preserve"> et al. (2003) suggests that a diverse talent pool</w:t>
      </w:r>
      <w:r w:rsidR="004930BE">
        <w:t xml:space="preserve"> enhances decision-making processes within an organisation.  Multiple perspectives provide a broader range of viewpoints, which can lead to more well-rounded and informed decisions.  Research shows that diverse groups tend to be more effective at problem solving and decision-making compared to undiverse groups.  Diverse teams are more likely to consider alternative viewpoints, challenge assumptions, and identify potential pitfall and blind spots.  This diversity of perspective leads to more robust and comprehensive decision making processes.</w:t>
      </w:r>
    </w:p>
    <w:p w:rsidR="00C0081B" w:rsidRDefault="005D2278" w:rsidP="00A85E64">
      <w:pPr>
        <w:pStyle w:val="Nornal"/>
      </w:pPr>
      <w:r>
        <w:t>Moreover, diversity in talent pools can have a positive impact on employee brand and reduce turnover.  Organisations that prioritise diversity and inclusion in their talent management practices tend to attract a wider range of candidates.  This can enhance the organisations reputation and appeal to individuals who value diversity and inclusion (Miller, 2022).</w:t>
      </w:r>
    </w:p>
    <w:p w:rsidR="005D2278" w:rsidRDefault="005D2278" w:rsidP="00A85E64">
      <w:pPr>
        <w:pStyle w:val="Nornal"/>
      </w:pPr>
      <w:r>
        <w:t xml:space="preserve"> In </w:t>
      </w:r>
      <w:r w:rsidR="00794D64">
        <w:t>addition,</w:t>
      </w:r>
      <w:r>
        <w:t xml:space="preserve"> </w:t>
      </w:r>
      <w:r w:rsidR="005B5FF8">
        <w:t>Herring (2009) suggests that diverse and inclusive environments have been shown to foster a sense of belonging and engagement, leading to higher employee satisfaction and lower turnover rates.</w:t>
      </w:r>
    </w:p>
    <w:p w:rsidR="0091444F" w:rsidRDefault="00794D64" w:rsidP="00A85E64">
      <w:pPr>
        <w:pStyle w:val="Nornal"/>
      </w:pPr>
      <w:r>
        <w:t xml:space="preserve">Diversity in talent pools brings enriched perspectives, increased creativity, improved </w:t>
      </w:r>
      <w:r w:rsidR="00211A32">
        <w:t>decision-making</w:t>
      </w:r>
      <w:r>
        <w:t xml:space="preserve"> and reduced turnover</w:t>
      </w:r>
      <w:r w:rsidR="00211A32">
        <w:t>.  By actively building and supporting diverse talen</w:t>
      </w:r>
      <w:r w:rsidR="00C0081B">
        <w:t>t pools, organisations</w:t>
      </w:r>
      <w:r w:rsidR="00211A32">
        <w:t xml:space="preserve"> can harness the benefits of diversity to drive innovation, improve organisational performance, and create a positive and inclusive work environment (Herring, 2009).</w:t>
      </w:r>
    </w:p>
    <w:p w:rsidR="0091444F" w:rsidRDefault="0091444F" w:rsidP="0091444F">
      <w:pPr>
        <w:pStyle w:val="Nornal"/>
      </w:pPr>
    </w:p>
    <w:p w:rsidR="0091444F" w:rsidRDefault="0091444F" w:rsidP="0091444F">
      <w:pPr>
        <w:pStyle w:val="Nornal"/>
        <w:numPr>
          <w:ilvl w:val="0"/>
          <w:numId w:val="6"/>
        </w:numPr>
        <w:rPr>
          <w:b/>
        </w:rPr>
      </w:pPr>
      <w:r w:rsidRPr="0091444F">
        <w:rPr>
          <w:b/>
        </w:rPr>
        <w:t>I am trying to persuade managers in my organisation to take employee turnover more seriously but have been unsuccessful. Could you explain the impact associated with dysfunctional employee turnover? (AC 3.5)</w:t>
      </w:r>
    </w:p>
    <w:p w:rsidR="00CA48A7" w:rsidRDefault="00CA48A7" w:rsidP="00CA48A7">
      <w:pPr>
        <w:pStyle w:val="Nornal"/>
        <w:ind w:left="720"/>
        <w:rPr>
          <w:b/>
        </w:rPr>
      </w:pPr>
    </w:p>
    <w:p w:rsidR="002D3522" w:rsidRDefault="002C5975" w:rsidP="002C5975">
      <w:pPr>
        <w:pStyle w:val="Nornal"/>
      </w:pPr>
      <w:r w:rsidRPr="002C5975">
        <w:t>According</w:t>
      </w:r>
      <w:r>
        <w:t xml:space="preserve"> to</w:t>
      </w:r>
      <w:r w:rsidR="0056733C">
        <w:t xml:space="preserve"> </w:t>
      </w:r>
      <w:proofErr w:type="spellStart"/>
      <w:r>
        <w:t>Cascio</w:t>
      </w:r>
      <w:proofErr w:type="spellEnd"/>
      <w:r>
        <w:t xml:space="preserve"> (</w:t>
      </w:r>
      <w:r w:rsidR="0056733C">
        <w:t>2018), dysfunctional employee turnover incurs various costs for businessesses.  Direct costs include recruitment and selection expenses, su</w:t>
      </w:r>
      <w:r w:rsidR="002D3522">
        <w:t xml:space="preserve">ch as advertising, interviewing, and background checks.  Additionally, there are costs associated with the time it takes to process the departure of a leaver and </w:t>
      </w:r>
      <w:r w:rsidR="00A24671">
        <w:t>on-board</w:t>
      </w:r>
      <w:r w:rsidR="002D3522">
        <w:t xml:space="preserve"> a new starter.  This involves administrative tasks, paperwork, along with coordinating the transition process.  Induction and training costs for new employees are also significant, as they require time and resources to get up to speed with their roles.</w:t>
      </w:r>
    </w:p>
    <w:p w:rsidR="0001168D" w:rsidRDefault="0001168D" w:rsidP="002C5975">
      <w:pPr>
        <w:pStyle w:val="Nornal"/>
      </w:pPr>
      <w:r>
        <w:t>Mo</w:t>
      </w:r>
      <w:r w:rsidR="00C45BF6">
        <w:t xml:space="preserve">reover, </w:t>
      </w:r>
      <w:proofErr w:type="spellStart"/>
      <w:r w:rsidR="00C45BF6">
        <w:t>Schwepker</w:t>
      </w:r>
      <w:proofErr w:type="spellEnd"/>
      <w:r w:rsidR="00C45BF6">
        <w:t xml:space="preserve"> et al. (2020)</w:t>
      </w:r>
      <w:r>
        <w:t xml:space="preserve"> suggest that indirect costs arise from the loss of productivity </w:t>
      </w:r>
      <w:r w:rsidR="00DF342B">
        <w:t xml:space="preserve">and skills when a dysfunctional employee leaves.  The departure may disrupt the workflow, leading to decreased efficiency and potentially </w:t>
      </w:r>
      <w:r w:rsidR="00DA046F">
        <w:t>affecting</w:t>
      </w:r>
      <w:r w:rsidR="00DF342B">
        <w:t xml:space="preserve"> customer satisfaction.  The loss of skills and experience can have </w:t>
      </w:r>
      <w:r w:rsidR="00DA046F">
        <w:t>long-term</w:t>
      </w:r>
      <w:r w:rsidR="00DF342B">
        <w:t xml:space="preserve"> consequences, especially if specialised knowledge is involved.  Furthermore, the departure of an employee may negatively affect team morale and cohesion, potentially leading to decreased productivity and employee engagement.</w:t>
      </w:r>
    </w:p>
    <w:p w:rsidR="00DF342B" w:rsidRDefault="00DF342B" w:rsidP="002C5975">
      <w:pPr>
        <w:pStyle w:val="Nornal"/>
      </w:pPr>
      <w:r>
        <w:lastRenderedPageBreak/>
        <w:t>In addition measuring employee turnover can be done using various methods.  It has been suggested that a common approach is the separation rate, which calculates the percentages of employees who leave the organisation within a specific timeframe.  Other metrics include the stability index, which measures the average tenure of employee</w:t>
      </w:r>
      <w:r w:rsidR="00DA046F">
        <w:t>s, and the replacement costs, which estimates the expenses associated with replacing an employee (Jacobs, Willmott and Brown, 2023).</w:t>
      </w:r>
    </w:p>
    <w:p w:rsidR="00DA046F" w:rsidRDefault="00DA046F" w:rsidP="002C5975">
      <w:pPr>
        <w:pStyle w:val="Nornal"/>
      </w:pPr>
      <w:r>
        <w:t>To mitigate the impact of dysfunctional employee turnover, organisations can implement strategies such as improving recruitment and selection processes to ensure better fit between candidates and roles.  Investing in employee development and training programs can enhance job satisfaction and reduce turnover.  Additionally, fostering a positive work environment, implementing fair policies, and promoting employee engagement can contribute to higher retention rates (Jacobs, Willmott and Brown, 2023).</w:t>
      </w:r>
    </w:p>
    <w:p w:rsidR="00CA462B" w:rsidRDefault="00CA462B" w:rsidP="002C5975">
      <w:pPr>
        <w:pStyle w:val="Nornal"/>
      </w:pPr>
    </w:p>
    <w:p w:rsidR="00CA462B" w:rsidRDefault="00CA462B" w:rsidP="00603367">
      <w:pPr>
        <w:pStyle w:val="Nornal"/>
        <w:numPr>
          <w:ilvl w:val="0"/>
          <w:numId w:val="6"/>
        </w:numPr>
        <w:rPr>
          <w:b/>
        </w:rPr>
      </w:pPr>
      <w:r w:rsidRPr="00CA462B">
        <w:rPr>
          <w:b/>
        </w:rPr>
        <w:t xml:space="preserve">Could you assess suitable types of contractual arrangements dependent on specific workforce </w:t>
      </w:r>
      <w:proofErr w:type="gramStart"/>
      <w:r w:rsidRPr="00CA462B">
        <w:rPr>
          <w:b/>
        </w:rPr>
        <w:t>need.</w:t>
      </w:r>
      <w:proofErr w:type="gramEnd"/>
      <w:r w:rsidRPr="00CA462B">
        <w:rPr>
          <w:b/>
        </w:rPr>
        <w:t xml:space="preserve"> (AC 4.1)</w:t>
      </w:r>
    </w:p>
    <w:p w:rsidR="00CA48A7" w:rsidRDefault="00CA48A7" w:rsidP="00CA48A7">
      <w:pPr>
        <w:pStyle w:val="Nornal"/>
        <w:ind w:left="720"/>
        <w:rPr>
          <w:b/>
        </w:rPr>
      </w:pPr>
    </w:p>
    <w:p w:rsidR="002B73A2" w:rsidRDefault="002B73A2" w:rsidP="002B73A2">
      <w:pPr>
        <w:pStyle w:val="Nornal"/>
      </w:pPr>
      <w:r>
        <w:t xml:space="preserve">Different types of contracts </w:t>
      </w:r>
      <w:proofErr w:type="gramStart"/>
      <w:r>
        <w:t>can be tailored</w:t>
      </w:r>
      <w:proofErr w:type="gramEnd"/>
      <w:r>
        <w:t xml:space="preserve"> to meet the requirements of both employers and employees, with various factors to consider such as the nature of work, duration, flexibility, and worker preferences play a significant role in determining appropriate contractual arrangements (Government of UK, 2023).</w:t>
      </w:r>
    </w:p>
    <w:p w:rsidR="002B73A2" w:rsidRDefault="002B73A2" w:rsidP="002B73A2">
      <w:pPr>
        <w:pStyle w:val="Nornal"/>
      </w:pPr>
      <w:r>
        <w:t xml:space="preserve">Some popular contractual options are </w:t>
      </w:r>
      <w:r w:rsidR="00CB26C7">
        <w:t>(Government of UK, 2023)</w:t>
      </w:r>
    </w:p>
    <w:p w:rsidR="002B73A2" w:rsidRDefault="002B73A2" w:rsidP="002B73A2">
      <w:pPr>
        <w:pStyle w:val="Nornal"/>
        <w:numPr>
          <w:ilvl w:val="0"/>
          <w:numId w:val="7"/>
        </w:numPr>
      </w:pPr>
      <w:r>
        <w:t>Permanent Contracts: These provide long-term employment with regular hours and benefits, offering stability to employees.  Permanent contracts are suitable for roles requiring consistent presence and commitment to an organisation.</w:t>
      </w:r>
    </w:p>
    <w:p w:rsidR="002B73A2" w:rsidRDefault="00C95C96" w:rsidP="002B73A2">
      <w:pPr>
        <w:pStyle w:val="Nornal"/>
        <w:numPr>
          <w:ilvl w:val="0"/>
          <w:numId w:val="7"/>
        </w:numPr>
      </w:pPr>
      <w:r>
        <w:t xml:space="preserve">Temporary Contracts: These are ideal for short-term or seasonal work.  Temporary contracts allow employers to meet </w:t>
      </w:r>
      <w:r w:rsidR="002B2F8F">
        <w:t>fluctuating demand while offering employees flexibility.  They can be full-time or part-time, depending on the workload.</w:t>
      </w:r>
    </w:p>
    <w:p w:rsidR="002B2F8F" w:rsidRDefault="002B2F8F" w:rsidP="002B73A2">
      <w:pPr>
        <w:pStyle w:val="Nornal"/>
        <w:numPr>
          <w:ilvl w:val="0"/>
          <w:numId w:val="7"/>
        </w:numPr>
      </w:pPr>
      <w:r>
        <w:t>Full-Time Contracts:  This type of contract generally requires employees to work around 35-40 hours per week.  It provides a stable income and benefits</w:t>
      </w:r>
      <w:r w:rsidR="00F452FD">
        <w:t>, and employees are entitled to various employment rights.</w:t>
      </w:r>
    </w:p>
    <w:p w:rsidR="00F452FD" w:rsidRDefault="00F452FD" w:rsidP="002B73A2">
      <w:pPr>
        <w:pStyle w:val="Nornal"/>
        <w:numPr>
          <w:ilvl w:val="0"/>
          <w:numId w:val="7"/>
        </w:numPr>
      </w:pPr>
      <w:r>
        <w:t>Part-Time Contracts: This type of contract involves working fewer hours than full time employees, often by mutual agreement between the employer and employee.  This arrangement suits individuals seeking flexibility</w:t>
      </w:r>
      <w:r w:rsidR="00CB26C7">
        <w:t>, such as students, parents, or those with multiple jobs.</w:t>
      </w:r>
    </w:p>
    <w:p w:rsidR="00CB26C7" w:rsidRDefault="00CB26C7" w:rsidP="002B73A2">
      <w:pPr>
        <w:pStyle w:val="Nornal"/>
        <w:numPr>
          <w:ilvl w:val="0"/>
          <w:numId w:val="7"/>
        </w:numPr>
      </w:pPr>
      <w:proofErr w:type="gramStart"/>
      <w:r>
        <w:t>Zero-Hour</w:t>
      </w:r>
      <w:proofErr w:type="gramEnd"/>
      <w:r>
        <w:t xml:space="preserve"> Contracts: This type does provide flexibility for both employee and employer.  They offer no guaranteed hours of work, and employees </w:t>
      </w:r>
      <w:proofErr w:type="gramStart"/>
      <w:r>
        <w:t>are called in</w:t>
      </w:r>
      <w:proofErr w:type="gramEnd"/>
      <w:r>
        <w:t xml:space="preserve"> as and when needed.  While it does suit some individuals, concerns </w:t>
      </w:r>
      <w:proofErr w:type="gramStart"/>
      <w:r>
        <w:t>have been raised</w:t>
      </w:r>
      <w:proofErr w:type="gramEnd"/>
      <w:r>
        <w:t xml:space="preserve"> regarding job insecurity and lack of benefits.</w:t>
      </w:r>
    </w:p>
    <w:p w:rsidR="00CB26C7" w:rsidRDefault="00CB26C7" w:rsidP="00CB26C7">
      <w:pPr>
        <w:pStyle w:val="Nornal"/>
      </w:pPr>
      <w:r>
        <w:t>Additionally, the gig economy has gained prominence, where independent contractors undertake short-term projects or tasks.  This arrangement offers flexibility in terms of work, hours and location.  However, it has been suggested that it can present some challenges related to employment rights, social security and access to benefits</w:t>
      </w:r>
      <w:r w:rsidR="00025C41">
        <w:t xml:space="preserve"> (GOV.uk, 2023).</w:t>
      </w:r>
    </w:p>
    <w:p w:rsidR="00025C41" w:rsidRDefault="00025C41" w:rsidP="00CB26C7">
      <w:pPr>
        <w:pStyle w:val="Nornal"/>
      </w:pPr>
      <w:r>
        <w:lastRenderedPageBreak/>
        <w:t xml:space="preserve">According to </w:t>
      </w:r>
      <w:r w:rsidR="005C203C">
        <w:t>ACAS (2021a)</w:t>
      </w:r>
      <w:r>
        <w:t xml:space="preserve"> financial terms, such as payment frequency should be clearly defined in contractual arrangements.  Work practice terms encompass the expectations and </w:t>
      </w:r>
      <w:r w:rsidR="002963E0">
        <w:t>responsibility</w:t>
      </w:r>
      <w:r>
        <w:t xml:space="preserve"> of both parties, including performance </w:t>
      </w:r>
      <w:r w:rsidR="002963E0">
        <w:t>standards, which</w:t>
      </w:r>
      <w:r>
        <w:t xml:space="preserve"> in behavioural terms would outline the expected conduct of employees, including adherence to company policies, professional behaviour, and confidentiality agreements. </w:t>
      </w:r>
      <w:r w:rsidR="002963E0">
        <w:t>In addition to this, a</w:t>
      </w:r>
      <w:r>
        <w:t xml:space="preserve">ttendance and sickness policies define </w:t>
      </w:r>
      <w:r w:rsidR="002963E0">
        <w:t>procedures for reporting absences</w:t>
      </w:r>
      <w:r>
        <w:t xml:space="preserve"> and managing sickness-related issues.</w:t>
      </w:r>
    </w:p>
    <w:p w:rsidR="008B2BFE" w:rsidRDefault="008B2BFE" w:rsidP="00CB26C7">
      <w:pPr>
        <w:pStyle w:val="Nornal"/>
      </w:pPr>
    </w:p>
    <w:p w:rsidR="008B2BFE" w:rsidRDefault="008B2BFE" w:rsidP="00A24671">
      <w:pPr>
        <w:pStyle w:val="Nornal"/>
        <w:numPr>
          <w:ilvl w:val="0"/>
          <w:numId w:val="6"/>
        </w:numPr>
        <w:rPr>
          <w:b/>
        </w:rPr>
      </w:pPr>
      <w:r w:rsidRPr="008B2BFE">
        <w:rPr>
          <w:b/>
        </w:rPr>
        <w:t xml:space="preserve">I have heard there are different types of terms in contracts – </w:t>
      </w:r>
      <w:proofErr w:type="gramStart"/>
      <w:r w:rsidRPr="008B2BFE">
        <w:rPr>
          <w:b/>
        </w:rPr>
        <w:t>surely</w:t>
      </w:r>
      <w:proofErr w:type="gramEnd"/>
      <w:r w:rsidRPr="008B2BFE">
        <w:rPr>
          <w:b/>
        </w:rPr>
        <w:t xml:space="preserve"> a term is a term. Can you differentiate between express terms and implied terms? (AC 4.2)</w:t>
      </w:r>
    </w:p>
    <w:p w:rsidR="002A34D4" w:rsidRDefault="009D5D98" w:rsidP="00385112">
      <w:pPr>
        <w:pStyle w:val="Nornal"/>
      </w:pPr>
      <w:r>
        <w:t>CIPD (2022a) states that e</w:t>
      </w:r>
      <w:r w:rsidR="00385112" w:rsidRPr="00385112">
        <w:t>x</w:t>
      </w:r>
      <w:r w:rsidR="00385112">
        <w:t>press terms are those specifically agreed upon by parties and are explicitly stated, either orally or in writing.  These terms are the foundation of the contract and form the basis of the parties’ agreement.  Express terms can be found in various forms, such as written contracts, verbal agreements, or even through conduct.  They are crucial in determining the rights and obligations of each party.</w:t>
      </w:r>
      <w:r w:rsidR="002A34D4">
        <w:t xml:space="preserve"> For instance, in a contract for the sale of goods, the price, quantity, and delivery terms are often express terms (Government of UK, 1996).</w:t>
      </w:r>
    </w:p>
    <w:p w:rsidR="00385112" w:rsidRDefault="00C1224A" w:rsidP="002A34D4">
      <w:pPr>
        <w:pStyle w:val="Nornal"/>
      </w:pPr>
      <w:r>
        <w:t xml:space="preserve"> I</w:t>
      </w:r>
      <w:r w:rsidR="00147EEB">
        <w:t xml:space="preserve">mplied terms are not expressly stated but are considered </w:t>
      </w:r>
      <w:r w:rsidR="009D5D98">
        <w:t>part of the contract.  These terms are either implied by statute, common law, or through custom and practice.  Implied terms are necessary to give business effectiveness to a contract or could be presumed to be part of the contract as a matter of law</w:t>
      </w:r>
      <w:r w:rsidR="002A34D4">
        <w:t>.  For example, terms may be implied to reflect the presumed intentions of the parties, to fill gaps left in the express terms, or to reflect industry standards</w:t>
      </w:r>
      <w:r>
        <w:t xml:space="preserve"> (CIPD, 2022a).</w:t>
      </w:r>
    </w:p>
    <w:p w:rsidR="00C1224A" w:rsidRDefault="00C1224A" w:rsidP="002A34D4">
      <w:pPr>
        <w:pStyle w:val="Nornal"/>
      </w:pPr>
      <w:r>
        <w:t xml:space="preserve">Furthermore, terms included in employment handbooks or manuals can be classified as express terms if they are explicitly incorporated into an employment contract.  These terms are typically communicated to employees and are considered part of the contractual agreement.  They may cover various aspects of the employment relationship, including working hours, code of conduct, disciplinary procedures, and benefits.  Terms can be </w:t>
      </w:r>
      <w:r w:rsidR="00163120">
        <w:t>incorporated</w:t>
      </w:r>
      <w:r>
        <w:t xml:space="preserve"> into individual contracts of employment through collective agreements neg</w:t>
      </w:r>
      <w:r w:rsidR="00163120">
        <w:t>otiated between trade unions and employers.  Collective agreements often contain express terms of an individual’s employment contract, outlining terms and conditions of employment, such as wages, working hours, and benefits (Daniels, 2022).</w:t>
      </w:r>
    </w:p>
    <w:p w:rsidR="006308EA" w:rsidRDefault="006308EA" w:rsidP="00A24671">
      <w:pPr>
        <w:pStyle w:val="Nornal"/>
        <w:numPr>
          <w:ilvl w:val="0"/>
          <w:numId w:val="6"/>
        </w:numPr>
        <w:rPr>
          <w:b/>
        </w:rPr>
      </w:pPr>
      <w:r w:rsidRPr="006308EA">
        <w:rPr>
          <w:b/>
        </w:rPr>
        <w:t>Could you explain the components and two benefits of effective onboarding? (AC 4.3)</w:t>
      </w:r>
    </w:p>
    <w:p w:rsidR="00952AF7" w:rsidRDefault="00C66693" w:rsidP="002A34D4">
      <w:pPr>
        <w:pStyle w:val="Nornal"/>
      </w:pPr>
      <w:r>
        <w:t xml:space="preserve">According to </w:t>
      </w:r>
      <w:proofErr w:type="spellStart"/>
      <w:r>
        <w:t>Howlett</w:t>
      </w:r>
      <w:proofErr w:type="spellEnd"/>
      <w:r>
        <w:t xml:space="preserve"> (</w:t>
      </w:r>
      <w:r w:rsidR="00A24671">
        <w:t>2020),</w:t>
      </w:r>
      <w:r>
        <w:t xml:space="preserve"> e</w:t>
      </w:r>
      <w:r w:rsidRPr="00C66693">
        <w:t>ffe</w:t>
      </w:r>
      <w:r>
        <w:t xml:space="preserve">ctive </w:t>
      </w:r>
      <w:proofErr w:type="spellStart"/>
      <w:r w:rsidR="00637CAB">
        <w:t>onboarding</w:t>
      </w:r>
      <w:proofErr w:type="spellEnd"/>
      <w:r>
        <w:t xml:space="preserve"> is crucial for </w:t>
      </w:r>
      <w:r w:rsidR="00A24671">
        <w:t>integrating</w:t>
      </w:r>
      <w:r>
        <w:t xml:space="preserve"> new employees</w:t>
      </w:r>
      <w:r w:rsidR="00952AF7">
        <w:t xml:space="preserve"> into an organisation.  Pre-employment information involves providing necessary paperwork, such as contracts and documents before their start date.  Organisational and departmental information familiarise employees with the company structure, policies, and procedures, ensuring they understand how the role fits into the broader organisation.  Role information clarifies the specific responsibilities, goals, and expectations associated with the new role, setting a clear understanding of their </w:t>
      </w:r>
      <w:r w:rsidR="003A7FC4">
        <w:t>duties and performance metrics.</w:t>
      </w:r>
    </w:p>
    <w:p w:rsidR="00952AF7" w:rsidRDefault="006D75FF" w:rsidP="002A34D4">
      <w:pPr>
        <w:pStyle w:val="Nornal"/>
      </w:pPr>
      <w:r>
        <w:t>According to Bauer and Erdogan (</w:t>
      </w:r>
      <w:r w:rsidR="007D128A">
        <w:t>2011),</w:t>
      </w:r>
      <w:r>
        <w:t xml:space="preserve"> effective onbo</w:t>
      </w:r>
      <w:r w:rsidR="007D128A">
        <w:t>arding has significant benefits; it could serve the purpose of successfully integrating new employees into the organisation</w:t>
      </w:r>
      <w:r w:rsidR="003A7FC4">
        <w:t xml:space="preserve"> along with emphasising that onboarding programs significantly </w:t>
      </w:r>
      <w:proofErr w:type="gramStart"/>
      <w:r w:rsidR="003A7FC4">
        <w:t>impact</w:t>
      </w:r>
      <w:proofErr w:type="gramEnd"/>
      <w:r w:rsidR="003A7FC4">
        <w:t xml:space="preserve"> job satisfaction, organisational commitment and role clarity for new employees.  By providing a structured </w:t>
      </w:r>
      <w:r w:rsidR="003A7FC4">
        <w:lastRenderedPageBreak/>
        <w:t>and informative introduction, employees are better equipped to acclimate to their new environment and contribute effectively.  Moreover, it fosters an understanding of the organisations culture, value and mission, aligning employees with the company’s objectives and promoting a sense of belonging and loyalty.</w:t>
      </w:r>
    </w:p>
    <w:p w:rsidR="003A7FC4" w:rsidRDefault="001C60E9" w:rsidP="002A34D4">
      <w:pPr>
        <w:pStyle w:val="Nornal"/>
      </w:pPr>
      <w:r>
        <w:t>Furthermore</w:t>
      </w:r>
      <w:r w:rsidR="003A7FC4">
        <w:t xml:space="preserve">, </w:t>
      </w:r>
      <w:r>
        <w:t>effective onboarding has a direct impact on retention and reduced employee turnover.</w:t>
      </w:r>
      <w:r w:rsidR="004F0FA0">
        <w:t xml:space="preserve">  This could also include training and development, mentoring and support and feedback.  In addition to this </w:t>
      </w:r>
      <w:proofErr w:type="gramStart"/>
      <w:r w:rsidR="004F0FA0">
        <w:t>if</w:t>
      </w:r>
      <w:proofErr w:type="gramEnd"/>
      <w:r w:rsidR="004F0FA0">
        <w:t xml:space="preserve"> an</w:t>
      </w:r>
      <w:r>
        <w:t xml:space="preserve"> organisation ensures that employees are well informed, supported and engaged from the outset, organisations can mitigate the risk of early turnover, saving on recruitment costs and maintaining a stable, productive workforce</w:t>
      </w:r>
      <w:r w:rsidR="004F0FA0">
        <w:t xml:space="preserve"> (McCartney, 2023).</w:t>
      </w:r>
    </w:p>
    <w:p w:rsidR="00637CAB" w:rsidRDefault="00637CAB" w:rsidP="002A34D4">
      <w:pPr>
        <w:pStyle w:val="Nornal"/>
      </w:pPr>
    </w:p>
    <w:p w:rsidR="00637CAB" w:rsidRDefault="00CC7AA2" w:rsidP="00637CAB">
      <w:pPr>
        <w:rPr>
          <w:b/>
          <w:sz w:val="32"/>
          <w:szCs w:val="32"/>
        </w:rPr>
      </w:pPr>
      <w:r>
        <w:rPr>
          <w:b/>
          <w:sz w:val="32"/>
          <w:szCs w:val="32"/>
        </w:rPr>
        <w:t xml:space="preserve">BIBLIOGRAPHY </w:t>
      </w:r>
      <w:bookmarkStart w:id="0" w:name="_GoBack"/>
      <w:bookmarkEnd w:id="0"/>
    </w:p>
    <w:p w:rsidR="00637CAB" w:rsidRPr="003427B0" w:rsidRDefault="00637CAB" w:rsidP="00637CAB">
      <w:pPr>
        <w:rPr>
          <w:b/>
          <w:sz w:val="32"/>
          <w:szCs w:val="32"/>
        </w:rPr>
      </w:pP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ACAS (2021). </w:t>
      </w:r>
      <w:r w:rsidRPr="00EA617A">
        <w:rPr>
          <w:rFonts w:ascii="Times New Roman" w:eastAsia="Times New Roman" w:hAnsi="Times New Roman" w:cs="Times New Roman"/>
          <w:i/>
          <w:iCs/>
          <w:sz w:val="24"/>
          <w:szCs w:val="24"/>
          <w:lang w:eastAsia="en-GB"/>
        </w:rPr>
        <w:t xml:space="preserve">Improving equality, Diversity and Inclusion in Your Workplace | </w:t>
      </w:r>
      <w:proofErr w:type="spellStart"/>
      <w:r w:rsidRPr="00EA617A">
        <w:rPr>
          <w:rFonts w:ascii="Times New Roman" w:eastAsia="Times New Roman" w:hAnsi="Times New Roman" w:cs="Times New Roman"/>
          <w:i/>
          <w:iCs/>
          <w:sz w:val="24"/>
          <w:szCs w:val="24"/>
          <w:lang w:eastAsia="en-GB"/>
        </w:rPr>
        <w:t>Acas</w:t>
      </w:r>
      <w:proofErr w:type="spellEnd"/>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www.acas.org.uk. Available at: </w:t>
      </w:r>
      <w:hyperlink r:id="rId5" w:history="1">
        <w:r w:rsidRPr="006C36EE">
          <w:rPr>
            <w:rStyle w:val="Hyperlink"/>
            <w:rFonts w:ascii="Times New Roman" w:eastAsia="Times New Roman" w:hAnsi="Times New Roman" w:cs="Times New Roman"/>
            <w:sz w:val="24"/>
            <w:szCs w:val="24"/>
            <w:lang w:eastAsia="en-GB"/>
          </w:rPr>
          <w:t>https://www.acas.org.uk/improving-equality-diversity-and-inclusion</w:t>
        </w:r>
      </w:hyperlink>
      <w:r w:rsidRPr="00EA617A">
        <w:rPr>
          <w:rFonts w:ascii="Times New Roman" w:eastAsia="Times New Roman" w:hAnsi="Times New Roman" w:cs="Times New Roman"/>
          <w:sz w:val="24"/>
          <w:szCs w:val="24"/>
          <w:lang w:eastAsia="en-GB"/>
        </w:rPr>
        <w:t>.</w:t>
      </w:r>
    </w:p>
    <w:p w:rsidR="00637CAB" w:rsidRDefault="00637CAB" w:rsidP="00637CAB">
      <w:pPr>
        <w:spacing w:after="240" w:line="360" w:lineRule="auto"/>
        <w:rPr>
          <w:rFonts w:ascii="Times New Roman" w:eastAsia="Times New Roman" w:hAnsi="Times New Roman" w:cs="Times New Roman"/>
          <w:sz w:val="24"/>
          <w:szCs w:val="24"/>
          <w:lang w:eastAsia="en-GB"/>
        </w:rPr>
      </w:pPr>
      <w:r w:rsidRPr="00624CF3">
        <w:rPr>
          <w:rFonts w:ascii="Times New Roman" w:eastAsia="Times New Roman" w:hAnsi="Times New Roman" w:cs="Times New Roman"/>
          <w:sz w:val="24"/>
          <w:szCs w:val="24"/>
          <w:lang w:eastAsia="en-GB"/>
        </w:rPr>
        <w:t xml:space="preserve">ACAS (2021a). </w:t>
      </w:r>
      <w:r w:rsidRPr="00624CF3">
        <w:rPr>
          <w:rFonts w:ascii="Times New Roman" w:eastAsia="Times New Roman" w:hAnsi="Times New Roman" w:cs="Times New Roman"/>
          <w:i/>
          <w:iCs/>
          <w:sz w:val="24"/>
          <w:szCs w:val="24"/>
          <w:lang w:eastAsia="en-GB"/>
        </w:rPr>
        <w:t xml:space="preserve">Employment Contracts | </w:t>
      </w:r>
      <w:proofErr w:type="spellStart"/>
      <w:r w:rsidRPr="00624CF3">
        <w:rPr>
          <w:rFonts w:ascii="Times New Roman" w:eastAsia="Times New Roman" w:hAnsi="Times New Roman" w:cs="Times New Roman"/>
          <w:i/>
          <w:iCs/>
          <w:sz w:val="24"/>
          <w:szCs w:val="24"/>
          <w:lang w:eastAsia="en-GB"/>
        </w:rPr>
        <w:t>Acas</w:t>
      </w:r>
      <w:proofErr w:type="spellEnd"/>
      <w:r w:rsidRPr="00624CF3">
        <w:rPr>
          <w:rFonts w:ascii="Times New Roman" w:eastAsia="Times New Roman" w:hAnsi="Times New Roman" w:cs="Times New Roman"/>
          <w:sz w:val="24"/>
          <w:szCs w:val="24"/>
          <w:lang w:eastAsia="en-GB"/>
        </w:rPr>
        <w:t>. [</w:t>
      </w:r>
      <w:proofErr w:type="gramStart"/>
      <w:r w:rsidRPr="00624CF3">
        <w:rPr>
          <w:rFonts w:ascii="Times New Roman" w:eastAsia="Times New Roman" w:hAnsi="Times New Roman" w:cs="Times New Roman"/>
          <w:sz w:val="24"/>
          <w:szCs w:val="24"/>
          <w:lang w:eastAsia="en-GB"/>
        </w:rPr>
        <w:t>online</w:t>
      </w:r>
      <w:proofErr w:type="gramEnd"/>
      <w:r w:rsidRPr="00624CF3">
        <w:rPr>
          <w:rFonts w:ascii="Times New Roman" w:eastAsia="Times New Roman" w:hAnsi="Times New Roman" w:cs="Times New Roman"/>
          <w:sz w:val="24"/>
          <w:szCs w:val="24"/>
          <w:lang w:eastAsia="en-GB"/>
        </w:rPr>
        <w:t xml:space="preserve">] www.acas.org.uk. Available at: </w:t>
      </w:r>
      <w:hyperlink r:id="rId6" w:history="1">
        <w:r w:rsidRPr="006C36EE">
          <w:rPr>
            <w:rStyle w:val="Hyperlink"/>
            <w:rFonts w:ascii="Times New Roman" w:eastAsia="Times New Roman" w:hAnsi="Times New Roman" w:cs="Times New Roman"/>
            <w:sz w:val="24"/>
            <w:szCs w:val="24"/>
            <w:lang w:eastAsia="en-GB"/>
          </w:rPr>
          <w:t>https://www.acas.org.uk/employment-contracts</w:t>
        </w:r>
      </w:hyperlink>
      <w:r w:rsidRPr="00624CF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Allen, D.G., Bryant, P.C. and </w:t>
      </w:r>
      <w:proofErr w:type="spellStart"/>
      <w:r w:rsidRPr="00EA617A">
        <w:rPr>
          <w:rFonts w:ascii="Times New Roman" w:eastAsia="Times New Roman" w:hAnsi="Times New Roman" w:cs="Times New Roman"/>
          <w:sz w:val="24"/>
          <w:szCs w:val="24"/>
          <w:lang w:eastAsia="en-GB"/>
        </w:rPr>
        <w:t>Vardaman</w:t>
      </w:r>
      <w:proofErr w:type="spellEnd"/>
      <w:r w:rsidRPr="00EA617A">
        <w:rPr>
          <w:rFonts w:ascii="Times New Roman" w:eastAsia="Times New Roman" w:hAnsi="Times New Roman" w:cs="Times New Roman"/>
          <w:sz w:val="24"/>
          <w:szCs w:val="24"/>
          <w:lang w:eastAsia="en-GB"/>
        </w:rPr>
        <w:t xml:space="preserve">, J.M. (2010). Retaining Talent: Replacing Misconceptions with Evidence-Based Strategies. </w:t>
      </w:r>
      <w:r w:rsidRPr="00EA617A">
        <w:rPr>
          <w:rFonts w:ascii="Times New Roman" w:eastAsia="Times New Roman" w:hAnsi="Times New Roman" w:cs="Times New Roman"/>
          <w:i/>
          <w:iCs/>
          <w:sz w:val="24"/>
          <w:szCs w:val="24"/>
          <w:lang w:eastAsia="en-GB"/>
        </w:rPr>
        <w:t>Academy of Management Perspectives</w:t>
      </w:r>
      <w:r w:rsidRPr="00EA617A">
        <w:rPr>
          <w:rFonts w:ascii="Times New Roman" w:eastAsia="Times New Roman" w:hAnsi="Times New Roman" w:cs="Times New Roman"/>
          <w:sz w:val="24"/>
          <w:szCs w:val="24"/>
          <w:lang w:eastAsia="en-GB"/>
        </w:rPr>
        <w:t>, 24(2), pp.48–64. doi:https://doi.org/10.5465/amp.24.2.48.</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Allen, D.G., Bryant, P.C. and </w:t>
      </w:r>
      <w:proofErr w:type="spellStart"/>
      <w:r w:rsidRPr="00EA617A">
        <w:rPr>
          <w:rFonts w:ascii="Times New Roman" w:eastAsia="Times New Roman" w:hAnsi="Times New Roman" w:cs="Times New Roman"/>
          <w:sz w:val="24"/>
          <w:szCs w:val="24"/>
          <w:lang w:eastAsia="en-GB"/>
        </w:rPr>
        <w:t>Vardaman</w:t>
      </w:r>
      <w:proofErr w:type="spellEnd"/>
      <w:r w:rsidRPr="00EA617A">
        <w:rPr>
          <w:rFonts w:ascii="Times New Roman" w:eastAsia="Times New Roman" w:hAnsi="Times New Roman" w:cs="Times New Roman"/>
          <w:sz w:val="24"/>
          <w:szCs w:val="24"/>
          <w:lang w:eastAsia="en-GB"/>
        </w:rPr>
        <w:t xml:space="preserve">, J.M. (2018). Retaining Talent: Replacing Misconceptions with Evidence-Based Strategies. </w:t>
      </w:r>
      <w:r w:rsidRPr="00EA617A">
        <w:rPr>
          <w:rFonts w:ascii="Times New Roman" w:eastAsia="Times New Roman" w:hAnsi="Times New Roman" w:cs="Times New Roman"/>
          <w:i/>
          <w:iCs/>
          <w:sz w:val="24"/>
          <w:szCs w:val="24"/>
          <w:lang w:eastAsia="en-GB"/>
        </w:rPr>
        <w:t>Academy of Management Perspectives</w:t>
      </w:r>
      <w:r w:rsidRPr="00EA617A">
        <w:rPr>
          <w:rFonts w:ascii="Times New Roman" w:eastAsia="Times New Roman" w:hAnsi="Times New Roman" w:cs="Times New Roman"/>
          <w:sz w:val="24"/>
          <w:szCs w:val="24"/>
          <w:lang w:eastAsia="en-GB"/>
        </w:rPr>
        <w:t>, 24(2), pp.160–178. doi:https://doi.org/10.5465/amp.24.2.48.</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Armstrong, M. and Taylor, S. (2020). </w:t>
      </w:r>
      <w:r w:rsidRPr="00EA617A">
        <w:rPr>
          <w:rFonts w:ascii="Times New Roman" w:eastAsia="Times New Roman" w:hAnsi="Times New Roman" w:cs="Times New Roman"/>
          <w:i/>
          <w:iCs/>
          <w:sz w:val="24"/>
          <w:szCs w:val="24"/>
          <w:lang w:eastAsia="en-GB"/>
        </w:rPr>
        <w:t>Armstrong’s Handbook of Human Resource Management Practice</w:t>
      </w:r>
      <w:r w:rsidRPr="00EA617A">
        <w:rPr>
          <w:rFonts w:ascii="Times New Roman" w:eastAsia="Times New Roman" w:hAnsi="Times New Roman" w:cs="Times New Roman"/>
          <w:sz w:val="24"/>
          <w:szCs w:val="24"/>
          <w:lang w:eastAsia="en-GB"/>
        </w:rPr>
        <w:t xml:space="preserve">. 15th </w:t>
      </w:r>
      <w:proofErr w:type="gramStart"/>
      <w:r w:rsidRPr="00EA617A">
        <w:rPr>
          <w:rFonts w:ascii="Times New Roman" w:eastAsia="Times New Roman" w:hAnsi="Times New Roman" w:cs="Times New Roman"/>
          <w:sz w:val="24"/>
          <w:szCs w:val="24"/>
          <w:lang w:eastAsia="en-GB"/>
        </w:rPr>
        <w:t>ed</w:t>
      </w:r>
      <w:proofErr w:type="gramEnd"/>
      <w:r w:rsidRPr="00EA617A">
        <w:rPr>
          <w:rFonts w:ascii="Times New Roman" w:eastAsia="Times New Roman" w:hAnsi="Times New Roman" w:cs="Times New Roman"/>
          <w:sz w:val="24"/>
          <w:szCs w:val="24"/>
          <w:lang w:eastAsia="en-GB"/>
        </w:rPr>
        <w:t xml:space="preserve">. New York: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Battista, M. (2023). </w:t>
      </w:r>
      <w:r w:rsidRPr="00EA617A">
        <w:rPr>
          <w:rFonts w:ascii="Times New Roman" w:eastAsia="Times New Roman" w:hAnsi="Times New Roman" w:cs="Times New Roman"/>
          <w:i/>
          <w:iCs/>
          <w:sz w:val="24"/>
          <w:szCs w:val="24"/>
          <w:lang w:eastAsia="en-GB"/>
        </w:rPr>
        <w:t>PESTLE Analysis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7" w:anchor=":~:text=A%20PESTLE%20analysis%20studies%20the" w:history="1">
        <w:r w:rsidRPr="00482106">
          <w:rPr>
            <w:rStyle w:val="Hyperlink"/>
            <w:rFonts w:ascii="Times New Roman" w:eastAsia="Times New Roman" w:hAnsi="Times New Roman" w:cs="Times New Roman"/>
            <w:sz w:val="24"/>
            <w:szCs w:val="24"/>
            <w:lang w:eastAsia="en-GB"/>
          </w:rPr>
          <w:t>https://www.cipd.org/uk/knowledge/factsheets/pestle-analysis-factsheet/#:~:text=A%20PESTLE%20analysis%20studies%20the</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2E0884">
        <w:rPr>
          <w:rFonts w:ascii="Times New Roman" w:eastAsia="Times New Roman" w:hAnsi="Times New Roman" w:cs="Times New Roman"/>
          <w:sz w:val="24"/>
          <w:szCs w:val="24"/>
          <w:lang w:eastAsia="en-GB"/>
        </w:rPr>
        <w:t xml:space="preserve">Bauer, T. and Erdogan, B. (2011). </w:t>
      </w:r>
      <w:r w:rsidRPr="002E0884">
        <w:rPr>
          <w:rFonts w:ascii="Times New Roman" w:eastAsia="Times New Roman" w:hAnsi="Times New Roman" w:cs="Times New Roman"/>
          <w:i/>
          <w:iCs/>
          <w:sz w:val="24"/>
          <w:szCs w:val="24"/>
          <w:lang w:eastAsia="en-GB"/>
        </w:rPr>
        <w:t>(PDF) Organizational socialization: the Effective Onboarding of New Employees</w:t>
      </w:r>
      <w:r w:rsidRPr="002E0884">
        <w:rPr>
          <w:rFonts w:ascii="Times New Roman" w:eastAsia="Times New Roman" w:hAnsi="Times New Roman" w:cs="Times New Roman"/>
          <w:sz w:val="24"/>
          <w:szCs w:val="24"/>
          <w:lang w:eastAsia="en-GB"/>
        </w:rPr>
        <w:t>. [</w:t>
      </w:r>
      <w:proofErr w:type="gramStart"/>
      <w:r w:rsidRPr="002E0884">
        <w:rPr>
          <w:rFonts w:ascii="Times New Roman" w:eastAsia="Times New Roman" w:hAnsi="Times New Roman" w:cs="Times New Roman"/>
          <w:sz w:val="24"/>
          <w:szCs w:val="24"/>
          <w:lang w:eastAsia="en-GB"/>
        </w:rPr>
        <w:t>online</w:t>
      </w:r>
      <w:proofErr w:type="gramEnd"/>
      <w:r w:rsidRPr="002E0884">
        <w:rPr>
          <w:rFonts w:ascii="Times New Roman" w:eastAsia="Times New Roman" w:hAnsi="Times New Roman" w:cs="Times New Roman"/>
          <w:sz w:val="24"/>
          <w:szCs w:val="24"/>
          <w:lang w:eastAsia="en-GB"/>
        </w:rPr>
        <w:t xml:space="preserve">] ResearchGate. Available at: </w:t>
      </w:r>
      <w:hyperlink r:id="rId8" w:history="1">
        <w:r w:rsidRPr="00482106">
          <w:rPr>
            <w:rStyle w:val="Hyperlink"/>
            <w:rFonts w:ascii="Times New Roman" w:eastAsia="Times New Roman" w:hAnsi="Times New Roman" w:cs="Times New Roman"/>
            <w:sz w:val="24"/>
            <w:szCs w:val="24"/>
            <w:lang w:eastAsia="en-GB"/>
          </w:rPr>
          <w:t>https://www.researchgate.net/publication/285000696_Organizational_socialization_The_effective_onboarding_of_new_employees</w:t>
        </w:r>
      </w:hyperlink>
      <w:r>
        <w:rPr>
          <w:rFonts w:ascii="Times New Roman" w:eastAsia="Times New Roman" w:hAnsi="Times New Roman" w:cs="Times New Roman"/>
          <w:sz w:val="24"/>
          <w:szCs w:val="24"/>
          <w:lang w:eastAsia="en-GB"/>
        </w:rPr>
        <w:t xml:space="preserve"> </w:t>
      </w:r>
      <w:r w:rsidRPr="002E0884">
        <w:rPr>
          <w:rFonts w:ascii="Times New Roman" w:eastAsia="Times New Roman" w:hAnsi="Times New Roman" w:cs="Times New Roman"/>
          <w:sz w:val="24"/>
          <w:szCs w:val="24"/>
          <w:lang w:eastAsia="en-GB"/>
        </w:rPr>
        <w:t xml:space="preserve"> [Accessed 17 Jan. 2024].</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Boys, J. (2022). </w:t>
      </w:r>
      <w:r w:rsidRPr="00EA617A">
        <w:rPr>
          <w:rFonts w:ascii="Times New Roman" w:eastAsia="Times New Roman" w:hAnsi="Times New Roman" w:cs="Times New Roman"/>
          <w:i/>
          <w:iCs/>
          <w:sz w:val="24"/>
          <w:szCs w:val="24"/>
          <w:lang w:eastAsia="en-GB"/>
        </w:rPr>
        <w:t>CIPD | Understanding Economy &amp; Labour Market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9" w:history="1">
        <w:r w:rsidRPr="00482106">
          <w:rPr>
            <w:rStyle w:val="Hyperlink"/>
            <w:rFonts w:ascii="Times New Roman" w:eastAsia="Times New Roman" w:hAnsi="Times New Roman" w:cs="Times New Roman"/>
            <w:sz w:val="24"/>
            <w:szCs w:val="24"/>
            <w:lang w:eastAsia="en-GB"/>
          </w:rPr>
          <w:t>https://www.cipd.org/uk/knowledge/factsheets/economy-labour-market-factsheet/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Brinkley, I. (2015). </w:t>
      </w:r>
      <w:r w:rsidRPr="00EA617A">
        <w:rPr>
          <w:rFonts w:ascii="Times New Roman" w:eastAsia="Times New Roman" w:hAnsi="Times New Roman" w:cs="Times New Roman"/>
          <w:i/>
          <w:iCs/>
          <w:sz w:val="24"/>
          <w:szCs w:val="24"/>
          <w:lang w:eastAsia="en-GB"/>
        </w:rPr>
        <w:t>Employment Regulation and the Labour Market Policy Report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10" w:history="1">
        <w:r w:rsidRPr="006C36EE">
          <w:rPr>
            <w:rStyle w:val="Hyperlink"/>
            <w:rFonts w:ascii="Times New Roman" w:eastAsia="Times New Roman" w:hAnsi="Times New Roman" w:cs="Times New Roman"/>
            <w:sz w:val="24"/>
            <w:szCs w:val="24"/>
            <w:lang w:eastAsia="en-GB"/>
          </w:rPr>
          <w:t>https://www.cipd.org/globalassets/media/knowledge/knowledge-hub/reports/employment-regulation-and-the-labour-market_2015_tcm18-10238.pdf</w:t>
        </w:r>
      </w:hyperlink>
      <w:r w:rsidRPr="00EA617A">
        <w:rPr>
          <w:rFonts w:ascii="Times New Roman" w:eastAsia="Times New Roman" w:hAnsi="Times New Roman" w:cs="Times New Roman"/>
          <w:sz w:val="24"/>
          <w:szCs w:val="24"/>
          <w:lang w:eastAsia="en-GB"/>
        </w:rPr>
        <w:t>.</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1E3C05">
        <w:rPr>
          <w:rFonts w:ascii="Times New Roman" w:eastAsia="Times New Roman" w:hAnsi="Times New Roman" w:cs="Times New Roman"/>
          <w:sz w:val="24"/>
          <w:szCs w:val="24"/>
          <w:lang w:eastAsia="en-GB"/>
        </w:rPr>
        <w:t>Cascio</w:t>
      </w:r>
      <w:proofErr w:type="spellEnd"/>
      <w:r w:rsidRPr="001E3C05">
        <w:rPr>
          <w:rFonts w:ascii="Times New Roman" w:eastAsia="Times New Roman" w:hAnsi="Times New Roman" w:cs="Times New Roman"/>
          <w:sz w:val="24"/>
          <w:szCs w:val="24"/>
          <w:lang w:eastAsia="en-GB"/>
        </w:rPr>
        <w:t xml:space="preserve">, W.F. (2018). </w:t>
      </w:r>
      <w:r w:rsidRPr="001E3C05">
        <w:rPr>
          <w:rFonts w:ascii="Times New Roman" w:eastAsia="Times New Roman" w:hAnsi="Times New Roman" w:cs="Times New Roman"/>
          <w:i/>
          <w:iCs/>
          <w:sz w:val="24"/>
          <w:szCs w:val="24"/>
          <w:lang w:eastAsia="en-GB"/>
        </w:rPr>
        <w:t>Managing Human Resources: productivity, Quality of Work life, Profits</w:t>
      </w:r>
      <w:r w:rsidRPr="001E3C05">
        <w:rPr>
          <w:rFonts w:ascii="Times New Roman" w:eastAsia="Times New Roman" w:hAnsi="Times New Roman" w:cs="Times New Roman"/>
          <w:sz w:val="24"/>
          <w:szCs w:val="24"/>
          <w:lang w:eastAsia="en-GB"/>
        </w:rPr>
        <w:t xml:space="preserve">. New York, </w:t>
      </w:r>
      <w:proofErr w:type="spellStart"/>
      <w:proofErr w:type="gramStart"/>
      <w:r w:rsidRPr="001E3C05">
        <w:rPr>
          <w:rFonts w:ascii="Times New Roman" w:eastAsia="Times New Roman" w:hAnsi="Times New Roman" w:cs="Times New Roman"/>
          <w:sz w:val="24"/>
          <w:szCs w:val="24"/>
          <w:lang w:eastAsia="en-GB"/>
        </w:rPr>
        <w:t>Ny</w:t>
      </w:r>
      <w:proofErr w:type="spellEnd"/>
      <w:proofErr w:type="gramEnd"/>
      <w:r w:rsidRPr="001E3C05">
        <w:rPr>
          <w:rFonts w:ascii="Times New Roman" w:eastAsia="Times New Roman" w:hAnsi="Times New Roman" w:cs="Times New Roman"/>
          <w:sz w:val="24"/>
          <w:szCs w:val="24"/>
          <w:lang w:eastAsia="en-GB"/>
        </w:rPr>
        <w:t xml:space="preserve">: </w:t>
      </w:r>
      <w:proofErr w:type="spellStart"/>
      <w:r w:rsidRPr="001E3C05">
        <w:rPr>
          <w:rFonts w:ascii="Times New Roman" w:eastAsia="Times New Roman" w:hAnsi="Times New Roman" w:cs="Times New Roman"/>
          <w:sz w:val="24"/>
          <w:szCs w:val="24"/>
          <w:lang w:eastAsia="en-GB"/>
        </w:rPr>
        <w:t>Mcgraw-Hill</w:t>
      </w:r>
      <w:proofErr w:type="spellEnd"/>
      <w:r w:rsidRPr="001E3C05">
        <w:rPr>
          <w:rFonts w:ascii="Times New Roman" w:eastAsia="Times New Roman" w:hAnsi="Times New Roman" w:cs="Times New Roman"/>
          <w:sz w:val="24"/>
          <w:szCs w:val="24"/>
          <w:lang w:eastAsia="en-GB"/>
        </w:rPr>
        <w:t xml:space="preserve"> Education.</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(2021). </w:t>
      </w:r>
      <w:r w:rsidRPr="00EA617A">
        <w:rPr>
          <w:rFonts w:ascii="Times New Roman" w:eastAsia="Times New Roman" w:hAnsi="Times New Roman" w:cs="Times New Roman"/>
          <w:i/>
          <w:iCs/>
          <w:sz w:val="24"/>
          <w:szCs w:val="24"/>
          <w:lang w:eastAsia="en-GB"/>
        </w:rPr>
        <w:t>CIPD | What’s Changing in Talent Management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1" w:history="1">
        <w:r w:rsidRPr="00482106">
          <w:rPr>
            <w:rStyle w:val="Hyperlink"/>
            <w:rFonts w:ascii="Times New Roman" w:eastAsia="Times New Roman" w:hAnsi="Times New Roman" w:cs="Times New Roman"/>
            <w:sz w:val="24"/>
            <w:szCs w:val="24"/>
            <w:lang w:eastAsia="en-GB"/>
          </w:rPr>
          <w:t>https://www.cipd.org/uk/about/news/what-changing-in-talent-management/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(2022a). </w:t>
      </w:r>
      <w:r w:rsidRPr="00EA617A">
        <w:rPr>
          <w:rFonts w:ascii="Times New Roman" w:eastAsia="Times New Roman" w:hAnsi="Times New Roman" w:cs="Times New Roman"/>
          <w:i/>
          <w:iCs/>
          <w:sz w:val="24"/>
          <w:szCs w:val="24"/>
          <w:lang w:eastAsia="en-GB"/>
        </w:rPr>
        <w:t xml:space="preserve">Resourcing and Talent </w:t>
      </w:r>
      <w:proofErr w:type="gramStart"/>
      <w:r w:rsidRPr="00EA617A">
        <w:rPr>
          <w:rFonts w:ascii="Times New Roman" w:eastAsia="Times New Roman" w:hAnsi="Times New Roman" w:cs="Times New Roman"/>
          <w:i/>
          <w:iCs/>
          <w:sz w:val="24"/>
          <w:szCs w:val="24"/>
          <w:lang w:eastAsia="en-GB"/>
        </w:rPr>
        <w:t xml:space="preserve">Planning </w:t>
      </w:r>
      <w:r w:rsidRPr="00EA617A">
        <w:rPr>
          <w:rFonts w:ascii="Times New Roman" w:eastAsia="Times New Roman" w:hAnsi="Times New Roman" w:cs="Times New Roman"/>
          <w:sz w:val="24"/>
          <w:szCs w:val="24"/>
          <w:lang w:eastAsia="en-GB"/>
        </w:rPr>
        <w:t>.</w:t>
      </w:r>
      <w:proofErr w:type="gramEnd"/>
      <w:r w:rsidRPr="00EA617A">
        <w:rPr>
          <w:rFonts w:ascii="Times New Roman" w:eastAsia="Times New Roman" w:hAnsi="Times New Roman" w:cs="Times New Roman"/>
          <w:sz w:val="24"/>
          <w:szCs w:val="24"/>
          <w:lang w:eastAsia="en-GB"/>
        </w:rPr>
        <w:t xml:space="preserve">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2" w:history="1">
        <w:r w:rsidRPr="00482106">
          <w:rPr>
            <w:rStyle w:val="Hyperlink"/>
            <w:rFonts w:ascii="Times New Roman" w:eastAsia="Times New Roman" w:hAnsi="Times New Roman" w:cs="Times New Roman"/>
            <w:sz w:val="24"/>
            <w:szCs w:val="24"/>
            <w:lang w:eastAsia="en-GB"/>
          </w:rPr>
          <w:t>https://www.cipd.org/globalassets/media/knowledge/knowledge-hub/reports/resourcing-and-talent-planning-report-2022-1_tcm18-111500.pdf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(2022b). </w:t>
      </w:r>
      <w:r w:rsidRPr="00EA617A">
        <w:rPr>
          <w:rFonts w:ascii="Times New Roman" w:eastAsia="Times New Roman" w:hAnsi="Times New Roman" w:cs="Times New Roman"/>
          <w:i/>
          <w:iCs/>
          <w:sz w:val="24"/>
          <w:szCs w:val="24"/>
          <w:lang w:eastAsia="en-GB"/>
        </w:rPr>
        <w:t xml:space="preserve">RESOURCING AND TALENT PLANNING REPORT 2022 in Partnership </w:t>
      </w:r>
      <w:proofErr w:type="gramStart"/>
      <w:r w:rsidRPr="00EA617A">
        <w:rPr>
          <w:rFonts w:ascii="Times New Roman" w:eastAsia="Times New Roman" w:hAnsi="Times New Roman" w:cs="Times New Roman"/>
          <w:i/>
          <w:iCs/>
          <w:sz w:val="24"/>
          <w:szCs w:val="24"/>
          <w:lang w:eastAsia="en-GB"/>
        </w:rPr>
        <w:t>with</w:t>
      </w:r>
      <w:proofErr w:type="gramEnd"/>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i/>
          <w:iCs/>
          <w:sz w:val="24"/>
          <w:szCs w:val="24"/>
          <w:lang w:eastAsia="en-GB"/>
        </w:rPr>
        <w:t>CIPD</w:t>
      </w:r>
      <w:r w:rsidRPr="00EA617A">
        <w:rPr>
          <w:rFonts w:ascii="Times New Roman" w:eastAsia="Times New Roman" w:hAnsi="Times New Roman" w:cs="Times New Roman"/>
          <w:sz w:val="24"/>
          <w:szCs w:val="24"/>
          <w:lang w:eastAsia="en-GB"/>
        </w:rPr>
        <w:t xml:space="preserve">. Available at: </w:t>
      </w:r>
      <w:hyperlink r:id="rId13" w:history="1">
        <w:r w:rsidRPr="00482106">
          <w:rPr>
            <w:rStyle w:val="Hyperlink"/>
            <w:rFonts w:ascii="Times New Roman" w:eastAsia="Times New Roman" w:hAnsi="Times New Roman" w:cs="Times New Roman"/>
            <w:sz w:val="24"/>
            <w:szCs w:val="24"/>
            <w:lang w:eastAsia="en-GB"/>
          </w:rPr>
          <w:t>https://www.cipd.org/globalassets/media/knowledge/knowledge-hub/reports/resourcing-and-talent-planning-report-2022-1_tcm18-111500.pdf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Crowley, L. (2022). </w:t>
      </w:r>
      <w:r w:rsidRPr="00EA617A">
        <w:rPr>
          <w:rFonts w:ascii="Times New Roman" w:eastAsia="Times New Roman" w:hAnsi="Times New Roman" w:cs="Times New Roman"/>
          <w:i/>
          <w:iCs/>
          <w:sz w:val="24"/>
          <w:szCs w:val="24"/>
          <w:lang w:eastAsia="en-GB"/>
        </w:rPr>
        <w:t>CIPD | Skills Development in the UK Workplace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4" w:history="1">
        <w:r w:rsidRPr="00482106">
          <w:rPr>
            <w:rStyle w:val="Hyperlink"/>
            <w:rFonts w:ascii="Times New Roman" w:eastAsia="Times New Roman" w:hAnsi="Times New Roman" w:cs="Times New Roman"/>
            <w:sz w:val="24"/>
            <w:szCs w:val="24"/>
            <w:lang w:eastAsia="en-GB"/>
          </w:rPr>
          <w:t>https://www.cipd.org/uk/knowledge/factsheets/skills-factsheet/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Deci</w:t>
      </w:r>
      <w:proofErr w:type="spellEnd"/>
      <w:r w:rsidRPr="00EA617A">
        <w:rPr>
          <w:rFonts w:ascii="Times New Roman" w:eastAsia="Times New Roman" w:hAnsi="Times New Roman" w:cs="Times New Roman"/>
          <w:sz w:val="24"/>
          <w:szCs w:val="24"/>
          <w:lang w:eastAsia="en-GB"/>
        </w:rPr>
        <w:t xml:space="preserve">, E.L. and Ryan, R.M. (2000). The ‘what’ and ‘why’ of Goal pursuits: Human Needs and the self-determination of Behaviour. </w:t>
      </w:r>
      <w:r w:rsidRPr="00EA617A">
        <w:rPr>
          <w:rFonts w:ascii="Times New Roman" w:eastAsia="Times New Roman" w:hAnsi="Times New Roman" w:cs="Times New Roman"/>
          <w:i/>
          <w:iCs/>
          <w:sz w:val="24"/>
          <w:szCs w:val="24"/>
          <w:lang w:eastAsia="en-GB"/>
        </w:rPr>
        <w:t>Psychological Inquiry</w:t>
      </w:r>
      <w:r w:rsidRPr="00EA617A">
        <w:rPr>
          <w:rFonts w:ascii="Times New Roman" w:eastAsia="Times New Roman" w:hAnsi="Times New Roman" w:cs="Times New Roman"/>
          <w:sz w:val="24"/>
          <w:szCs w:val="24"/>
          <w:lang w:eastAsia="en-GB"/>
        </w:rPr>
        <w:t>, 11(4), pp.227–268. doi:https://doi.org/10.1207/S15327965PLI1104_01.</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Gamba</w:t>
      </w:r>
      <w:proofErr w:type="spellEnd"/>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sz w:val="24"/>
          <w:szCs w:val="24"/>
          <w:lang w:eastAsia="en-GB"/>
        </w:rPr>
        <w:t>Quilliam</w:t>
      </w:r>
      <w:proofErr w:type="spellEnd"/>
      <w:r w:rsidRPr="00EA617A">
        <w:rPr>
          <w:rFonts w:ascii="Times New Roman" w:eastAsia="Times New Roman" w:hAnsi="Times New Roman" w:cs="Times New Roman"/>
          <w:sz w:val="24"/>
          <w:szCs w:val="24"/>
          <w:lang w:eastAsia="en-GB"/>
        </w:rPr>
        <w:t xml:space="preserve">, G. (2023). </w:t>
      </w:r>
      <w:r w:rsidRPr="00EA617A">
        <w:rPr>
          <w:rFonts w:ascii="Times New Roman" w:eastAsia="Times New Roman" w:hAnsi="Times New Roman" w:cs="Times New Roman"/>
          <w:i/>
          <w:iCs/>
          <w:sz w:val="24"/>
          <w:szCs w:val="24"/>
          <w:lang w:eastAsia="en-GB"/>
        </w:rPr>
        <w:t>CIPD | Talent Management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5" w:history="1">
        <w:r w:rsidRPr="00482106">
          <w:rPr>
            <w:rStyle w:val="Hyperlink"/>
            <w:rFonts w:ascii="Times New Roman" w:eastAsia="Times New Roman" w:hAnsi="Times New Roman" w:cs="Times New Roman"/>
            <w:sz w:val="24"/>
            <w:szCs w:val="24"/>
            <w:lang w:eastAsia="en-GB"/>
          </w:rPr>
          <w:t>https://www.cipd.org/uk/knowledge/factsheets/talent-factsheet/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George, S. (2022a). </w:t>
      </w:r>
      <w:r w:rsidRPr="00EA617A">
        <w:rPr>
          <w:rFonts w:ascii="Times New Roman" w:eastAsia="Times New Roman" w:hAnsi="Times New Roman" w:cs="Times New Roman"/>
          <w:i/>
          <w:iCs/>
          <w:sz w:val="24"/>
          <w:szCs w:val="24"/>
          <w:lang w:eastAsia="en-GB"/>
        </w:rPr>
        <w:t>CIPD | Succession Planning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6" w:history="1">
        <w:r w:rsidRPr="00482106">
          <w:rPr>
            <w:rStyle w:val="Hyperlink"/>
            <w:rFonts w:ascii="Times New Roman" w:eastAsia="Times New Roman" w:hAnsi="Times New Roman" w:cs="Times New Roman"/>
            <w:sz w:val="24"/>
            <w:szCs w:val="24"/>
            <w:lang w:eastAsia="en-GB"/>
          </w:rPr>
          <w:t>https://www.cipd.org/uk/knowledge/factsheets/succession-planning-factsheet/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lastRenderedPageBreak/>
        <w:t xml:space="preserve">George, S. (2022b). </w:t>
      </w:r>
      <w:r w:rsidRPr="00EA617A">
        <w:rPr>
          <w:rFonts w:ascii="Times New Roman" w:eastAsia="Times New Roman" w:hAnsi="Times New Roman" w:cs="Times New Roman"/>
          <w:i/>
          <w:iCs/>
          <w:sz w:val="24"/>
          <w:szCs w:val="24"/>
          <w:lang w:eastAsia="en-GB"/>
        </w:rPr>
        <w:t>CIPD | Workforce Planning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7" w:history="1">
        <w:r w:rsidRPr="00482106">
          <w:rPr>
            <w:rStyle w:val="Hyperlink"/>
            <w:rFonts w:ascii="Times New Roman" w:eastAsia="Times New Roman" w:hAnsi="Times New Roman" w:cs="Times New Roman"/>
            <w:sz w:val="24"/>
            <w:szCs w:val="24"/>
            <w:lang w:eastAsia="en-GB"/>
          </w:rPr>
          <w:t>https://www.cipd.org/uk/knowledge/factsheets/workforce-planning-factsheet/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Herring, C. (2009). Does Diversity pay</w:t>
      </w:r>
      <w:proofErr w:type="gramStart"/>
      <w:r w:rsidRPr="00EA617A">
        <w:rPr>
          <w:rFonts w:ascii="Times New Roman" w:eastAsia="Times New Roman" w:hAnsi="Times New Roman" w:cs="Times New Roman"/>
          <w:sz w:val="24"/>
          <w:szCs w:val="24"/>
          <w:lang w:eastAsia="en-GB"/>
        </w:rPr>
        <w:t>?:</w:t>
      </w:r>
      <w:proofErr w:type="gramEnd"/>
      <w:r w:rsidRPr="00EA617A">
        <w:rPr>
          <w:rFonts w:ascii="Times New Roman" w:eastAsia="Times New Roman" w:hAnsi="Times New Roman" w:cs="Times New Roman"/>
          <w:sz w:val="24"/>
          <w:szCs w:val="24"/>
          <w:lang w:eastAsia="en-GB"/>
        </w:rPr>
        <w:t xml:space="preserve"> Race, gender, and the Business Case for Diversity. </w:t>
      </w:r>
      <w:r w:rsidRPr="00EA617A">
        <w:rPr>
          <w:rFonts w:ascii="Times New Roman" w:eastAsia="Times New Roman" w:hAnsi="Times New Roman" w:cs="Times New Roman"/>
          <w:i/>
          <w:iCs/>
          <w:sz w:val="24"/>
          <w:szCs w:val="24"/>
          <w:lang w:eastAsia="en-GB"/>
        </w:rPr>
        <w:t>American Sociological Review</w:t>
      </w:r>
      <w:r w:rsidRPr="00EA617A">
        <w:rPr>
          <w:rFonts w:ascii="Times New Roman" w:eastAsia="Times New Roman" w:hAnsi="Times New Roman" w:cs="Times New Roman"/>
          <w:sz w:val="24"/>
          <w:szCs w:val="24"/>
          <w:lang w:eastAsia="en-GB"/>
        </w:rPr>
        <w:t>, 74(2), pp.208–224.</w:t>
      </w:r>
    </w:p>
    <w:p w:rsidR="00637CAB" w:rsidRDefault="00637CAB" w:rsidP="00637CAB">
      <w:pPr>
        <w:spacing w:after="240" w:line="360" w:lineRule="auto"/>
        <w:rPr>
          <w:rFonts w:ascii="Times New Roman" w:eastAsia="Times New Roman" w:hAnsi="Times New Roman" w:cs="Times New Roman"/>
          <w:sz w:val="24"/>
          <w:szCs w:val="24"/>
          <w:lang w:eastAsia="en-GB"/>
        </w:rPr>
      </w:pPr>
      <w:proofErr w:type="spellStart"/>
      <w:r w:rsidRPr="0014025B">
        <w:rPr>
          <w:rFonts w:ascii="Times New Roman" w:eastAsia="Times New Roman" w:hAnsi="Times New Roman" w:cs="Times New Roman"/>
          <w:sz w:val="24"/>
          <w:szCs w:val="24"/>
          <w:lang w:eastAsia="en-GB"/>
        </w:rPr>
        <w:t>Howlett</w:t>
      </w:r>
      <w:proofErr w:type="spellEnd"/>
      <w:r w:rsidRPr="0014025B">
        <w:rPr>
          <w:rFonts w:ascii="Times New Roman" w:eastAsia="Times New Roman" w:hAnsi="Times New Roman" w:cs="Times New Roman"/>
          <w:sz w:val="24"/>
          <w:szCs w:val="24"/>
          <w:lang w:eastAsia="en-GB"/>
        </w:rPr>
        <w:t xml:space="preserve">, E. (2020). </w:t>
      </w:r>
      <w:r w:rsidRPr="0014025B">
        <w:rPr>
          <w:rFonts w:ascii="Times New Roman" w:eastAsia="Times New Roman" w:hAnsi="Times New Roman" w:cs="Times New Roman"/>
          <w:i/>
          <w:iCs/>
          <w:sz w:val="24"/>
          <w:szCs w:val="24"/>
          <w:lang w:eastAsia="en-GB"/>
        </w:rPr>
        <w:t>How to Get Onboarding Right</w:t>
      </w:r>
      <w:r w:rsidRPr="0014025B">
        <w:rPr>
          <w:rFonts w:ascii="Times New Roman" w:eastAsia="Times New Roman" w:hAnsi="Times New Roman" w:cs="Times New Roman"/>
          <w:sz w:val="24"/>
          <w:szCs w:val="24"/>
          <w:lang w:eastAsia="en-GB"/>
        </w:rPr>
        <w:t>. [</w:t>
      </w:r>
      <w:proofErr w:type="gramStart"/>
      <w:r w:rsidRPr="0014025B">
        <w:rPr>
          <w:rFonts w:ascii="Times New Roman" w:eastAsia="Times New Roman" w:hAnsi="Times New Roman" w:cs="Times New Roman"/>
          <w:sz w:val="24"/>
          <w:szCs w:val="24"/>
          <w:lang w:eastAsia="en-GB"/>
        </w:rPr>
        <w:t>online</w:t>
      </w:r>
      <w:proofErr w:type="gramEnd"/>
      <w:r w:rsidRPr="0014025B">
        <w:rPr>
          <w:rFonts w:ascii="Times New Roman" w:eastAsia="Times New Roman" w:hAnsi="Times New Roman" w:cs="Times New Roman"/>
          <w:sz w:val="24"/>
          <w:szCs w:val="24"/>
          <w:lang w:eastAsia="en-GB"/>
        </w:rPr>
        <w:t xml:space="preserve">] www.peoplemanagement.co.uk. Available at: </w:t>
      </w:r>
      <w:hyperlink r:id="rId18" w:history="1">
        <w:r w:rsidRPr="00482106">
          <w:rPr>
            <w:rStyle w:val="Hyperlink"/>
            <w:rFonts w:ascii="Times New Roman" w:eastAsia="Times New Roman" w:hAnsi="Times New Roman" w:cs="Times New Roman"/>
            <w:sz w:val="24"/>
            <w:szCs w:val="24"/>
            <w:lang w:eastAsia="en-GB"/>
          </w:rPr>
          <w:t>https://www.peoplemanagement.co.uk/article/1742140/how-get-onboarding-right</w:t>
        </w:r>
      </w:hyperlink>
      <w:r>
        <w:rPr>
          <w:rFonts w:ascii="Times New Roman" w:eastAsia="Times New Roman" w:hAnsi="Times New Roman" w:cs="Times New Roman"/>
          <w:sz w:val="24"/>
          <w:szCs w:val="24"/>
          <w:lang w:eastAsia="en-GB"/>
        </w:rPr>
        <w:t xml:space="preserve"> </w:t>
      </w:r>
      <w:r w:rsidRPr="0014025B">
        <w:rPr>
          <w:rFonts w:ascii="Times New Roman" w:eastAsia="Times New Roman" w:hAnsi="Times New Roman" w:cs="Times New Roman"/>
          <w:sz w:val="24"/>
          <w:szCs w:val="24"/>
          <w:lang w:eastAsia="en-GB"/>
        </w:rPr>
        <w:t xml:space="preserve"> [Accessed 17 Jan. 2024].</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883D1C">
        <w:rPr>
          <w:rFonts w:ascii="Times New Roman" w:eastAsia="Times New Roman" w:hAnsi="Times New Roman" w:cs="Times New Roman"/>
          <w:sz w:val="24"/>
          <w:szCs w:val="24"/>
          <w:lang w:eastAsia="en-GB"/>
        </w:rPr>
        <w:t xml:space="preserve">Jacobs, K., Willmott, B. and Brown, Dr.S. (2023). </w:t>
      </w:r>
      <w:r w:rsidRPr="00883D1C">
        <w:rPr>
          <w:rFonts w:ascii="Times New Roman" w:eastAsia="Times New Roman" w:hAnsi="Times New Roman" w:cs="Times New Roman"/>
          <w:i/>
          <w:iCs/>
          <w:sz w:val="24"/>
          <w:szCs w:val="24"/>
          <w:lang w:eastAsia="en-GB"/>
        </w:rPr>
        <w:t>Survey Report EFFECTIVE WORKFORCE REPORTING Improving People Data for Business Leaders</w:t>
      </w:r>
      <w:r w:rsidRPr="00883D1C">
        <w:rPr>
          <w:rFonts w:ascii="Times New Roman" w:eastAsia="Times New Roman" w:hAnsi="Times New Roman" w:cs="Times New Roman"/>
          <w:sz w:val="24"/>
          <w:szCs w:val="24"/>
          <w:lang w:eastAsia="en-GB"/>
        </w:rPr>
        <w:t>. [</w:t>
      </w:r>
      <w:proofErr w:type="gramStart"/>
      <w:r w:rsidRPr="00883D1C">
        <w:rPr>
          <w:rFonts w:ascii="Times New Roman" w:eastAsia="Times New Roman" w:hAnsi="Times New Roman" w:cs="Times New Roman"/>
          <w:sz w:val="24"/>
          <w:szCs w:val="24"/>
          <w:lang w:eastAsia="en-GB"/>
        </w:rPr>
        <w:t>online</w:t>
      </w:r>
      <w:proofErr w:type="gramEnd"/>
      <w:r w:rsidRPr="00883D1C">
        <w:rPr>
          <w:rFonts w:ascii="Times New Roman" w:eastAsia="Times New Roman" w:hAnsi="Times New Roman" w:cs="Times New Roman"/>
          <w:sz w:val="24"/>
          <w:szCs w:val="24"/>
          <w:lang w:eastAsia="en-GB"/>
        </w:rPr>
        <w:t>] Available at: https://www.cipd.org/globalassets/media/knowledge/knowledge-hub/reports/workforce-reporting-1_tcm18-113899.pdf.</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Kochan</w:t>
      </w:r>
      <w:proofErr w:type="spellEnd"/>
      <w:r w:rsidRPr="00EA617A">
        <w:rPr>
          <w:rFonts w:ascii="Times New Roman" w:eastAsia="Times New Roman" w:hAnsi="Times New Roman" w:cs="Times New Roman"/>
          <w:sz w:val="24"/>
          <w:szCs w:val="24"/>
          <w:lang w:eastAsia="en-GB"/>
        </w:rPr>
        <w:t xml:space="preserve">, T.A., Katerina </w:t>
      </w:r>
      <w:proofErr w:type="spellStart"/>
      <w:r w:rsidRPr="00EA617A">
        <w:rPr>
          <w:rFonts w:ascii="Times New Roman" w:eastAsia="Times New Roman" w:hAnsi="Times New Roman" w:cs="Times New Roman"/>
          <w:sz w:val="24"/>
          <w:szCs w:val="24"/>
          <w:lang w:eastAsia="en-GB"/>
        </w:rPr>
        <w:t>Bezrukova</w:t>
      </w:r>
      <w:proofErr w:type="spellEnd"/>
      <w:r w:rsidRPr="00EA617A">
        <w:rPr>
          <w:rFonts w:ascii="Times New Roman" w:eastAsia="Times New Roman" w:hAnsi="Times New Roman" w:cs="Times New Roman"/>
          <w:sz w:val="24"/>
          <w:szCs w:val="24"/>
          <w:lang w:eastAsia="en-GB"/>
        </w:rPr>
        <w:t xml:space="preserve">, Ely, R. and Thomas, D.I. (2003). </w:t>
      </w:r>
      <w:r w:rsidRPr="00EA617A">
        <w:rPr>
          <w:rFonts w:ascii="Times New Roman" w:eastAsia="Times New Roman" w:hAnsi="Times New Roman" w:cs="Times New Roman"/>
          <w:i/>
          <w:iCs/>
          <w:sz w:val="24"/>
          <w:szCs w:val="24"/>
          <w:lang w:eastAsia="en-GB"/>
        </w:rPr>
        <w:t>The Effects of Diversity on Business performance: Report of the Diversity Research Network</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ResearchGate. Available at: </w:t>
      </w:r>
      <w:r>
        <w:rPr>
          <w:rFonts w:ascii="Times New Roman" w:eastAsia="Times New Roman" w:hAnsi="Times New Roman" w:cs="Times New Roman"/>
          <w:sz w:val="24"/>
          <w:szCs w:val="24"/>
          <w:lang w:eastAsia="en-GB"/>
        </w:rPr>
        <w:t xml:space="preserve"> </w:t>
      </w:r>
      <w:hyperlink r:id="rId19" w:history="1">
        <w:r w:rsidRPr="00482106">
          <w:rPr>
            <w:rStyle w:val="Hyperlink"/>
            <w:rFonts w:ascii="Times New Roman" w:eastAsia="Times New Roman" w:hAnsi="Times New Roman" w:cs="Times New Roman"/>
            <w:sz w:val="24"/>
            <w:szCs w:val="24"/>
            <w:lang w:eastAsia="en-GB"/>
          </w:rPr>
          <w:t>https://www.researchgate.net/publication/227663602_The_effects_of_diversity_on_business_performance_Report_of_the_diversity_research_network</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28 Dec. 2023].</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Kumar, S. (2021). The Impact of Talent Management Practices on Employee Turnover and Retention Intentions. </w:t>
      </w:r>
      <w:r w:rsidRPr="00EA617A">
        <w:rPr>
          <w:rFonts w:ascii="Times New Roman" w:eastAsia="Times New Roman" w:hAnsi="Times New Roman" w:cs="Times New Roman"/>
          <w:i/>
          <w:iCs/>
          <w:sz w:val="24"/>
          <w:szCs w:val="24"/>
          <w:lang w:eastAsia="en-GB"/>
        </w:rPr>
        <w:t>Global Business and Organizational Excellence</w:t>
      </w:r>
      <w:r w:rsidRPr="00EA617A">
        <w:rPr>
          <w:rFonts w:ascii="Times New Roman" w:eastAsia="Times New Roman" w:hAnsi="Times New Roman" w:cs="Times New Roman"/>
          <w:sz w:val="24"/>
          <w:szCs w:val="24"/>
          <w:lang w:eastAsia="en-GB"/>
        </w:rPr>
        <w:t>, 41(2), pp.21–34. doi:https://doi.org/10.1002/joe.22130.</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McCartney, C. (2022). </w:t>
      </w:r>
      <w:r w:rsidRPr="00EA617A">
        <w:rPr>
          <w:rFonts w:ascii="Times New Roman" w:eastAsia="Times New Roman" w:hAnsi="Times New Roman" w:cs="Times New Roman"/>
          <w:i/>
          <w:iCs/>
          <w:sz w:val="24"/>
          <w:szCs w:val="24"/>
          <w:lang w:eastAsia="en-GB"/>
        </w:rPr>
        <w:t>CIPD | Recruitment Process Overview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0" w:history="1">
        <w:r w:rsidRPr="00482106">
          <w:rPr>
            <w:rStyle w:val="Hyperlink"/>
            <w:rFonts w:ascii="Times New Roman" w:eastAsia="Times New Roman" w:hAnsi="Times New Roman" w:cs="Times New Roman"/>
            <w:sz w:val="24"/>
            <w:szCs w:val="24"/>
            <w:lang w:eastAsia="en-GB"/>
          </w:rPr>
          <w:t>https://www.cipd.org/uk/knowledge/factsheets/recruitment-factsheet/</w:t>
        </w:r>
      </w:hyperlink>
      <w:r w:rsidRPr="00EA617A">
        <w:rPr>
          <w:rFonts w:ascii="Times New Roman" w:eastAsia="Times New Roman" w:hAnsi="Times New Roman" w:cs="Times New Roman"/>
          <w:sz w:val="24"/>
          <w:szCs w:val="24"/>
          <w:lang w:eastAsia="en-GB"/>
        </w:rPr>
        <w:t>.</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14025B">
        <w:rPr>
          <w:rFonts w:ascii="Times New Roman" w:eastAsia="Times New Roman" w:hAnsi="Times New Roman" w:cs="Times New Roman"/>
          <w:sz w:val="24"/>
          <w:szCs w:val="24"/>
          <w:lang w:eastAsia="en-GB"/>
        </w:rPr>
        <w:t xml:space="preserve">McCartney, C. (2023). </w:t>
      </w:r>
      <w:r w:rsidRPr="0014025B">
        <w:rPr>
          <w:rFonts w:ascii="Times New Roman" w:eastAsia="Times New Roman" w:hAnsi="Times New Roman" w:cs="Times New Roman"/>
          <w:i/>
          <w:iCs/>
          <w:sz w:val="24"/>
          <w:szCs w:val="24"/>
          <w:lang w:eastAsia="en-GB"/>
        </w:rPr>
        <w:t>CIPD | Induction | Factsheets</w:t>
      </w:r>
      <w:r w:rsidRPr="0014025B">
        <w:rPr>
          <w:rFonts w:ascii="Times New Roman" w:eastAsia="Times New Roman" w:hAnsi="Times New Roman" w:cs="Times New Roman"/>
          <w:sz w:val="24"/>
          <w:szCs w:val="24"/>
          <w:lang w:eastAsia="en-GB"/>
        </w:rPr>
        <w:t>. [</w:t>
      </w:r>
      <w:proofErr w:type="gramStart"/>
      <w:r w:rsidRPr="0014025B">
        <w:rPr>
          <w:rFonts w:ascii="Times New Roman" w:eastAsia="Times New Roman" w:hAnsi="Times New Roman" w:cs="Times New Roman"/>
          <w:sz w:val="24"/>
          <w:szCs w:val="24"/>
          <w:lang w:eastAsia="en-GB"/>
        </w:rPr>
        <w:t>online</w:t>
      </w:r>
      <w:proofErr w:type="gramEnd"/>
      <w:r w:rsidRPr="0014025B">
        <w:rPr>
          <w:rFonts w:ascii="Times New Roman" w:eastAsia="Times New Roman" w:hAnsi="Times New Roman" w:cs="Times New Roman"/>
          <w:sz w:val="24"/>
          <w:szCs w:val="24"/>
          <w:lang w:eastAsia="en-GB"/>
        </w:rPr>
        <w:t xml:space="preserve">] CIPD. Available at: </w:t>
      </w:r>
      <w:hyperlink r:id="rId21" w:history="1">
        <w:r w:rsidRPr="00482106">
          <w:rPr>
            <w:rStyle w:val="Hyperlink"/>
            <w:rFonts w:ascii="Times New Roman" w:eastAsia="Times New Roman" w:hAnsi="Times New Roman" w:cs="Times New Roman"/>
            <w:sz w:val="24"/>
            <w:szCs w:val="24"/>
            <w:lang w:eastAsia="en-GB"/>
          </w:rPr>
          <w:t>https://www.cipd.org/uk/knowledge/factsheets/induction-factsheet/</w:t>
        </w:r>
      </w:hyperlink>
      <w:r w:rsidRPr="0014025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Miller, J. (2022). </w:t>
      </w:r>
      <w:r w:rsidRPr="00EA617A">
        <w:rPr>
          <w:rFonts w:ascii="Times New Roman" w:eastAsia="Times New Roman" w:hAnsi="Times New Roman" w:cs="Times New Roman"/>
          <w:i/>
          <w:iCs/>
          <w:sz w:val="24"/>
          <w:szCs w:val="24"/>
          <w:lang w:eastAsia="en-GB"/>
        </w:rPr>
        <w:t>Inclusion at Work</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2" w:history="1">
        <w:r w:rsidRPr="00482106">
          <w:rPr>
            <w:rStyle w:val="Hyperlink"/>
            <w:rFonts w:ascii="Times New Roman" w:eastAsia="Times New Roman" w:hAnsi="Times New Roman" w:cs="Times New Roman"/>
            <w:sz w:val="24"/>
            <w:szCs w:val="24"/>
            <w:lang w:eastAsia="en-GB"/>
          </w:rPr>
          <w:t>https://www.cipd.org/globalassets/media/knowledge/knowledge-hub/reports/2022-pdfs/2022-inclusion-at-work-report.pdf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Peters, R. (2022). </w:t>
      </w:r>
      <w:r w:rsidRPr="00EA617A">
        <w:rPr>
          <w:rFonts w:ascii="Times New Roman" w:eastAsia="Times New Roman" w:hAnsi="Times New Roman" w:cs="Times New Roman"/>
          <w:i/>
          <w:iCs/>
          <w:sz w:val="24"/>
          <w:szCs w:val="24"/>
          <w:lang w:eastAsia="en-GB"/>
        </w:rPr>
        <w:t>CIPD | Employer Branding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3" w:history="1">
        <w:r w:rsidRPr="00482106">
          <w:rPr>
            <w:rStyle w:val="Hyperlink"/>
            <w:rFonts w:ascii="Times New Roman" w:eastAsia="Times New Roman" w:hAnsi="Times New Roman" w:cs="Times New Roman"/>
            <w:sz w:val="24"/>
            <w:szCs w:val="24"/>
            <w:lang w:eastAsia="en-GB"/>
          </w:rPr>
          <w:t>https://www.cipd.org/uk/knowledge/factsheets/recruitment-brand-factsheet/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lastRenderedPageBreak/>
        <w:t xml:space="preserve">Peters, R. (2023). </w:t>
      </w:r>
      <w:r w:rsidRPr="00EA617A">
        <w:rPr>
          <w:rFonts w:ascii="Times New Roman" w:eastAsia="Times New Roman" w:hAnsi="Times New Roman" w:cs="Times New Roman"/>
          <w:i/>
          <w:iCs/>
          <w:sz w:val="24"/>
          <w:szCs w:val="24"/>
          <w:lang w:eastAsia="en-GB"/>
        </w:rPr>
        <w:t>CIPD | Employee Turnover &amp; Retention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4" w:history="1">
        <w:r w:rsidRPr="00482106">
          <w:rPr>
            <w:rStyle w:val="Hyperlink"/>
            <w:rFonts w:ascii="Times New Roman" w:eastAsia="Times New Roman" w:hAnsi="Times New Roman" w:cs="Times New Roman"/>
            <w:sz w:val="24"/>
            <w:szCs w:val="24"/>
            <w:lang w:eastAsia="en-GB"/>
          </w:rPr>
          <w:t>https://www.cipd.org/uk/knowledge/factsheets/turnover-retention-factsheet/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Pulakos</w:t>
      </w:r>
      <w:proofErr w:type="spellEnd"/>
      <w:r w:rsidRPr="00EA617A">
        <w:rPr>
          <w:rFonts w:ascii="Times New Roman" w:eastAsia="Times New Roman" w:hAnsi="Times New Roman" w:cs="Times New Roman"/>
          <w:sz w:val="24"/>
          <w:szCs w:val="24"/>
          <w:lang w:eastAsia="en-GB"/>
        </w:rPr>
        <w:t xml:space="preserve">, E. (2005). </w:t>
      </w:r>
      <w:r w:rsidRPr="00EA617A">
        <w:rPr>
          <w:rFonts w:ascii="Times New Roman" w:eastAsia="Times New Roman" w:hAnsi="Times New Roman" w:cs="Times New Roman"/>
          <w:i/>
          <w:iCs/>
          <w:sz w:val="24"/>
          <w:szCs w:val="24"/>
          <w:lang w:eastAsia="en-GB"/>
        </w:rPr>
        <w:t xml:space="preserve">Selection Assessment Methods a Guide to Implementing Formal Assessments to </w:t>
      </w:r>
      <w:proofErr w:type="gramStart"/>
      <w:r w:rsidRPr="00EA617A">
        <w:rPr>
          <w:rFonts w:ascii="Times New Roman" w:eastAsia="Times New Roman" w:hAnsi="Times New Roman" w:cs="Times New Roman"/>
          <w:i/>
          <w:iCs/>
          <w:sz w:val="24"/>
          <w:szCs w:val="24"/>
          <w:lang w:eastAsia="en-GB"/>
        </w:rPr>
        <w:t>Build</w:t>
      </w:r>
      <w:proofErr w:type="gramEnd"/>
      <w:r w:rsidRPr="00EA617A">
        <w:rPr>
          <w:rFonts w:ascii="Times New Roman" w:eastAsia="Times New Roman" w:hAnsi="Times New Roman" w:cs="Times New Roman"/>
          <w:i/>
          <w:iCs/>
          <w:sz w:val="24"/>
          <w:szCs w:val="24"/>
          <w:lang w:eastAsia="en-GB"/>
        </w:rPr>
        <w:t xml:space="preserve"> a high-quality Workforce</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5" w:history="1">
        <w:r w:rsidRPr="00482106">
          <w:rPr>
            <w:rStyle w:val="Hyperlink"/>
            <w:rFonts w:ascii="Times New Roman" w:eastAsia="Times New Roman" w:hAnsi="Times New Roman" w:cs="Times New Roman"/>
            <w:sz w:val="24"/>
            <w:szCs w:val="24"/>
            <w:lang w:eastAsia="en-GB"/>
          </w:rPr>
          <w:t>https://www.shrm.org/hr-today/news/hr-magazine/Documents/assessment_methods.pdf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PWC (2016). </w:t>
      </w:r>
      <w:r w:rsidRPr="00EA617A">
        <w:rPr>
          <w:rFonts w:ascii="Times New Roman" w:eastAsia="Times New Roman" w:hAnsi="Times New Roman" w:cs="Times New Roman"/>
          <w:i/>
          <w:iCs/>
          <w:sz w:val="24"/>
          <w:szCs w:val="24"/>
          <w:lang w:eastAsia="en-GB"/>
        </w:rPr>
        <w:t>Unlocking Your Workforce Potential Asset Management HR Network &amp; Halo for Pay Benchmarking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6" w:history="1">
        <w:r w:rsidRPr="00482106">
          <w:rPr>
            <w:rStyle w:val="Hyperlink"/>
            <w:rFonts w:ascii="Times New Roman" w:eastAsia="Times New Roman" w:hAnsi="Times New Roman" w:cs="Times New Roman"/>
            <w:sz w:val="24"/>
            <w:szCs w:val="24"/>
            <w:lang w:eastAsia="en-GB"/>
          </w:rPr>
          <w:t>https://www.pwc.com/gx/en/people-organisation/image/prpi-2016-benchmark-your-remuneration-strategy-flyer.pdf</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 xml:space="preserve"> [Accessed 8 Dec. 2023].</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883D1C">
        <w:rPr>
          <w:rFonts w:ascii="Times New Roman" w:eastAsia="Times New Roman" w:hAnsi="Times New Roman" w:cs="Times New Roman"/>
          <w:sz w:val="24"/>
          <w:szCs w:val="24"/>
          <w:lang w:eastAsia="en-GB"/>
        </w:rPr>
        <w:t>Schwepker</w:t>
      </w:r>
      <w:proofErr w:type="spellEnd"/>
      <w:r w:rsidRPr="00883D1C">
        <w:rPr>
          <w:rFonts w:ascii="Times New Roman" w:eastAsia="Times New Roman" w:hAnsi="Times New Roman" w:cs="Times New Roman"/>
          <w:sz w:val="24"/>
          <w:szCs w:val="24"/>
          <w:lang w:eastAsia="en-GB"/>
        </w:rPr>
        <w:t xml:space="preserve">, C.H., Valentine, S.R., </w:t>
      </w:r>
      <w:proofErr w:type="spellStart"/>
      <w:r w:rsidRPr="00883D1C">
        <w:rPr>
          <w:rFonts w:ascii="Times New Roman" w:eastAsia="Times New Roman" w:hAnsi="Times New Roman" w:cs="Times New Roman"/>
          <w:sz w:val="24"/>
          <w:szCs w:val="24"/>
          <w:lang w:eastAsia="en-GB"/>
        </w:rPr>
        <w:t>Giacalone</w:t>
      </w:r>
      <w:proofErr w:type="spellEnd"/>
      <w:r w:rsidRPr="00883D1C">
        <w:rPr>
          <w:rFonts w:ascii="Times New Roman" w:eastAsia="Times New Roman" w:hAnsi="Times New Roman" w:cs="Times New Roman"/>
          <w:sz w:val="24"/>
          <w:szCs w:val="24"/>
          <w:lang w:eastAsia="en-GB"/>
        </w:rPr>
        <w:t xml:space="preserve">, R.A. and </w:t>
      </w:r>
      <w:proofErr w:type="spellStart"/>
      <w:r w:rsidRPr="00883D1C">
        <w:rPr>
          <w:rFonts w:ascii="Times New Roman" w:eastAsia="Times New Roman" w:hAnsi="Times New Roman" w:cs="Times New Roman"/>
          <w:sz w:val="24"/>
          <w:szCs w:val="24"/>
          <w:lang w:eastAsia="en-GB"/>
        </w:rPr>
        <w:t>Promislo</w:t>
      </w:r>
      <w:proofErr w:type="spellEnd"/>
      <w:r w:rsidRPr="00883D1C">
        <w:rPr>
          <w:rFonts w:ascii="Times New Roman" w:eastAsia="Times New Roman" w:hAnsi="Times New Roman" w:cs="Times New Roman"/>
          <w:sz w:val="24"/>
          <w:szCs w:val="24"/>
          <w:lang w:eastAsia="en-GB"/>
        </w:rPr>
        <w:t xml:space="preserve">, M. (2020). Good Barrels Yield Healthy Apples: Organizational Ethics as a Mechanism for Mitigating Work-Related Stress and Promoting Employee Well-Being. </w:t>
      </w:r>
      <w:r w:rsidRPr="00883D1C">
        <w:rPr>
          <w:rFonts w:ascii="Times New Roman" w:eastAsia="Times New Roman" w:hAnsi="Times New Roman" w:cs="Times New Roman"/>
          <w:i/>
          <w:iCs/>
          <w:sz w:val="24"/>
          <w:szCs w:val="24"/>
          <w:lang w:eastAsia="en-GB"/>
        </w:rPr>
        <w:t>Journal of Business Ethics</w:t>
      </w:r>
      <w:r w:rsidRPr="00883D1C">
        <w:rPr>
          <w:rFonts w:ascii="Times New Roman" w:eastAsia="Times New Roman" w:hAnsi="Times New Roman" w:cs="Times New Roman"/>
          <w:sz w:val="24"/>
          <w:szCs w:val="24"/>
          <w:lang w:eastAsia="en-GB"/>
        </w:rPr>
        <w:t>, 174(1). doi:https://doi.org/10.1007/s10551-020-04562-w.</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SHRM (2019). </w:t>
      </w:r>
      <w:r w:rsidRPr="00EA617A">
        <w:rPr>
          <w:rFonts w:ascii="Times New Roman" w:eastAsia="Times New Roman" w:hAnsi="Times New Roman" w:cs="Times New Roman"/>
          <w:i/>
          <w:iCs/>
          <w:sz w:val="24"/>
          <w:szCs w:val="24"/>
          <w:lang w:eastAsia="en-GB"/>
        </w:rPr>
        <w:t>Engaging in Succession Planning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SHRM. Available at: </w:t>
      </w:r>
      <w:hyperlink r:id="rId27" w:history="1">
        <w:r w:rsidRPr="00482106">
          <w:rPr>
            <w:rStyle w:val="Hyperlink"/>
            <w:rFonts w:ascii="Times New Roman" w:eastAsia="Times New Roman" w:hAnsi="Times New Roman" w:cs="Times New Roman"/>
            <w:sz w:val="24"/>
            <w:szCs w:val="24"/>
            <w:lang w:eastAsia="en-GB"/>
          </w:rPr>
          <w:t>https://www.shrm.org/resourcesandtools/tools-and-samples/toolkits/pages/engaginginsuccessionplanning.aspx</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SHRM (</w:t>
      </w:r>
      <w:proofErr w:type="spellStart"/>
      <w:r w:rsidRPr="00EA617A">
        <w:rPr>
          <w:rFonts w:ascii="Times New Roman" w:eastAsia="Times New Roman" w:hAnsi="Times New Roman" w:cs="Times New Roman"/>
          <w:sz w:val="24"/>
          <w:szCs w:val="24"/>
          <w:lang w:eastAsia="en-GB"/>
        </w:rPr>
        <w:t>n.d.</w:t>
      </w:r>
      <w:proofErr w:type="spellEnd"/>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i/>
          <w:iCs/>
          <w:sz w:val="24"/>
          <w:szCs w:val="24"/>
          <w:lang w:eastAsia="en-GB"/>
        </w:rPr>
        <w:t>Shrm</w:t>
      </w:r>
      <w:proofErr w:type="spellEnd"/>
      <w:r w:rsidRPr="00EA617A">
        <w:rPr>
          <w:rFonts w:ascii="Times New Roman" w:eastAsia="Times New Roman" w:hAnsi="Times New Roman" w:cs="Times New Roman"/>
          <w:i/>
          <w:iCs/>
          <w:sz w:val="24"/>
          <w:szCs w:val="24"/>
          <w:lang w:eastAsia="en-GB"/>
        </w:rPr>
        <w:t xml:space="preserve"> Effective Interviewing - Google Search</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www.google.com. Available at: </w:t>
      </w:r>
      <w:hyperlink r:id="rId28" w:history="1">
        <w:r w:rsidRPr="00482106">
          <w:rPr>
            <w:rStyle w:val="Hyperlink"/>
            <w:rFonts w:ascii="Times New Roman" w:eastAsia="Times New Roman" w:hAnsi="Times New Roman" w:cs="Times New Roman"/>
            <w:sz w:val="24"/>
            <w:szCs w:val="24"/>
            <w:lang w:eastAsia="en-GB"/>
          </w:rPr>
          <w:t>https://www.google.com/search?q=shrm+effective+interviewing&amp;rlz=1C1GCEA_enGB1006GB1006&amp;oq=shrm+effective+interviewing&amp;gs_lcrp=EgZjaHJvbWUyBggAEEUYOTIHCAEQIRigAdIBCjE1NTQzajBqMTW</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8 Dec. 2023].</w:t>
      </w:r>
    </w:p>
    <w:p w:rsidR="00637CAB"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Solano</w:t>
      </w:r>
      <w:proofErr w:type="spellEnd"/>
      <w:r w:rsidRPr="00EA617A">
        <w:rPr>
          <w:rFonts w:ascii="Times New Roman" w:eastAsia="Times New Roman" w:hAnsi="Times New Roman" w:cs="Times New Roman"/>
          <w:sz w:val="24"/>
          <w:szCs w:val="24"/>
          <w:lang w:eastAsia="en-GB"/>
        </w:rPr>
        <w:t xml:space="preserve">, B. and </w:t>
      </w:r>
      <w:proofErr w:type="spellStart"/>
      <w:r w:rsidRPr="00EA617A">
        <w:rPr>
          <w:rFonts w:ascii="Times New Roman" w:eastAsia="Times New Roman" w:hAnsi="Times New Roman" w:cs="Times New Roman"/>
          <w:sz w:val="24"/>
          <w:szCs w:val="24"/>
          <w:lang w:eastAsia="en-GB"/>
        </w:rPr>
        <w:t>Seto</w:t>
      </w:r>
      <w:proofErr w:type="spellEnd"/>
      <w:r w:rsidRPr="00EA617A">
        <w:rPr>
          <w:rFonts w:ascii="Times New Roman" w:eastAsia="Times New Roman" w:hAnsi="Times New Roman" w:cs="Times New Roman"/>
          <w:sz w:val="24"/>
          <w:szCs w:val="24"/>
          <w:lang w:eastAsia="en-GB"/>
        </w:rPr>
        <w:t xml:space="preserve">, D. (2023). </w:t>
      </w:r>
      <w:r w:rsidRPr="00EA617A">
        <w:rPr>
          <w:rFonts w:ascii="Times New Roman" w:eastAsia="Times New Roman" w:hAnsi="Times New Roman" w:cs="Times New Roman"/>
          <w:i/>
          <w:iCs/>
          <w:sz w:val="24"/>
          <w:szCs w:val="24"/>
          <w:lang w:eastAsia="en-GB"/>
        </w:rPr>
        <w:t>Creating the Path for Continuous Strategic Workforce Planning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9" w:history="1">
        <w:r w:rsidRPr="00482106">
          <w:rPr>
            <w:rStyle w:val="Hyperlink"/>
            <w:rFonts w:ascii="Times New Roman" w:eastAsia="Times New Roman" w:hAnsi="Times New Roman" w:cs="Times New Roman"/>
            <w:sz w:val="24"/>
            <w:szCs w:val="24"/>
            <w:lang w:eastAsia="en-GB"/>
          </w:rPr>
          <w:t>https://kpmg.com/kpmg-us/content/dam/kpmg/pdf/2023/creating-path-continuous-strategic-workforce-planning.pdf</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7 Dec. 2023].</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Taylor, S. (2018). </w:t>
      </w:r>
      <w:r w:rsidRPr="00EA617A">
        <w:rPr>
          <w:rFonts w:ascii="Times New Roman" w:eastAsia="Times New Roman" w:hAnsi="Times New Roman" w:cs="Times New Roman"/>
          <w:i/>
          <w:iCs/>
          <w:sz w:val="24"/>
          <w:szCs w:val="24"/>
          <w:lang w:eastAsia="en-GB"/>
        </w:rPr>
        <w:t>Resourcing and Talent Management</w:t>
      </w:r>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 Publishers.</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Taylor, S. and </w:t>
      </w:r>
      <w:proofErr w:type="spellStart"/>
      <w:r w:rsidRPr="00EA617A">
        <w:rPr>
          <w:rFonts w:ascii="Times New Roman" w:eastAsia="Times New Roman" w:hAnsi="Times New Roman" w:cs="Times New Roman"/>
          <w:sz w:val="24"/>
          <w:szCs w:val="24"/>
          <w:lang w:eastAsia="en-GB"/>
        </w:rPr>
        <w:t>Woodhams</w:t>
      </w:r>
      <w:proofErr w:type="spellEnd"/>
      <w:r w:rsidRPr="00EA617A">
        <w:rPr>
          <w:rFonts w:ascii="Times New Roman" w:eastAsia="Times New Roman" w:hAnsi="Times New Roman" w:cs="Times New Roman"/>
          <w:sz w:val="24"/>
          <w:szCs w:val="24"/>
          <w:lang w:eastAsia="en-GB"/>
        </w:rPr>
        <w:t xml:space="preserve">, C. (2022). </w:t>
      </w:r>
      <w:r w:rsidRPr="00EA617A">
        <w:rPr>
          <w:rFonts w:ascii="Times New Roman" w:eastAsia="Times New Roman" w:hAnsi="Times New Roman" w:cs="Times New Roman"/>
          <w:i/>
          <w:iCs/>
          <w:sz w:val="24"/>
          <w:szCs w:val="24"/>
          <w:lang w:eastAsia="en-GB"/>
        </w:rPr>
        <w:t>Human Resource Management: People and Organisations</w:t>
      </w:r>
      <w:r w:rsidRPr="00EA617A">
        <w:rPr>
          <w:rFonts w:ascii="Times New Roman" w:eastAsia="Times New Roman" w:hAnsi="Times New Roman" w:cs="Times New Roman"/>
          <w:sz w:val="24"/>
          <w:szCs w:val="24"/>
          <w:lang w:eastAsia="en-GB"/>
        </w:rPr>
        <w:t xml:space="preserve">. 3rd </w:t>
      </w:r>
      <w:proofErr w:type="gramStart"/>
      <w:r w:rsidRPr="00EA617A">
        <w:rPr>
          <w:rFonts w:ascii="Times New Roman" w:eastAsia="Times New Roman" w:hAnsi="Times New Roman" w:cs="Times New Roman"/>
          <w:sz w:val="24"/>
          <w:szCs w:val="24"/>
          <w:lang w:eastAsia="en-GB"/>
        </w:rPr>
        <w:t>ed</w:t>
      </w:r>
      <w:proofErr w:type="gramEnd"/>
      <w:r w:rsidRPr="00EA617A">
        <w:rPr>
          <w:rFonts w:ascii="Times New Roman" w:eastAsia="Times New Roman" w:hAnsi="Times New Roman" w:cs="Times New Roman"/>
          <w:sz w:val="24"/>
          <w:szCs w:val="24"/>
          <w:lang w:eastAsia="en-GB"/>
        </w:rPr>
        <w:t xml:space="preserve">. New York, NY: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 Inc.</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lastRenderedPageBreak/>
        <w:t xml:space="preserve">TUC (2021). </w:t>
      </w:r>
      <w:r w:rsidRPr="00EA617A">
        <w:rPr>
          <w:rFonts w:ascii="Times New Roman" w:eastAsia="Times New Roman" w:hAnsi="Times New Roman" w:cs="Times New Roman"/>
          <w:i/>
          <w:iCs/>
          <w:sz w:val="24"/>
          <w:szCs w:val="24"/>
          <w:lang w:eastAsia="en-GB"/>
        </w:rPr>
        <w:t>Learning and Skills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TUC. Available at: </w:t>
      </w:r>
      <w:hyperlink r:id="rId30" w:history="1">
        <w:r w:rsidRPr="00482106">
          <w:rPr>
            <w:rStyle w:val="Hyperlink"/>
            <w:rFonts w:ascii="Times New Roman" w:eastAsia="Times New Roman" w:hAnsi="Times New Roman" w:cs="Times New Roman"/>
            <w:sz w:val="24"/>
            <w:szCs w:val="24"/>
            <w:lang w:eastAsia="en-GB"/>
          </w:rPr>
          <w:t>https://www.tuc.org.uk/resource/learning-and-skills</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 xml:space="preserve"> [Accessed 7 Dec. 2023].</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UK Government (2010). </w:t>
      </w:r>
      <w:r w:rsidRPr="00EA617A">
        <w:rPr>
          <w:rFonts w:ascii="Times New Roman" w:eastAsia="Times New Roman" w:hAnsi="Times New Roman" w:cs="Times New Roman"/>
          <w:i/>
          <w:iCs/>
          <w:sz w:val="24"/>
          <w:szCs w:val="24"/>
          <w:lang w:eastAsia="en-GB"/>
        </w:rPr>
        <w:t>SKILLS FOR SUSTAINABLE GROWTH Strategy Document FULL REPORT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31" w:history="1">
        <w:r w:rsidRPr="00482106">
          <w:rPr>
            <w:rStyle w:val="Hyperlink"/>
            <w:rFonts w:ascii="Times New Roman" w:eastAsia="Times New Roman" w:hAnsi="Times New Roman" w:cs="Times New Roman"/>
            <w:sz w:val="24"/>
            <w:szCs w:val="24"/>
            <w:lang w:eastAsia="en-GB"/>
          </w:rPr>
          <w:t>https://assets.publishing.service.gov.uk/media/5a78f520ed915d07d35b3c0c/10-1274-skills-for-sustainable-growth-strategy.pdf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UK Government (2021). </w:t>
      </w:r>
      <w:r w:rsidRPr="00EA617A">
        <w:rPr>
          <w:rFonts w:ascii="Times New Roman" w:eastAsia="Times New Roman" w:hAnsi="Times New Roman" w:cs="Times New Roman"/>
          <w:i/>
          <w:iCs/>
          <w:sz w:val="24"/>
          <w:szCs w:val="24"/>
          <w:lang w:eastAsia="en-GB"/>
        </w:rPr>
        <w:t>Skills for Jobs: Lifelong Learning for Opportunity and Growth</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r>
        <w:rPr>
          <w:rFonts w:ascii="Times New Roman" w:eastAsia="Times New Roman" w:hAnsi="Times New Roman" w:cs="Times New Roman"/>
          <w:sz w:val="24"/>
          <w:szCs w:val="24"/>
          <w:lang w:eastAsia="en-GB"/>
        </w:rPr>
        <w:t xml:space="preserve"> </w:t>
      </w:r>
      <w:hyperlink r:id="rId32" w:history="1">
        <w:r w:rsidRPr="00482106">
          <w:rPr>
            <w:rStyle w:val="Hyperlink"/>
            <w:rFonts w:ascii="Times New Roman" w:eastAsia="Times New Roman" w:hAnsi="Times New Roman" w:cs="Times New Roman"/>
            <w:sz w:val="24"/>
            <w:szCs w:val="24"/>
            <w:lang w:eastAsia="en-GB"/>
          </w:rPr>
          <w:t>https://assets.publishing.service.gov.uk/media/601980f2e90e07128a353aa3/Skills_for_jobs_lifelong_learning_for_opportunity_and_growth__web_version_.pdf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2A34D4">
      <w:pPr>
        <w:pStyle w:val="Nornal"/>
      </w:pPr>
    </w:p>
    <w:p w:rsidR="00952AF7" w:rsidRDefault="00952AF7" w:rsidP="002A34D4">
      <w:pPr>
        <w:pStyle w:val="Nornal"/>
      </w:pPr>
    </w:p>
    <w:p w:rsidR="006308EA" w:rsidRPr="00C66693" w:rsidRDefault="00C66693" w:rsidP="002A34D4">
      <w:pPr>
        <w:pStyle w:val="Nornal"/>
      </w:pPr>
      <w:r>
        <w:t xml:space="preserve"> </w:t>
      </w:r>
    </w:p>
    <w:p w:rsidR="006308EA" w:rsidRPr="006308EA" w:rsidRDefault="006308EA" w:rsidP="002A34D4">
      <w:pPr>
        <w:pStyle w:val="Nornal"/>
        <w:rPr>
          <w:b/>
        </w:rPr>
      </w:pPr>
    </w:p>
    <w:p w:rsidR="006308EA" w:rsidRDefault="006308EA" w:rsidP="002A34D4">
      <w:pPr>
        <w:pStyle w:val="Nornal"/>
      </w:pPr>
    </w:p>
    <w:p w:rsidR="00147EEB" w:rsidRPr="00385112" w:rsidRDefault="00147EEB" w:rsidP="00385112">
      <w:pPr>
        <w:pStyle w:val="Nornal"/>
      </w:pPr>
    </w:p>
    <w:p w:rsidR="008B2BFE" w:rsidRPr="002B73A2" w:rsidRDefault="008B2BFE" w:rsidP="00CB26C7">
      <w:pPr>
        <w:pStyle w:val="Nornal"/>
      </w:pPr>
    </w:p>
    <w:p w:rsidR="00CA462B" w:rsidRDefault="00CA462B" w:rsidP="00CA462B">
      <w:pPr>
        <w:pStyle w:val="Nornal"/>
        <w:rPr>
          <w:b/>
        </w:rPr>
      </w:pPr>
    </w:p>
    <w:p w:rsidR="00CA462B" w:rsidRPr="00CA462B" w:rsidRDefault="00CA462B" w:rsidP="00CA462B">
      <w:pPr>
        <w:pStyle w:val="Nornal"/>
        <w:rPr>
          <w:b/>
        </w:rPr>
      </w:pPr>
    </w:p>
    <w:p w:rsidR="00CA462B" w:rsidRDefault="00CA462B" w:rsidP="002C5975">
      <w:pPr>
        <w:pStyle w:val="Nornal"/>
      </w:pPr>
    </w:p>
    <w:p w:rsidR="00DA046F" w:rsidRDefault="00DA046F" w:rsidP="002C5975">
      <w:pPr>
        <w:pStyle w:val="Nornal"/>
      </w:pPr>
    </w:p>
    <w:p w:rsidR="0001168D" w:rsidRDefault="0001168D" w:rsidP="002C5975">
      <w:pPr>
        <w:pStyle w:val="Nornal"/>
      </w:pPr>
    </w:p>
    <w:p w:rsidR="0001168D" w:rsidRDefault="0001168D" w:rsidP="002C5975">
      <w:pPr>
        <w:pStyle w:val="Nornal"/>
      </w:pPr>
    </w:p>
    <w:p w:rsidR="0001168D" w:rsidRDefault="0001168D" w:rsidP="002C5975">
      <w:pPr>
        <w:pStyle w:val="Nornal"/>
      </w:pPr>
    </w:p>
    <w:p w:rsidR="0001168D" w:rsidRDefault="0001168D" w:rsidP="002C5975">
      <w:pPr>
        <w:pStyle w:val="Nornal"/>
      </w:pPr>
    </w:p>
    <w:p w:rsidR="00794D64" w:rsidRPr="002C5975" w:rsidRDefault="002D3522" w:rsidP="002C5975">
      <w:pPr>
        <w:pStyle w:val="Nornal"/>
      </w:pPr>
      <w:r>
        <w:t xml:space="preserve"> </w:t>
      </w:r>
    </w:p>
    <w:p w:rsidR="00794D64" w:rsidRDefault="00794D64" w:rsidP="00A85E64">
      <w:pPr>
        <w:pStyle w:val="Nornal"/>
      </w:pPr>
    </w:p>
    <w:p w:rsidR="00A85E64" w:rsidRPr="00A85E64" w:rsidRDefault="00A85E64" w:rsidP="00A85E64">
      <w:pPr>
        <w:pStyle w:val="Nornal"/>
      </w:pPr>
      <w:r>
        <w:t xml:space="preserve"> </w:t>
      </w:r>
    </w:p>
    <w:p w:rsidR="004A2981" w:rsidRDefault="004A2981" w:rsidP="007E2B5F">
      <w:pPr>
        <w:pStyle w:val="Nornal"/>
      </w:pPr>
    </w:p>
    <w:p w:rsidR="00EE4B83" w:rsidRDefault="00EE4B83" w:rsidP="007E2B5F">
      <w:pPr>
        <w:pStyle w:val="Nornal"/>
      </w:pPr>
    </w:p>
    <w:p w:rsidR="004B412A" w:rsidRDefault="004B412A" w:rsidP="007E2B5F">
      <w:pPr>
        <w:pStyle w:val="Nornal"/>
      </w:pPr>
    </w:p>
    <w:p w:rsidR="004B412A" w:rsidRDefault="004B412A" w:rsidP="007E2B5F">
      <w:pPr>
        <w:pStyle w:val="Nornal"/>
      </w:pPr>
    </w:p>
    <w:p w:rsidR="004B412A" w:rsidRDefault="004B412A" w:rsidP="007E2B5F">
      <w:pPr>
        <w:pStyle w:val="Nornal"/>
      </w:pPr>
    </w:p>
    <w:p w:rsidR="004B412A" w:rsidRDefault="004B412A" w:rsidP="007E2B5F">
      <w:pPr>
        <w:pStyle w:val="Nornal"/>
      </w:pPr>
    </w:p>
    <w:p w:rsidR="004B412A" w:rsidRPr="00323DA1" w:rsidRDefault="004B412A" w:rsidP="007E2B5F">
      <w:pPr>
        <w:pStyle w:val="Nornal"/>
      </w:pPr>
    </w:p>
    <w:p w:rsidR="007E3510" w:rsidRDefault="007E3510" w:rsidP="007E2B5F">
      <w:pPr>
        <w:pStyle w:val="Nornal"/>
        <w:rPr>
          <w:b/>
        </w:rPr>
      </w:pPr>
    </w:p>
    <w:p w:rsidR="007E3510" w:rsidRPr="007E2B5F" w:rsidRDefault="007E3510" w:rsidP="007E2B5F">
      <w:pPr>
        <w:pStyle w:val="Nornal"/>
        <w:rPr>
          <w:b/>
        </w:rPr>
      </w:pPr>
    </w:p>
    <w:p w:rsidR="00611AAB" w:rsidRDefault="00611AAB" w:rsidP="009C2B89">
      <w:pPr>
        <w:pStyle w:val="Nornal"/>
      </w:pPr>
    </w:p>
    <w:p w:rsidR="003D0BE9" w:rsidRDefault="003D0BE9" w:rsidP="009C2B89">
      <w:pPr>
        <w:pStyle w:val="Nornal"/>
      </w:pPr>
    </w:p>
    <w:p w:rsidR="003D0BE9" w:rsidRPr="009C2B89" w:rsidRDefault="003D0BE9" w:rsidP="009C2B89">
      <w:pPr>
        <w:pStyle w:val="Nornal"/>
      </w:pPr>
    </w:p>
    <w:p w:rsidR="00745A29" w:rsidRDefault="00745A29" w:rsidP="00C65F8D">
      <w:pPr>
        <w:pStyle w:val="Nornal"/>
      </w:pPr>
    </w:p>
    <w:p w:rsidR="001249DB" w:rsidRPr="00C65F8D" w:rsidRDefault="001249DB" w:rsidP="00C65F8D">
      <w:pPr>
        <w:pStyle w:val="Nornal"/>
      </w:pPr>
    </w:p>
    <w:p w:rsidR="005053EE" w:rsidRDefault="005053EE" w:rsidP="00744117">
      <w:pPr>
        <w:pStyle w:val="Nornal"/>
      </w:pPr>
    </w:p>
    <w:p w:rsidR="00A7074C" w:rsidRPr="009356E4" w:rsidRDefault="00A7074C" w:rsidP="00744117">
      <w:pPr>
        <w:pStyle w:val="Nornal"/>
      </w:pPr>
    </w:p>
    <w:p w:rsidR="00106088" w:rsidRDefault="00106088" w:rsidP="00C043B5">
      <w:pPr>
        <w:pStyle w:val="Nornal"/>
      </w:pPr>
    </w:p>
    <w:p w:rsidR="00152B59" w:rsidRPr="00ED4C19" w:rsidRDefault="00152B59" w:rsidP="00C043B5">
      <w:pPr>
        <w:pStyle w:val="Nornal"/>
      </w:pPr>
    </w:p>
    <w:p w:rsidR="00ED4C19" w:rsidRPr="001E3CC0" w:rsidRDefault="00ED4C19" w:rsidP="001E3CC0">
      <w:pPr>
        <w:pStyle w:val="Nornal"/>
        <w:ind w:left="360"/>
        <w:rPr>
          <w:b/>
        </w:rPr>
      </w:pPr>
    </w:p>
    <w:p w:rsidR="001E3CC0" w:rsidRDefault="001E3CC0" w:rsidP="00BF625B">
      <w:pPr>
        <w:pStyle w:val="Nornal"/>
      </w:pPr>
    </w:p>
    <w:p w:rsidR="00BF625B" w:rsidRDefault="00BF625B" w:rsidP="00BF625B">
      <w:pPr>
        <w:pStyle w:val="Nornal"/>
      </w:pPr>
      <w:r>
        <w:t xml:space="preserve"> </w:t>
      </w:r>
    </w:p>
    <w:sectPr w:rsidR="00BF6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36E0"/>
    <w:multiLevelType w:val="hybridMultilevel"/>
    <w:tmpl w:val="941C69FA"/>
    <w:lvl w:ilvl="0" w:tplc="1696B600">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03338"/>
    <w:multiLevelType w:val="hybridMultilevel"/>
    <w:tmpl w:val="8FEE0654"/>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D1C05"/>
    <w:multiLevelType w:val="hybridMultilevel"/>
    <w:tmpl w:val="AFC6E5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D8C7543"/>
    <w:multiLevelType w:val="hybridMultilevel"/>
    <w:tmpl w:val="BEAE9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0F076C"/>
    <w:multiLevelType w:val="hybridMultilevel"/>
    <w:tmpl w:val="A8787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BD57C5"/>
    <w:multiLevelType w:val="hybridMultilevel"/>
    <w:tmpl w:val="CBA86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5A142B"/>
    <w:multiLevelType w:val="hybridMultilevel"/>
    <w:tmpl w:val="CBEA4EF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E9"/>
    <w:rsid w:val="0001168D"/>
    <w:rsid w:val="00025C41"/>
    <w:rsid w:val="000363B2"/>
    <w:rsid w:val="00044A0E"/>
    <w:rsid w:val="000B0D90"/>
    <w:rsid w:val="000B5ECF"/>
    <w:rsid w:val="00106088"/>
    <w:rsid w:val="00123157"/>
    <w:rsid w:val="001249DB"/>
    <w:rsid w:val="00147EEB"/>
    <w:rsid w:val="00152B59"/>
    <w:rsid w:val="001574B8"/>
    <w:rsid w:val="00163120"/>
    <w:rsid w:val="0019395F"/>
    <w:rsid w:val="001C29CE"/>
    <w:rsid w:val="001C4D4B"/>
    <w:rsid w:val="001C60E9"/>
    <w:rsid w:val="001E3CC0"/>
    <w:rsid w:val="0020402A"/>
    <w:rsid w:val="00211A32"/>
    <w:rsid w:val="002446D1"/>
    <w:rsid w:val="002963E0"/>
    <w:rsid w:val="00296C7B"/>
    <w:rsid w:val="002A0A64"/>
    <w:rsid w:val="002A34D4"/>
    <w:rsid w:val="002B2F8F"/>
    <w:rsid w:val="002B73A2"/>
    <w:rsid w:val="002C5975"/>
    <w:rsid w:val="002D26F9"/>
    <w:rsid w:val="002D3522"/>
    <w:rsid w:val="00323DA1"/>
    <w:rsid w:val="0032598C"/>
    <w:rsid w:val="00347C49"/>
    <w:rsid w:val="00363A2D"/>
    <w:rsid w:val="00364B88"/>
    <w:rsid w:val="00374747"/>
    <w:rsid w:val="003816D4"/>
    <w:rsid w:val="00385112"/>
    <w:rsid w:val="00390EEA"/>
    <w:rsid w:val="003966DC"/>
    <w:rsid w:val="003A7FC4"/>
    <w:rsid w:val="003D0BE9"/>
    <w:rsid w:val="003F268B"/>
    <w:rsid w:val="003F3C2C"/>
    <w:rsid w:val="00403434"/>
    <w:rsid w:val="004108C4"/>
    <w:rsid w:val="0043644F"/>
    <w:rsid w:val="00453AA0"/>
    <w:rsid w:val="004866F9"/>
    <w:rsid w:val="004930BE"/>
    <w:rsid w:val="004A2981"/>
    <w:rsid w:val="004B412A"/>
    <w:rsid w:val="004C279D"/>
    <w:rsid w:val="004E322D"/>
    <w:rsid w:val="004E4185"/>
    <w:rsid w:val="004F0FA0"/>
    <w:rsid w:val="005053EE"/>
    <w:rsid w:val="00510DAE"/>
    <w:rsid w:val="0053646B"/>
    <w:rsid w:val="0054340A"/>
    <w:rsid w:val="0056733C"/>
    <w:rsid w:val="0057204D"/>
    <w:rsid w:val="00596531"/>
    <w:rsid w:val="005B5FF8"/>
    <w:rsid w:val="005C203C"/>
    <w:rsid w:val="005D2278"/>
    <w:rsid w:val="00603367"/>
    <w:rsid w:val="00611AAB"/>
    <w:rsid w:val="006308EA"/>
    <w:rsid w:val="00637CAB"/>
    <w:rsid w:val="006B0ECD"/>
    <w:rsid w:val="006D75FF"/>
    <w:rsid w:val="00744117"/>
    <w:rsid w:val="00745A29"/>
    <w:rsid w:val="00794D64"/>
    <w:rsid w:val="007A3251"/>
    <w:rsid w:val="007D128A"/>
    <w:rsid w:val="007E2B5F"/>
    <w:rsid w:val="007E3510"/>
    <w:rsid w:val="00861E71"/>
    <w:rsid w:val="008818BF"/>
    <w:rsid w:val="008904BA"/>
    <w:rsid w:val="008B2BFE"/>
    <w:rsid w:val="008D7FF5"/>
    <w:rsid w:val="0091444F"/>
    <w:rsid w:val="009356E4"/>
    <w:rsid w:val="00947C45"/>
    <w:rsid w:val="00952AF7"/>
    <w:rsid w:val="009A6FEB"/>
    <w:rsid w:val="009C2B89"/>
    <w:rsid w:val="009D5D98"/>
    <w:rsid w:val="009E1BE9"/>
    <w:rsid w:val="00A24671"/>
    <w:rsid w:val="00A6789C"/>
    <w:rsid w:val="00A7074C"/>
    <w:rsid w:val="00A756E5"/>
    <w:rsid w:val="00A85E64"/>
    <w:rsid w:val="00A95CC3"/>
    <w:rsid w:val="00AF75DC"/>
    <w:rsid w:val="00B008CE"/>
    <w:rsid w:val="00B642AF"/>
    <w:rsid w:val="00B728B6"/>
    <w:rsid w:val="00B778AC"/>
    <w:rsid w:val="00B83EE0"/>
    <w:rsid w:val="00BE4022"/>
    <w:rsid w:val="00BF625B"/>
    <w:rsid w:val="00C0081B"/>
    <w:rsid w:val="00C043B5"/>
    <w:rsid w:val="00C04A4B"/>
    <w:rsid w:val="00C10DFF"/>
    <w:rsid w:val="00C1224A"/>
    <w:rsid w:val="00C45BF6"/>
    <w:rsid w:val="00C65F8D"/>
    <w:rsid w:val="00C66693"/>
    <w:rsid w:val="00C76414"/>
    <w:rsid w:val="00C95C96"/>
    <w:rsid w:val="00C96F34"/>
    <w:rsid w:val="00CA462B"/>
    <w:rsid w:val="00CA48A7"/>
    <w:rsid w:val="00CA7678"/>
    <w:rsid w:val="00CB26C7"/>
    <w:rsid w:val="00CC7AA2"/>
    <w:rsid w:val="00D05C75"/>
    <w:rsid w:val="00DA046F"/>
    <w:rsid w:val="00DF0A5F"/>
    <w:rsid w:val="00DF342B"/>
    <w:rsid w:val="00DF73CB"/>
    <w:rsid w:val="00E27D08"/>
    <w:rsid w:val="00E502E1"/>
    <w:rsid w:val="00EA53E9"/>
    <w:rsid w:val="00ED4C19"/>
    <w:rsid w:val="00EE4B83"/>
    <w:rsid w:val="00EE57CB"/>
    <w:rsid w:val="00F20379"/>
    <w:rsid w:val="00F452FD"/>
    <w:rsid w:val="00F65436"/>
    <w:rsid w:val="00FA0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69CF"/>
  <w15:chartTrackingRefBased/>
  <w15:docId w15:val="{688FF01A-A333-4D81-96A8-8A6AC847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9E1BE9"/>
    <w:rPr>
      <w:rFonts w:ascii="Arial" w:hAnsi="Arial" w:cs="Arial"/>
    </w:rPr>
  </w:style>
  <w:style w:type="paragraph" w:customStyle="1" w:styleId="Nornal">
    <w:name w:val="Nornal"/>
    <w:basedOn w:val="Normal"/>
    <w:link w:val="NornalChar"/>
    <w:qFormat/>
    <w:rsid w:val="009E1BE9"/>
    <w:pPr>
      <w:spacing w:line="264" w:lineRule="auto"/>
    </w:pPr>
    <w:rPr>
      <w:rFonts w:ascii="Arial" w:hAnsi="Arial" w:cs="Arial"/>
    </w:rPr>
  </w:style>
  <w:style w:type="character" w:styleId="Hyperlink">
    <w:name w:val="Hyperlink"/>
    <w:basedOn w:val="DefaultParagraphFont"/>
    <w:uiPriority w:val="99"/>
    <w:unhideWhenUsed/>
    <w:rsid w:val="00637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27860">
      <w:bodyDiv w:val="1"/>
      <w:marLeft w:val="0"/>
      <w:marRight w:val="0"/>
      <w:marTop w:val="0"/>
      <w:marBottom w:val="0"/>
      <w:divBdr>
        <w:top w:val="none" w:sz="0" w:space="0" w:color="auto"/>
        <w:left w:val="none" w:sz="0" w:space="0" w:color="auto"/>
        <w:bottom w:val="none" w:sz="0" w:space="0" w:color="auto"/>
        <w:right w:val="none" w:sz="0" w:space="0" w:color="auto"/>
      </w:divBdr>
    </w:div>
    <w:div w:id="155193921">
      <w:bodyDiv w:val="1"/>
      <w:marLeft w:val="0"/>
      <w:marRight w:val="0"/>
      <w:marTop w:val="0"/>
      <w:marBottom w:val="0"/>
      <w:divBdr>
        <w:top w:val="none" w:sz="0" w:space="0" w:color="auto"/>
        <w:left w:val="none" w:sz="0" w:space="0" w:color="auto"/>
        <w:bottom w:val="none" w:sz="0" w:space="0" w:color="auto"/>
        <w:right w:val="none" w:sz="0" w:space="0" w:color="auto"/>
      </w:divBdr>
    </w:div>
    <w:div w:id="357128189">
      <w:bodyDiv w:val="1"/>
      <w:marLeft w:val="0"/>
      <w:marRight w:val="0"/>
      <w:marTop w:val="0"/>
      <w:marBottom w:val="0"/>
      <w:divBdr>
        <w:top w:val="none" w:sz="0" w:space="0" w:color="auto"/>
        <w:left w:val="none" w:sz="0" w:space="0" w:color="auto"/>
        <w:bottom w:val="none" w:sz="0" w:space="0" w:color="auto"/>
        <w:right w:val="none" w:sz="0" w:space="0" w:color="auto"/>
      </w:divBdr>
    </w:div>
    <w:div w:id="776366774">
      <w:bodyDiv w:val="1"/>
      <w:marLeft w:val="0"/>
      <w:marRight w:val="0"/>
      <w:marTop w:val="0"/>
      <w:marBottom w:val="0"/>
      <w:divBdr>
        <w:top w:val="none" w:sz="0" w:space="0" w:color="auto"/>
        <w:left w:val="none" w:sz="0" w:space="0" w:color="auto"/>
        <w:bottom w:val="none" w:sz="0" w:space="0" w:color="auto"/>
        <w:right w:val="none" w:sz="0" w:space="0" w:color="auto"/>
      </w:divBdr>
    </w:div>
    <w:div w:id="1648897569">
      <w:bodyDiv w:val="1"/>
      <w:marLeft w:val="0"/>
      <w:marRight w:val="0"/>
      <w:marTop w:val="0"/>
      <w:marBottom w:val="0"/>
      <w:divBdr>
        <w:top w:val="none" w:sz="0" w:space="0" w:color="auto"/>
        <w:left w:val="none" w:sz="0" w:space="0" w:color="auto"/>
        <w:bottom w:val="none" w:sz="0" w:space="0" w:color="auto"/>
        <w:right w:val="none" w:sz="0" w:space="0" w:color="auto"/>
      </w:divBdr>
    </w:div>
    <w:div w:id="211617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5000696_Organizational_socialization_The_effective_onboarding_of_new_employees" TargetMode="External"/><Relationship Id="rId13" Type="http://schemas.openxmlformats.org/officeDocument/2006/relationships/hyperlink" Target="https://www.cipd.org/globalassets/media/knowledge/knowledge-hub/reports/resourcing-and-talent-planning-report-2022-1_tcm18-111500.pdf" TargetMode="External"/><Relationship Id="rId18" Type="http://schemas.openxmlformats.org/officeDocument/2006/relationships/hyperlink" Target="https://www.peoplemanagement.co.uk/article/1742140/how-get-onboarding-right" TargetMode="External"/><Relationship Id="rId26" Type="http://schemas.openxmlformats.org/officeDocument/2006/relationships/hyperlink" Target="https://www.pwc.com/gx/en/people-organisation/image/prpi-2016-benchmark-your-remuneration-strategy-flyer.pdf" TargetMode="External"/><Relationship Id="rId3" Type="http://schemas.openxmlformats.org/officeDocument/2006/relationships/settings" Target="settings.xml"/><Relationship Id="rId21" Type="http://schemas.openxmlformats.org/officeDocument/2006/relationships/hyperlink" Target="https://www.cipd.org/uk/knowledge/factsheets/induction-factsheet/" TargetMode="External"/><Relationship Id="rId34" Type="http://schemas.openxmlformats.org/officeDocument/2006/relationships/theme" Target="theme/theme1.xml"/><Relationship Id="rId7" Type="http://schemas.openxmlformats.org/officeDocument/2006/relationships/hyperlink" Target="https://www.cipd.org/uk/knowledge/factsheets/pestle-analysis-factsheet/" TargetMode="External"/><Relationship Id="rId12" Type="http://schemas.openxmlformats.org/officeDocument/2006/relationships/hyperlink" Target="https://www.cipd.org/globalassets/media/knowledge/knowledge-hub/reports/resourcing-and-talent-planning-report-2022-1_tcm18-111500.pdf" TargetMode="External"/><Relationship Id="rId17" Type="http://schemas.openxmlformats.org/officeDocument/2006/relationships/hyperlink" Target="https://www.cipd.org/uk/knowledge/factsheets/workforce-planning-factsheet/" TargetMode="External"/><Relationship Id="rId25" Type="http://schemas.openxmlformats.org/officeDocument/2006/relationships/hyperlink" Target="https://www.shrm.org/hr-today/news/hr-magazine/Documents/assessment_methods.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knowledge/factsheets/succession-planning-factsheet/" TargetMode="External"/><Relationship Id="rId20" Type="http://schemas.openxmlformats.org/officeDocument/2006/relationships/hyperlink" Target="https://www.cipd.org/uk/knowledge/factsheets/recruitment-factsheet/" TargetMode="External"/><Relationship Id="rId29" Type="http://schemas.openxmlformats.org/officeDocument/2006/relationships/hyperlink" Target="https://kpmg.com/kpmg-us/content/dam/kpmg/pdf/2023/creating-path-continuous-strategic-workforce-planning.pdf" TargetMode="External"/><Relationship Id="rId1" Type="http://schemas.openxmlformats.org/officeDocument/2006/relationships/numbering" Target="numbering.xml"/><Relationship Id="rId6" Type="http://schemas.openxmlformats.org/officeDocument/2006/relationships/hyperlink" Target="https://www.acas.org.uk/employment-contracts" TargetMode="External"/><Relationship Id="rId11" Type="http://schemas.openxmlformats.org/officeDocument/2006/relationships/hyperlink" Target="https://www.cipd.org/uk/about/news/what-changing-in-talent-management/" TargetMode="External"/><Relationship Id="rId24" Type="http://schemas.openxmlformats.org/officeDocument/2006/relationships/hyperlink" Target="https://www.cipd.org/uk/knowledge/factsheets/turnover-retention-factsheet/" TargetMode="External"/><Relationship Id="rId32" Type="http://schemas.openxmlformats.org/officeDocument/2006/relationships/hyperlink" Target="https://assets.publishing.service.gov.uk/media/601980f2e90e07128a353aa3/Skills_for_jobs_lifelong_learning_for_opportunity_and_growth__web_version_.pdf" TargetMode="External"/><Relationship Id="rId5" Type="http://schemas.openxmlformats.org/officeDocument/2006/relationships/hyperlink" Target="https://www.acas.org.uk/improving-equality-diversity-and-inclusion" TargetMode="External"/><Relationship Id="rId15" Type="http://schemas.openxmlformats.org/officeDocument/2006/relationships/hyperlink" Target="https://www.cipd.org/uk/knowledge/factsheets/talent-factsheet/" TargetMode="External"/><Relationship Id="rId23" Type="http://schemas.openxmlformats.org/officeDocument/2006/relationships/hyperlink" Target="https://www.cipd.org/uk/knowledge/factsheets/recruitment-brand-factsheet/" TargetMode="External"/><Relationship Id="rId28" Type="http://schemas.openxmlformats.org/officeDocument/2006/relationships/hyperlink" Target="https://www.google.com/search?q=shrm+effective+interviewing&amp;rlz=1C1GCEA_enGB1006GB1006&amp;oq=shrm+effective+interviewing&amp;gs_lcrp=EgZjaHJvbWUyBggAEEUYOTIHCAEQIRigAdIBCjE1NTQzajBqMTW" TargetMode="External"/><Relationship Id="rId10" Type="http://schemas.openxmlformats.org/officeDocument/2006/relationships/hyperlink" Target="https://www.cipd.org/globalassets/media/knowledge/knowledge-hub/reports/employment-regulation-and-the-labour-market_2015_tcm18-10238.pdf" TargetMode="External"/><Relationship Id="rId19" Type="http://schemas.openxmlformats.org/officeDocument/2006/relationships/hyperlink" Target="https://www.researchgate.net/publication/227663602_The_effects_of_diversity_on_business_performance_Report_of_the_diversity_research_network" TargetMode="External"/><Relationship Id="rId31" Type="http://schemas.openxmlformats.org/officeDocument/2006/relationships/hyperlink" Target="https://assets.publishing.service.gov.uk/media/5a78f520ed915d07d35b3c0c/10-1274-skills-for-sustainable-growth-strategy.pdf" TargetMode="External"/><Relationship Id="rId4" Type="http://schemas.openxmlformats.org/officeDocument/2006/relationships/webSettings" Target="webSettings.xml"/><Relationship Id="rId9" Type="http://schemas.openxmlformats.org/officeDocument/2006/relationships/hyperlink" Target="https://www.cipd.org/uk/knowledge/factsheets/economy-labour-market-factsheet/" TargetMode="External"/><Relationship Id="rId14" Type="http://schemas.openxmlformats.org/officeDocument/2006/relationships/hyperlink" Target="https://www.cipd.org/uk/knowledge/factsheets/skills-factsheet/" TargetMode="External"/><Relationship Id="rId22" Type="http://schemas.openxmlformats.org/officeDocument/2006/relationships/hyperlink" Target="https://www.cipd.org/globalassets/media/knowledge/knowledge-hub/reports/2022-pdfs/2022-inclusion-at-work-report.pdf" TargetMode="External"/><Relationship Id="rId27" Type="http://schemas.openxmlformats.org/officeDocument/2006/relationships/hyperlink" Target="https://www.shrm.org/resourcesandtools/tools-and-samples/toolkits/pages/engaginginsuccessionplanning.aspx" TargetMode="External"/><Relationship Id="rId30" Type="http://schemas.openxmlformats.org/officeDocument/2006/relationships/hyperlink" Target="https://www.tuc.org.uk/resource/learning-and-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2452</TotalTime>
  <Pages>16</Pages>
  <Words>6525</Words>
  <Characters>37198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69</cp:revision>
  <dcterms:created xsi:type="dcterms:W3CDTF">2023-12-01T10:44:00Z</dcterms:created>
  <dcterms:modified xsi:type="dcterms:W3CDTF">2024-01-26T09:30:00Z</dcterms:modified>
</cp:coreProperties>
</file>