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10039D" w14:textId="008BA121" w:rsidR="002659D6" w:rsidRDefault="002659D6" w:rsidP="00420182">
      <w:pPr>
        <w:pStyle w:val="Title"/>
        <w:jc w:val="center"/>
        <w:rPr>
          <w:rFonts w:eastAsia="Times New Roman"/>
          <w:b/>
          <w:bCs/>
          <w:i/>
          <w:iCs/>
          <w:sz w:val="50"/>
          <w:szCs w:val="50"/>
        </w:rPr>
      </w:pPr>
      <w:r w:rsidRPr="00420182">
        <w:rPr>
          <w:rFonts w:eastAsia="Times New Roman"/>
          <w:b/>
          <w:bCs/>
          <w:i/>
          <w:iCs/>
          <w:sz w:val="50"/>
          <w:szCs w:val="50"/>
        </w:rPr>
        <w:t>Participation, Power and Voice: A Critical Evaluation of Qualitative Research with Young People</w:t>
      </w:r>
    </w:p>
    <w:p w14:paraId="0A9831FF" w14:textId="100FCEBA" w:rsidR="00F65D58" w:rsidRPr="00F55046" w:rsidRDefault="0076451C" w:rsidP="0076451C">
      <w:pPr>
        <w:pStyle w:val="Heading1"/>
        <w:rPr>
          <w:b/>
          <w:bCs/>
        </w:rPr>
      </w:pPr>
      <w:r w:rsidRPr="00F55046">
        <w:rPr>
          <w:b/>
          <w:bCs/>
        </w:rPr>
        <w:t>Part (1)</w:t>
      </w:r>
    </w:p>
    <w:p w14:paraId="18B47482" w14:textId="77777777" w:rsidR="00FB1E32" w:rsidRPr="00FB1E32" w:rsidRDefault="00FB1E32">
      <w:pPr>
        <w:pStyle w:val="NormalWeb"/>
        <w:rPr>
          <w:b/>
          <w:bCs/>
          <w:color w:val="000000"/>
          <w:sz w:val="30"/>
          <w:szCs w:val="30"/>
        </w:rPr>
      </w:pPr>
      <w:r w:rsidRPr="00FB1E32">
        <w:rPr>
          <w:b/>
          <w:bCs/>
          <w:color w:val="000000"/>
          <w:sz w:val="30"/>
          <w:szCs w:val="30"/>
        </w:rPr>
        <w:t>Introduction</w:t>
      </w:r>
    </w:p>
    <w:p w14:paraId="5DE66B94" w14:textId="77777777" w:rsidR="00FB1E32" w:rsidRDefault="00FB1E32">
      <w:pPr>
        <w:pStyle w:val="NormalWeb"/>
        <w:rPr>
          <w:color w:val="000000"/>
        </w:rPr>
      </w:pPr>
      <w:r>
        <w:rPr>
          <w:color w:val="000000"/>
        </w:rPr>
        <w:t>Research involving young people has increasingly focused on participation and ensuring that young people’s voices are included within the research process. Participatory research is often viewed as a more inclusive approach, as it allows young people to become actively involved rather than simply being researched. However, despite the positive intentions behind participatory methods, there are still concerns surrounding power relationships, ethics, and the extent to which young people are genuinely able to influence the research process.</w:t>
      </w:r>
    </w:p>
    <w:p w14:paraId="6BB9EA20" w14:textId="77777777" w:rsidR="00FB1E32" w:rsidRDefault="00FB1E32">
      <w:pPr>
        <w:pStyle w:val="NormalWeb"/>
        <w:rPr>
          <w:color w:val="000000"/>
        </w:rPr>
      </w:pPr>
      <w:r>
        <w:rPr>
          <w:color w:val="000000"/>
        </w:rPr>
        <w:t>This assignment critically evaluates the article Power, agency and participatory agendas: A critical exploration of young people’s engagement in participative qualitative research by Holland et al. (2010). The article explores young people’s involvement in participatory qualitative research and examines issues relating to power, agency, and participation. This evaluation will critically analyse the research methodology used within the study, including the strengths and limitations of participatory qualitative research. It will also discuss ethical considerations, reflexivity, and the trustworthiness of the findings, while linking these issues to wider research theory and youth work practice.</w:t>
      </w:r>
    </w:p>
    <w:p w14:paraId="5657B3E7" w14:textId="77777777" w:rsidR="00FB1E32" w:rsidRPr="00FB1E32" w:rsidRDefault="00FB1E32">
      <w:pPr>
        <w:pStyle w:val="NormalWeb"/>
        <w:rPr>
          <w:b/>
          <w:bCs/>
          <w:color w:val="000000"/>
          <w:sz w:val="30"/>
          <w:szCs w:val="30"/>
        </w:rPr>
      </w:pPr>
      <w:r w:rsidRPr="00FB1E32">
        <w:rPr>
          <w:b/>
          <w:bCs/>
          <w:color w:val="000000"/>
          <w:sz w:val="30"/>
          <w:szCs w:val="30"/>
        </w:rPr>
        <w:t>Overview of the Study</w:t>
      </w:r>
    </w:p>
    <w:p w14:paraId="7D9D7C81" w14:textId="77777777" w:rsidR="00FB1E32" w:rsidRDefault="00FB1E32">
      <w:pPr>
        <w:pStyle w:val="NormalWeb"/>
        <w:rPr>
          <w:color w:val="000000"/>
        </w:rPr>
      </w:pPr>
      <w:r>
        <w:rPr>
          <w:color w:val="000000"/>
        </w:rPr>
        <w:t>The article by Holland et al. (2010) explores how young people are involved in participatory qualitative research, with a particular focus on issues around power, agency, and participation. The study considers whether participatory approaches genuinely allow young people to have a voice in the research process, or whether adults still maintain control over key decisions. It draws on qualitative research with young people, including those considered vulnerable, to examine how participation works in practice rather than just in theory.</w:t>
      </w:r>
    </w:p>
    <w:p w14:paraId="1DBE6E08" w14:textId="77777777" w:rsidR="00FB1E32" w:rsidRDefault="00FB1E32">
      <w:pPr>
        <w:pStyle w:val="NormalWeb"/>
        <w:rPr>
          <w:color w:val="000000"/>
        </w:rPr>
      </w:pPr>
      <w:r>
        <w:rPr>
          <w:color w:val="000000"/>
        </w:rPr>
        <w:t>The authors argue that although participatory research is often presented as empowering, in reality there are still challenges in ensuring young people are not simply included in a symbolic way. Instead, the study questions whether young people are actually influencing the research process in a meaningful and consistent way (Holland et al., 2010).</w:t>
      </w:r>
    </w:p>
    <w:p w14:paraId="2D8FE47A" w14:textId="77777777" w:rsidR="00FB1E32" w:rsidRPr="00FB1E32" w:rsidRDefault="00FB1E32">
      <w:pPr>
        <w:pStyle w:val="NormalWeb"/>
        <w:rPr>
          <w:b/>
          <w:bCs/>
          <w:color w:val="000000"/>
          <w:sz w:val="30"/>
          <w:szCs w:val="30"/>
        </w:rPr>
      </w:pPr>
      <w:r w:rsidRPr="00FB1E32">
        <w:rPr>
          <w:b/>
          <w:bCs/>
          <w:color w:val="000000"/>
          <w:sz w:val="30"/>
          <w:szCs w:val="30"/>
        </w:rPr>
        <w:t>Methodology</w:t>
      </w:r>
    </w:p>
    <w:p w14:paraId="043CDF4F" w14:textId="77777777" w:rsidR="00FB1E32" w:rsidRDefault="00FB1E32">
      <w:pPr>
        <w:pStyle w:val="NormalWeb"/>
        <w:rPr>
          <w:color w:val="000000"/>
        </w:rPr>
      </w:pPr>
      <w:r>
        <w:rPr>
          <w:color w:val="000000"/>
        </w:rPr>
        <w:t xml:space="preserve">The study uses a qualitative, participatory research approach to explore young people’s experiences of involvement in research. This approach is appropriate as it focuses on understanding lived experiences in depth rather than producing numerical or generalisable data. The researchers worked directly with young people and aimed to involve them in </w:t>
      </w:r>
      <w:r>
        <w:rPr>
          <w:color w:val="000000"/>
        </w:rPr>
        <w:lastRenderedPageBreak/>
        <w:t>aspects of the research process, reflecting participatory methodology where participants are active contributors rather than passive subjects.</w:t>
      </w:r>
    </w:p>
    <w:p w14:paraId="2E4F9C03" w14:textId="77777777" w:rsidR="00FB1E32" w:rsidRDefault="00FB1E32">
      <w:pPr>
        <w:pStyle w:val="NormalWeb"/>
        <w:rPr>
          <w:color w:val="000000"/>
        </w:rPr>
      </w:pPr>
      <w:r>
        <w:rPr>
          <w:color w:val="000000"/>
        </w:rPr>
        <w:t>However, while this approach allows for rich and detailed data, it can also create challenges around consistency, reliability, and interpretation. Findings in qualitative research are often shaped by context and researcher interpretation rather than being fully objective (</w:t>
      </w:r>
      <w:proofErr w:type="spellStart"/>
      <w:r>
        <w:rPr>
          <w:color w:val="000000"/>
        </w:rPr>
        <w:t>Creswell</w:t>
      </w:r>
      <w:proofErr w:type="spellEnd"/>
      <w:r>
        <w:rPr>
          <w:color w:val="000000"/>
        </w:rPr>
        <w:t xml:space="preserve"> and </w:t>
      </w:r>
      <w:proofErr w:type="spellStart"/>
      <w:r>
        <w:rPr>
          <w:color w:val="000000"/>
        </w:rPr>
        <w:t>Poth</w:t>
      </w:r>
      <w:proofErr w:type="spellEnd"/>
      <w:r>
        <w:rPr>
          <w:color w:val="000000"/>
        </w:rPr>
        <w:t>, 2018). In addition, qualitative research can limit how far findings can be generalised to wider populations.</w:t>
      </w:r>
    </w:p>
    <w:p w14:paraId="3F20EF6A" w14:textId="77777777" w:rsidR="00FB1E32" w:rsidRDefault="00FB1E32">
      <w:pPr>
        <w:pStyle w:val="NormalWeb"/>
        <w:rPr>
          <w:color w:val="000000"/>
        </w:rPr>
      </w:pPr>
      <w:r>
        <w:rPr>
          <w:color w:val="000000"/>
        </w:rPr>
        <w:t>Despite this, the approach is valuable in youth work research because it captures experiences and perspectives that may be missed in more structured approaches. It also aligns with the importance of understanding young people’s lived experiences in context (</w:t>
      </w:r>
      <w:proofErr w:type="spellStart"/>
      <w:r>
        <w:rPr>
          <w:color w:val="000000"/>
        </w:rPr>
        <w:t>Denzin</w:t>
      </w:r>
      <w:proofErr w:type="spellEnd"/>
      <w:r>
        <w:rPr>
          <w:color w:val="000000"/>
        </w:rPr>
        <w:t xml:space="preserve"> and Lincoln, 2018).</w:t>
      </w:r>
    </w:p>
    <w:p w14:paraId="13225C2C" w14:textId="1F55E08A" w:rsidR="00DC306E" w:rsidRDefault="00DC306E">
      <w:pPr>
        <w:pStyle w:val="NormalWeb"/>
        <w:rPr>
          <w:rFonts w:eastAsia="Times New Roman"/>
          <w:color w:val="000000"/>
        </w:rPr>
      </w:pPr>
      <w:r w:rsidRPr="009A1F9E">
        <w:rPr>
          <w:rFonts w:eastAsia="Times New Roman"/>
          <w:color w:val="000000"/>
        </w:rPr>
        <w:t>This approach is particularly useful in youth work research because it allows researchers to explore complex social experiences in more depth than quantitative methods. Young people’s experiences are not always easy to measure through numbers, so qualitative methods provide space for meaning, context and personal perspective. However, one limitation is that the interpretation of data can be influenced by the researcher’s own perspective, which may affect how findings are presented. This means the results are not completely objective, and different researchers may interpret the same data in different ways. In addition, qualitative research often uses smaller sample sizes, which can limit how far findings can be applied to wider populations. Despite this, the flexibility of the approach is useful when working with young people, as it allows participants to express themselves in more natural and less structured ways, which is important in youth and community settings.</w:t>
      </w:r>
    </w:p>
    <w:p w14:paraId="02558F08" w14:textId="51D5D8A7" w:rsidR="00EE7016" w:rsidRPr="00EE7016" w:rsidRDefault="00EE7016">
      <w:pPr>
        <w:pStyle w:val="NormalWeb"/>
        <w:rPr>
          <w:color w:val="000000"/>
        </w:rPr>
      </w:pPr>
      <w:r w:rsidRPr="00EE7016">
        <w:rPr>
          <w:rFonts w:eastAsia="Times New Roman"/>
          <w:color w:val="000000"/>
        </w:rPr>
        <w:t>Another point to consider is the role of the researcher in participatory qualitative studies. Even though young people are involved in the process, the researcher still plays a key role in designing the study, guiding the research direction, and interpreting the findings. This means that power is not completely removed, but rather shared in different ways. Because of this, there is always a risk that the researcher’s assumptions or expectations could influence how the data is understood. This is a common limitation in qualitative research, where findings are not purely objective but shaped through interpretation. However, despite this limitation, the approach is still valuable because it allows for flexibility and responsiveness during the research process, which is important when working with young people in real-world settings.</w:t>
      </w:r>
    </w:p>
    <w:p w14:paraId="6D8D848E" w14:textId="77777777" w:rsidR="00FB1E32" w:rsidRPr="006F2027" w:rsidRDefault="00FB1E32">
      <w:pPr>
        <w:pStyle w:val="NormalWeb"/>
        <w:rPr>
          <w:b/>
          <w:bCs/>
          <w:color w:val="000000"/>
          <w:sz w:val="30"/>
          <w:szCs w:val="30"/>
        </w:rPr>
      </w:pPr>
      <w:r w:rsidRPr="006F2027">
        <w:rPr>
          <w:b/>
          <w:bCs/>
          <w:color w:val="000000"/>
          <w:sz w:val="30"/>
          <w:szCs w:val="30"/>
        </w:rPr>
        <w:t>Ethics and Reflexivity</w:t>
      </w:r>
    </w:p>
    <w:p w14:paraId="69232DA0" w14:textId="77777777" w:rsidR="00FB1E32" w:rsidRDefault="00FB1E32">
      <w:pPr>
        <w:pStyle w:val="NormalWeb"/>
        <w:rPr>
          <w:color w:val="000000"/>
        </w:rPr>
      </w:pPr>
      <w:r>
        <w:rPr>
          <w:color w:val="000000"/>
        </w:rPr>
        <w:t>Ethical considerations are central to this study, particularly because it involves young people who may be considered vulnerable. Issues such as informed consent, confidentiality, and safeguarding are essential in this type of research. The article shows awareness of ensuring participation is voluntary and that young people understand what they are involved in.</w:t>
      </w:r>
    </w:p>
    <w:p w14:paraId="059A3E80" w14:textId="77777777" w:rsidR="00FB1E32" w:rsidRDefault="00FB1E32">
      <w:pPr>
        <w:pStyle w:val="NormalWeb"/>
        <w:rPr>
          <w:color w:val="000000"/>
        </w:rPr>
      </w:pPr>
      <w:r>
        <w:rPr>
          <w:color w:val="000000"/>
        </w:rPr>
        <w:t>However, even in participatory research, power imbalances between adults and young people can still influence how freely participants feel able to speak or make decisions. This raises important ethical questions about how equal participation really is in practice. The researchers also reflect on their own role in the research process, showing awareness that their position and influence can shape both data collection and interpretation (Finlay, 2002).</w:t>
      </w:r>
    </w:p>
    <w:p w14:paraId="6D38B5EA" w14:textId="578D2CF7" w:rsidR="001129BC" w:rsidRPr="00C17D55" w:rsidRDefault="001129BC">
      <w:pPr>
        <w:pStyle w:val="NormalWeb"/>
        <w:rPr>
          <w:rFonts w:eastAsia="Times New Roman"/>
          <w:color w:val="000000"/>
        </w:rPr>
      </w:pPr>
      <w:r w:rsidRPr="001129BC">
        <w:rPr>
          <w:rFonts w:eastAsia="Times New Roman"/>
          <w:color w:val="000000"/>
        </w:rPr>
        <w:lastRenderedPageBreak/>
        <w:t xml:space="preserve">Ethical issues are particularly important when working with young people because they may not always fully understand the implications of participating in research. This makes informed consent more complex, as researchers must ensure that young people are not only agreeing to take part but also fully understand what participation involves. Safeguarding is also a key concern, especially when discussing sensitive topics that could cause emotional discomfort. Researchers must be careful to avoid causing harm or distress during the research process. Another important issue is the potential for pressure to participate, even in participatory research, where young people may feel influenced by adult researchers or authority figures. Reflexivity is therefore important because it allows researchers to reflect on how their own position, beliefs and behaviour may influence the research process. This helps </w:t>
      </w:r>
      <w:r w:rsidRPr="00C17D55">
        <w:rPr>
          <w:rFonts w:eastAsia="Times New Roman"/>
          <w:color w:val="000000"/>
        </w:rPr>
        <w:t>improve transparency and strengthens the overall credibility of the study.</w:t>
      </w:r>
    </w:p>
    <w:p w14:paraId="6FE74133" w14:textId="27D25FF1" w:rsidR="00C17D55" w:rsidRPr="00C17D55" w:rsidRDefault="00C17D55">
      <w:pPr>
        <w:pStyle w:val="NormalWeb"/>
        <w:rPr>
          <w:color w:val="000000"/>
        </w:rPr>
      </w:pPr>
      <w:r w:rsidRPr="00C17D55">
        <w:rPr>
          <w:rFonts w:eastAsia="Times New Roman"/>
          <w:color w:val="000000"/>
        </w:rPr>
        <w:t>Another ethical challenge in participatory research is managing expectations. When young people are told they are “participating” in research, they may assume they will have more influence over decisions than they actually do. If this is not clearly explained, it can lead to misunderstandings or disappointment. This is why clear communication is essential throughout the research process. In addition, researchers must be aware of the emotional impact that participation may have on young people, especially when discussing personal or sensitive experiences. Ethical research practice therefore involves not only gaining consent but also continuously checking in with participants to ensure they remain comfortable and supported throughout the study.</w:t>
      </w:r>
    </w:p>
    <w:p w14:paraId="095C7325" w14:textId="77777777" w:rsidR="00FB1E32" w:rsidRPr="006F2027" w:rsidRDefault="00FB1E32">
      <w:pPr>
        <w:pStyle w:val="NormalWeb"/>
        <w:rPr>
          <w:b/>
          <w:bCs/>
          <w:color w:val="000000"/>
          <w:sz w:val="28"/>
          <w:szCs w:val="28"/>
        </w:rPr>
      </w:pPr>
      <w:r w:rsidRPr="006F2027">
        <w:rPr>
          <w:b/>
          <w:bCs/>
          <w:color w:val="000000"/>
          <w:sz w:val="28"/>
          <w:szCs w:val="28"/>
        </w:rPr>
        <w:t>Evaluation of Findings and Trustworthiness</w:t>
      </w:r>
    </w:p>
    <w:p w14:paraId="3ABA0039" w14:textId="77777777" w:rsidR="00FB1E32" w:rsidRDefault="00FB1E32">
      <w:pPr>
        <w:pStyle w:val="NormalWeb"/>
        <w:rPr>
          <w:color w:val="000000"/>
        </w:rPr>
      </w:pPr>
      <w:r>
        <w:rPr>
          <w:color w:val="000000"/>
        </w:rPr>
        <w:t>The findings suggest that although participatory research aims to give young people more of a voice, this is not always fully achieved in practice. Levels of participation vary depending on context, meaning young people’s involvement can still be limited or shaped by adult researchers. This raises questions about how far the findings fully represent young people’s experiences, especially where power imbalances remain.</w:t>
      </w:r>
    </w:p>
    <w:p w14:paraId="0CA763E0" w14:textId="77777777" w:rsidR="00FB1E32" w:rsidRDefault="00FB1E32">
      <w:pPr>
        <w:pStyle w:val="NormalWeb"/>
        <w:rPr>
          <w:color w:val="000000"/>
        </w:rPr>
      </w:pPr>
      <w:r>
        <w:rPr>
          <w:color w:val="000000"/>
        </w:rPr>
        <w:t xml:space="preserve">In qualitative research, trustworthiness is judged more by credibility and depth rather than generalisability. The focus is on how well the research reflects participants’ experiences rather than whether it applies to a wider population (Lincoln and </w:t>
      </w:r>
      <w:proofErr w:type="spellStart"/>
      <w:r>
        <w:rPr>
          <w:color w:val="000000"/>
        </w:rPr>
        <w:t>Guba</w:t>
      </w:r>
      <w:proofErr w:type="spellEnd"/>
      <w:r>
        <w:rPr>
          <w:color w:val="000000"/>
        </w:rPr>
        <w:t>, 1985). While the study provides useful insight into participatory research, it also shows limitations in how far voice and agency can be fully achieved when adults still guide key stages of the process (Holland et al., 2010).</w:t>
      </w:r>
    </w:p>
    <w:p w14:paraId="161E089E" w14:textId="392CEF0E" w:rsidR="00DF6444" w:rsidRDefault="00DF6444">
      <w:pPr>
        <w:pStyle w:val="NormalWeb"/>
        <w:rPr>
          <w:rFonts w:eastAsia="Times New Roman"/>
          <w:color w:val="000000"/>
        </w:rPr>
      </w:pPr>
      <w:r w:rsidRPr="00DF6444">
        <w:rPr>
          <w:rFonts w:eastAsia="Times New Roman"/>
          <w:color w:val="000000"/>
        </w:rPr>
        <w:t>A key issue in evaluating qualitative research is trustworthiness, which focuses on credibility, dependability and the authenticity of the findings. In this study, although the researchers aim to represent young people’s voices, it is still important to question how accurately these voices are captured and interpreted. There is always a risk that researcher bias may influence how data is analysed, particularly when dealing with subjective experiences. In addition, while participatory research aims to give young people more control, the reality is that adult researchers often still guide the process, which may limit how far participation is genuinely equal. This creates a tension between the idea of empowerment and the practical reality of research control. As a result, although the study provides valuable insight into young people’s experiences, it is still important to recognise that the findings may not fully represent all participants’ perspectives.</w:t>
      </w:r>
    </w:p>
    <w:p w14:paraId="0478B9E6" w14:textId="265E2B1E" w:rsidR="00C67C0B" w:rsidRDefault="00C67C0B">
      <w:pPr>
        <w:pStyle w:val="NormalWeb"/>
        <w:rPr>
          <w:rFonts w:eastAsia="Times New Roman"/>
          <w:color w:val="000000"/>
        </w:rPr>
      </w:pPr>
      <w:r w:rsidRPr="00C67C0B">
        <w:rPr>
          <w:rFonts w:eastAsia="Times New Roman"/>
          <w:color w:val="000000"/>
        </w:rPr>
        <w:lastRenderedPageBreak/>
        <w:t>It is also important to consider that participatory research can sometimes create a tension between ideal expectations and actual practice. While the aim is to empower young people and give them a stronger voice, in reality there are often practical limitations such as time, resources and research constraints that affect how much participation is possible. This means that participation may exist on different levels, with some young people being more involved than others. As a result, it is difficult to claim that participatory research always produces fully equal involvement. This does not reduce the value of the findings, but it does highlight the need to critically assess how participation is implemented in practice rather than assuming it automatically leads to empowerment.</w:t>
      </w:r>
    </w:p>
    <w:p w14:paraId="370729BC" w14:textId="0B99D56A" w:rsidR="0075442B" w:rsidRPr="0075442B" w:rsidRDefault="0075442B">
      <w:pPr>
        <w:pStyle w:val="NormalWeb"/>
        <w:rPr>
          <w:rFonts w:eastAsia="Times New Roman"/>
          <w:color w:val="000000"/>
        </w:rPr>
      </w:pPr>
      <w:r w:rsidRPr="0075442B">
        <w:rPr>
          <w:rFonts w:eastAsia="Times New Roman"/>
          <w:color w:val="000000"/>
        </w:rPr>
        <w:t>Another important point to consider is how participatory research is interpreted within youth work practice. While it is often linked to empowerment and giving young people a voice, in reality the level of participation can vary depending on how the research is designed and carried out. This means that participatory approaches should not automatically be assumed to be fully empowering. Instead, they need to be critically assessed in terms of how much decision-making power young people actually have throughout the process. In some cases, participation may be more consultative rather than fully collaborative, which limits the extent to which young people can influence outcomes. This is important in youth work because practitioners need to be aware that simply involving young people does not automatically remove power imbalances. Therefore, careful reflection is needed to ensure that participation is meaningful rather than symbolic, and that young people are genuinely engaged in ways that influence both the process and outcomes of research.</w:t>
      </w:r>
    </w:p>
    <w:p w14:paraId="077AC24A" w14:textId="77777777" w:rsidR="0075442B" w:rsidRPr="0075442B" w:rsidRDefault="0075442B">
      <w:pPr>
        <w:pStyle w:val="NormalWeb"/>
        <w:rPr>
          <w:color w:val="000000"/>
        </w:rPr>
      </w:pPr>
    </w:p>
    <w:p w14:paraId="0CAF41B3" w14:textId="77777777" w:rsidR="00FB1E32" w:rsidRDefault="00FB1E32">
      <w:pPr>
        <w:pStyle w:val="NormalWeb"/>
        <w:rPr>
          <w:b/>
          <w:bCs/>
          <w:color w:val="000000"/>
          <w:sz w:val="30"/>
          <w:szCs w:val="30"/>
        </w:rPr>
      </w:pPr>
      <w:r w:rsidRPr="006F2027">
        <w:rPr>
          <w:b/>
          <w:bCs/>
          <w:color w:val="000000"/>
          <w:sz w:val="30"/>
          <w:szCs w:val="30"/>
        </w:rPr>
        <w:t>Conclusion</w:t>
      </w:r>
    </w:p>
    <w:p w14:paraId="7F560937" w14:textId="77777777" w:rsidR="00DB6388" w:rsidRDefault="00DB6388">
      <w:pPr>
        <w:pStyle w:val="NormalWeb"/>
        <w:rPr>
          <w:color w:val="000000"/>
        </w:rPr>
      </w:pPr>
      <w:r>
        <w:rPr>
          <w:color w:val="000000"/>
        </w:rPr>
        <w:t>Overall, this critical evaluation of Holland et al. (2010) has shown that participatory qualitative research with young people has both strengths and limitations. The study highlights important issues around power, agency, and participation, which are central to youth work and community research. While participatory approaches aim to increase inclusion and give young people a stronger voice, the article shows that adult researchers can still hold significant control over the research process, which may limit young people’s influence in practice.</w:t>
      </w:r>
    </w:p>
    <w:p w14:paraId="22AC8668" w14:textId="77777777" w:rsidR="00DB6388" w:rsidRDefault="00DB6388">
      <w:pPr>
        <w:pStyle w:val="NormalWeb"/>
        <w:rPr>
          <w:color w:val="000000"/>
        </w:rPr>
      </w:pPr>
      <w:r>
        <w:rPr>
          <w:color w:val="000000"/>
        </w:rPr>
        <w:t>The qualitative methodology provides rich and detailed insight into young people’s experiences, which is a clear strength, especially in youth work where understanding lived experience is important. However, it also raises issues around subjectivity, interpretation, and generalisability, meaning the findings cannot easily be applied to all young people in different contexts. Ethical considerations such as consent, safeguarding, and protecting participants are addressed, although power imbalances between researchers and young people remain a key challenge that cannot be fully removed, even in participatory approaches.</w:t>
      </w:r>
    </w:p>
    <w:p w14:paraId="4FAD0E2F" w14:textId="77777777" w:rsidR="00DB6388" w:rsidRDefault="00DB6388">
      <w:pPr>
        <w:pStyle w:val="NormalWeb"/>
        <w:rPr>
          <w:color w:val="000000"/>
        </w:rPr>
      </w:pPr>
      <w:r>
        <w:rPr>
          <w:color w:val="000000"/>
        </w:rPr>
        <w:t>It is also clear from this evaluation that participation is not always straightforward, and in practice it can vary depending on how the research is structured and carried out. This means that participation may sometimes be more symbolic than fully shared, which raises important questions about how genuine “voice” really is in research with young people. Overall, this highlights the ongoing challenge of balancing participation with control, and ensuring that young people are not only included in research but are meaningfully involved in ways that influence outcomes.</w:t>
      </w:r>
    </w:p>
    <w:p w14:paraId="3D060913" w14:textId="77777777" w:rsidR="00DB6388" w:rsidRDefault="00DB6388">
      <w:pPr>
        <w:pStyle w:val="NormalWeb"/>
        <w:rPr>
          <w:color w:val="000000"/>
        </w:rPr>
      </w:pPr>
      <w:r>
        <w:rPr>
          <w:color w:val="000000"/>
        </w:rPr>
        <w:lastRenderedPageBreak/>
        <w:t>In conclusion, the article is highly relevant to youth work practice as it highlights the importance of genuinely involving young people in research, while also recognising the real ethical and practical challenges involved in doing so. It reinforces the need for researchers and youth workers to be critically reflective about how participation is applied in practice, rather than assuming it automatically leads to empowerment.</w:t>
      </w:r>
    </w:p>
    <w:p w14:paraId="61A26233" w14:textId="77777777" w:rsidR="00DB6388" w:rsidRPr="006F2027" w:rsidRDefault="00DB6388">
      <w:pPr>
        <w:pStyle w:val="NormalWeb"/>
        <w:rPr>
          <w:b/>
          <w:bCs/>
          <w:color w:val="000000"/>
          <w:sz w:val="30"/>
          <w:szCs w:val="30"/>
        </w:rPr>
      </w:pPr>
    </w:p>
    <w:p w14:paraId="59BA8074" w14:textId="77777777" w:rsidR="00FB1E32" w:rsidRPr="006F2027" w:rsidRDefault="00FB1E32">
      <w:pPr>
        <w:pStyle w:val="NormalWeb"/>
        <w:rPr>
          <w:b/>
          <w:bCs/>
          <w:color w:val="000000"/>
          <w:sz w:val="30"/>
          <w:szCs w:val="30"/>
        </w:rPr>
      </w:pPr>
      <w:r w:rsidRPr="006F2027">
        <w:rPr>
          <w:b/>
          <w:bCs/>
          <w:color w:val="000000"/>
          <w:sz w:val="30"/>
          <w:szCs w:val="30"/>
        </w:rPr>
        <w:t>Reference List</w:t>
      </w:r>
    </w:p>
    <w:p w14:paraId="62DED887" w14:textId="77777777" w:rsidR="00FB1E32" w:rsidRDefault="00FB1E32">
      <w:pPr>
        <w:pStyle w:val="NormalWeb"/>
        <w:rPr>
          <w:color w:val="000000"/>
        </w:rPr>
      </w:pPr>
      <w:r>
        <w:rPr>
          <w:color w:val="000000"/>
        </w:rPr>
        <w:t xml:space="preserve">Holland, S., </w:t>
      </w:r>
      <w:proofErr w:type="spellStart"/>
      <w:r>
        <w:rPr>
          <w:color w:val="000000"/>
        </w:rPr>
        <w:t>Renold</w:t>
      </w:r>
      <w:proofErr w:type="spellEnd"/>
      <w:r>
        <w:rPr>
          <w:color w:val="000000"/>
        </w:rPr>
        <w:t>, E., Ross, N.J. and Hillman, A. (2010) Power, agency and participatory agendas: A critical exploration of young people’s engagement in participative qualitative research, Childhood, 17(3), pp. 360–375.</w:t>
      </w:r>
    </w:p>
    <w:p w14:paraId="1A258C96" w14:textId="77777777" w:rsidR="00FB1E32" w:rsidRDefault="00FB1E32">
      <w:pPr>
        <w:pStyle w:val="NormalWeb"/>
        <w:rPr>
          <w:color w:val="000000"/>
        </w:rPr>
      </w:pPr>
      <w:proofErr w:type="spellStart"/>
      <w:r>
        <w:rPr>
          <w:color w:val="000000"/>
        </w:rPr>
        <w:t>Kellett</w:t>
      </w:r>
      <w:proofErr w:type="spellEnd"/>
      <w:r>
        <w:rPr>
          <w:color w:val="000000"/>
        </w:rPr>
        <w:t>, M. (2011) Empowering Children and Young People as Researchers: Overcoming Barriers and Building Capacity. London: SAGE.</w:t>
      </w:r>
    </w:p>
    <w:p w14:paraId="2D8F0C4B" w14:textId="77777777" w:rsidR="00FB1E32" w:rsidRDefault="00FB1E32">
      <w:pPr>
        <w:pStyle w:val="NormalWeb"/>
        <w:rPr>
          <w:color w:val="000000"/>
        </w:rPr>
      </w:pPr>
      <w:r>
        <w:rPr>
          <w:color w:val="000000"/>
        </w:rPr>
        <w:t>Finlay, L. (2002) Negotiating the swamp: the opportunity and challenge of reflexivity in research practice, Qualitative Research, 2(2), pp. 209–230.</w:t>
      </w:r>
    </w:p>
    <w:p w14:paraId="63D75CC1" w14:textId="77777777" w:rsidR="00FB1E32" w:rsidRDefault="00FB1E32">
      <w:pPr>
        <w:pStyle w:val="NormalWeb"/>
        <w:rPr>
          <w:color w:val="000000"/>
        </w:rPr>
      </w:pPr>
      <w:proofErr w:type="spellStart"/>
      <w:r>
        <w:rPr>
          <w:color w:val="000000"/>
        </w:rPr>
        <w:t>Creswell</w:t>
      </w:r>
      <w:proofErr w:type="spellEnd"/>
      <w:r>
        <w:rPr>
          <w:color w:val="000000"/>
        </w:rPr>
        <w:t xml:space="preserve">, J.W. and </w:t>
      </w:r>
      <w:proofErr w:type="spellStart"/>
      <w:r>
        <w:rPr>
          <w:color w:val="000000"/>
        </w:rPr>
        <w:t>Poth</w:t>
      </w:r>
      <w:proofErr w:type="spellEnd"/>
      <w:r>
        <w:rPr>
          <w:color w:val="000000"/>
        </w:rPr>
        <w:t xml:space="preserve">, C.N. (2018) Qualitative Inquiry and Research Design: Choosing Among Five Approaches. 4th </w:t>
      </w:r>
      <w:proofErr w:type="spellStart"/>
      <w:r>
        <w:rPr>
          <w:color w:val="000000"/>
        </w:rPr>
        <w:t>edn</w:t>
      </w:r>
      <w:proofErr w:type="spellEnd"/>
      <w:r>
        <w:rPr>
          <w:color w:val="000000"/>
        </w:rPr>
        <w:t>. London: SAGE.</w:t>
      </w:r>
    </w:p>
    <w:p w14:paraId="580E4B34" w14:textId="77777777" w:rsidR="00FB1E32" w:rsidRDefault="00FB1E32">
      <w:pPr>
        <w:pStyle w:val="NormalWeb"/>
        <w:rPr>
          <w:color w:val="000000"/>
        </w:rPr>
      </w:pPr>
      <w:proofErr w:type="spellStart"/>
      <w:r>
        <w:rPr>
          <w:color w:val="000000"/>
        </w:rPr>
        <w:t>Denzin</w:t>
      </w:r>
      <w:proofErr w:type="spellEnd"/>
      <w:r>
        <w:rPr>
          <w:color w:val="000000"/>
        </w:rPr>
        <w:t xml:space="preserve">, N.K. and Lincoln, Y.S. (2018) The SAGE Handbook of Qualitative Research. 5th </w:t>
      </w:r>
      <w:proofErr w:type="spellStart"/>
      <w:r>
        <w:rPr>
          <w:color w:val="000000"/>
        </w:rPr>
        <w:t>edn</w:t>
      </w:r>
      <w:proofErr w:type="spellEnd"/>
      <w:r>
        <w:rPr>
          <w:color w:val="000000"/>
        </w:rPr>
        <w:t>. London: SAGE.</w:t>
      </w:r>
    </w:p>
    <w:p w14:paraId="3767E3BB" w14:textId="77777777" w:rsidR="00FB1E32" w:rsidRDefault="00FB1E32">
      <w:pPr>
        <w:pStyle w:val="NormalWeb"/>
        <w:rPr>
          <w:color w:val="000000"/>
        </w:rPr>
      </w:pPr>
      <w:r>
        <w:rPr>
          <w:color w:val="000000"/>
        </w:rPr>
        <w:t>British Educational Research Association (2024) Ethical Guidelines for Educational Research. London: BERA.</w:t>
      </w:r>
    </w:p>
    <w:p w14:paraId="27984E9B" w14:textId="77777777" w:rsidR="00FB1E32" w:rsidRDefault="00FB1E32">
      <w:pPr>
        <w:pStyle w:val="NormalWeb"/>
        <w:rPr>
          <w:color w:val="000000"/>
        </w:rPr>
      </w:pPr>
      <w:r>
        <w:rPr>
          <w:color w:val="000000"/>
        </w:rPr>
        <w:t xml:space="preserve">Patton, M.Q. (2015) Qualitative Research and Evaluation Methods. 4th </w:t>
      </w:r>
      <w:proofErr w:type="spellStart"/>
      <w:r>
        <w:rPr>
          <w:color w:val="000000"/>
        </w:rPr>
        <w:t>edn</w:t>
      </w:r>
      <w:proofErr w:type="spellEnd"/>
      <w:r>
        <w:rPr>
          <w:color w:val="000000"/>
        </w:rPr>
        <w:t>. London: SAGE.</w:t>
      </w:r>
    </w:p>
    <w:p w14:paraId="190C69B3" w14:textId="77777777" w:rsidR="00FB1E32" w:rsidRDefault="00FB1E32">
      <w:pPr>
        <w:pStyle w:val="NormalWeb"/>
        <w:rPr>
          <w:color w:val="000000"/>
        </w:rPr>
      </w:pPr>
      <w:r>
        <w:rPr>
          <w:color w:val="000000"/>
        </w:rPr>
        <w:t xml:space="preserve">Cohen, L., </w:t>
      </w:r>
      <w:proofErr w:type="spellStart"/>
      <w:r>
        <w:rPr>
          <w:color w:val="000000"/>
        </w:rPr>
        <w:t>Manion</w:t>
      </w:r>
      <w:proofErr w:type="spellEnd"/>
      <w:r>
        <w:rPr>
          <w:color w:val="000000"/>
        </w:rPr>
        <w:t xml:space="preserve">, L. and Morrison, K. (2018) Research Methods in Education. 8th </w:t>
      </w:r>
      <w:proofErr w:type="spellStart"/>
      <w:r>
        <w:rPr>
          <w:color w:val="000000"/>
        </w:rPr>
        <w:t>edn</w:t>
      </w:r>
      <w:proofErr w:type="spellEnd"/>
      <w:r>
        <w:rPr>
          <w:color w:val="000000"/>
        </w:rPr>
        <w:t xml:space="preserve">. London: </w:t>
      </w:r>
      <w:proofErr w:type="spellStart"/>
      <w:r>
        <w:rPr>
          <w:color w:val="000000"/>
        </w:rPr>
        <w:t>Routledge</w:t>
      </w:r>
      <w:proofErr w:type="spellEnd"/>
      <w:r>
        <w:rPr>
          <w:color w:val="000000"/>
        </w:rPr>
        <w:t>.</w:t>
      </w:r>
    </w:p>
    <w:p w14:paraId="0C3FC642" w14:textId="77777777" w:rsidR="00FB1E32" w:rsidRDefault="00FB1E32">
      <w:pPr>
        <w:pStyle w:val="NormalWeb"/>
        <w:rPr>
          <w:color w:val="000000"/>
        </w:rPr>
      </w:pPr>
      <w:r>
        <w:rPr>
          <w:color w:val="000000"/>
        </w:rPr>
        <w:t xml:space="preserve">Lincoln, Y.S. and </w:t>
      </w:r>
      <w:proofErr w:type="spellStart"/>
      <w:r>
        <w:rPr>
          <w:color w:val="000000"/>
        </w:rPr>
        <w:t>Guba</w:t>
      </w:r>
      <w:proofErr w:type="spellEnd"/>
      <w:r>
        <w:rPr>
          <w:color w:val="000000"/>
        </w:rPr>
        <w:t>, E.G. (1985) Naturalistic Inquiry. Beverly Hills: SAGE.</w:t>
      </w:r>
    </w:p>
    <w:p w14:paraId="7A392AB7" w14:textId="77777777" w:rsidR="0076451C" w:rsidRDefault="0076451C">
      <w:pPr>
        <w:pStyle w:val="NormalWeb"/>
        <w:rPr>
          <w:color w:val="000000"/>
        </w:rPr>
      </w:pPr>
    </w:p>
    <w:p w14:paraId="78918F07" w14:textId="63D976E3" w:rsidR="0076451C" w:rsidRPr="00A85098" w:rsidRDefault="0076451C" w:rsidP="0076451C">
      <w:pPr>
        <w:pStyle w:val="Heading1"/>
        <w:rPr>
          <w:b/>
          <w:bCs/>
        </w:rPr>
      </w:pPr>
      <w:r w:rsidRPr="00A85098">
        <w:rPr>
          <w:b/>
          <w:bCs/>
        </w:rPr>
        <w:t>Part (2)</w:t>
      </w:r>
    </w:p>
    <w:p w14:paraId="3798FD13" w14:textId="7E1496FD" w:rsidR="00D17712" w:rsidRDefault="00D17712" w:rsidP="00522A03">
      <w:pPr>
        <w:pStyle w:val="Title"/>
        <w:jc w:val="center"/>
        <w:rPr>
          <w:rFonts w:eastAsia="Times New Roman"/>
        </w:rPr>
      </w:pPr>
      <w:r>
        <w:rPr>
          <w:rFonts w:eastAsia="Times New Roman"/>
        </w:rPr>
        <w:t>Research Ethics and Reflection in Youth Work Practice</w:t>
      </w:r>
    </w:p>
    <w:p w14:paraId="5F54AAE5" w14:textId="77777777" w:rsidR="00744C3F" w:rsidRPr="00744C3F" w:rsidRDefault="00744C3F" w:rsidP="00744C3F">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744C3F">
        <w:rPr>
          <w:rFonts w:ascii="Times New Roman" w:eastAsia="Times New Roman" w:hAnsi="Times New Roman" w:cs="Times New Roman"/>
          <w:b/>
          <w:bCs/>
          <w:color w:val="000000"/>
          <w:kern w:val="0"/>
          <w:sz w:val="36"/>
          <w:szCs w:val="36"/>
          <w14:ligatures w14:val="none"/>
        </w:rPr>
        <w:t>Introduction</w:t>
      </w:r>
    </w:p>
    <w:p w14:paraId="4E2CF8DE" w14:textId="77777777" w:rsidR="00744C3F" w:rsidRPr="00744C3F" w:rsidRDefault="00744C3F" w:rsidP="00744C3F">
      <w:pPr>
        <w:spacing w:before="100" w:beforeAutospacing="1" w:after="100" w:afterAutospacing="1" w:line="240" w:lineRule="auto"/>
        <w:rPr>
          <w:rFonts w:ascii="Times New Roman" w:hAnsi="Times New Roman" w:cs="Times New Roman"/>
          <w:color w:val="000000"/>
          <w:kern w:val="0"/>
          <w14:ligatures w14:val="none"/>
        </w:rPr>
      </w:pPr>
      <w:r w:rsidRPr="00744C3F">
        <w:rPr>
          <w:rFonts w:ascii="Times New Roman" w:hAnsi="Times New Roman" w:cs="Times New Roman"/>
          <w:color w:val="000000"/>
          <w:kern w:val="0"/>
          <w14:ligatures w14:val="none"/>
        </w:rPr>
        <w:lastRenderedPageBreak/>
        <w:t>Research ethics and reflective practice are a key part of working with young people in youth work settings. When carrying out research or engaging with young people, it is important to make sure that ethical principles are followed to protect participants and ensure that their rights are respected. This includes things like informed consent, confidentiality, safeguarding, and making sure young people are not placed at risk of harm. In addition to this, reflective practice is important because it allows practitioners to think about their own role, behaviour, and influence when working with young people.</w:t>
      </w:r>
    </w:p>
    <w:p w14:paraId="2E544925" w14:textId="77777777" w:rsidR="00744C3F" w:rsidRPr="00744C3F" w:rsidRDefault="00744C3F" w:rsidP="00744C3F">
      <w:pPr>
        <w:spacing w:before="100" w:beforeAutospacing="1" w:after="100" w:afterAutospacing="1" w:line="240" w:lineRule="auto"/>
        <w:rPr>
          <w:rFonts w:ascii="Times New Roman" w:hAnsi="Times New Roman" w:cs="Times New Roman"/>
          <w:color w:val="000000"/>
          <w:kern w:val="0"/>
          <w14:ligatures w14:val="none"/>
        </w:rPr>
      </w:pPr>
      <w:r w:rsidRPr="00744C3F">
        <w:rPr>
          <w:rFonts w:ascii="Times New Roman" w:hAnsi="Times New Roman" w:cs="Times New Roman"/>
          <w:color w:val="000000"/>
          <w:kern w:val="0"/>
          <w14:ligatures w14:val="none"/>
        </w:rPr>
        <w:t>This portfolio will explore key ethical issues in research with young people, with a focus on how these apply in youth work practice. It will also look at participatory research methods and how young people can be involved in research in meaningful ways. In addition, it will include reflection on my own experiences from placement, including how I have seen ethics and participation applied in practice. Overall, this piece will link research theory to real youth work practice and show the importance of ethical awareness and reflection when working with young people.</w:t>
      </w:r>
    </w:p>
    <w:p w14:paraId="3445DA5A" w14:textId="77777777" w:rsidR="005E1967" w:rsidRPr="005E1967" w:rsidRDefault="005E1967" w:rsidP="005E1967">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5E1967">
        <w:rPr>
          <w:rFonts w:ascii="Times New Roman" w:eastAsia="Times New Roman" w:hAnsi="Times New Roman" w:cs="Times New Roman"/>
          <w:b/>
          <w:bCs/>
          <w:color w:val="000000"/>
          <w:kern w:val="0"/>
          <w:sz w:val="36"/>
          <w:szCs w:val="36"/>
          <w14:ligatures w14:val="none"/>
        </w:rPr>
        <w:t>Research Ethics in Youth Work Practice</w:t>
      </w:r>
    </w:p>
    <w:p w14:paraId="76D6725A" w14:textId="77777777" w:rsidR="005E1967" w:rsidRPr="005E1967" w:rsidRDefault="005E1967" w:rsidP="005E1967">
      <w:pPr>
        <w:spacing w:before="100" w:beforeAutospacing="1" w:after="100" w:afterAutospacing="1" w:line="240" w:lineRule="auto"/>
        <w:rPr>
          <w:rFonts w:ascii="Times New Roman" w:hAnsi="Times New Roman" w:cs="Times New Roman"/>
          <w:color w:val="000000"/>
          <w:kern w:val="0"/>
          <w14:ligatures w14:val="none"/>
        </w:rPr>
      </w:pPr>
      <w:r w:rsidRPr="005E1967">
        <w:rPr>
          <w:rFonts w:ascii="Times New Roman" w:hAnsi="Times New Roman" w:cs="Times New Roman"/>
          <w:color w:val="000000"/>
          <w:kern w:val="0"/>
          <w14:ligatures w14:val="none"/>
        </w:rPr>
        <w:t>Ethics in research with young people is essential because it ensures that participants are treated fairly, safely, and with respect throughout the process. One of the most important ethical principles is informed consent, which means young people must fully understand what the research involves, what they are agreeing to, and that they can withdraw at any time without any negative consequences. In youth work settings, this can sometimes be more complex because some young people may have different levels of understanding or confidence, so information needs to be explained clearly and in an accessible way. Confidentiality is also a key issue, as young people need to trust that anything they share will be handled appropriately and not disclosed without permission, unless there are safeguarding concerns.</w:t>
      </w:r>
    </w:p>
    <w:p w14:paraId="1BEDE7B9" w14:textId="77777777" w:rsidR="005E1967" w:rsidRDefault="005E1967" w:rsidP="005E1967">
      <w:pPr>
        <w:spacing w:before="100" w:beforeAutospacing="1" w:after="100" w:afterAutospacing="1" w:line="240" w:lineRule="auto"/>
        <w:rPr>
          <w:rFonts w:ascii="Times New Roman" w:hAnsi="Times New Roman" w:cs="Times New Roman"/>
          <w:color w:val="000000"/>
          <w:kern w:val="0"/>
          <w14:ligatures w14:val="none"/>
        </w:rPr>
      </w:pPr>
      <w:r w:rsidRPr="005E1967">
        <w:rPr>
          <w:rFonts w:ascii="Times New Roman" w:hAnsi="Times New Roman" w:cs="Times New Roman"/>
          <w:color w:val="000000"/>
          <w:kern w:val="0"/>
          <w14:ligatures w14:val="none"/>
        </w:rPr>
        <w:t>Safeguarding is particularly important when working with young people, as researchers and youth workers have a responsibility to protect them from harm. This includes being aware of emotional wellbeing, especially when discussing sensitive topics that could trigger distress. Ethical guidelines such as those from the British Educational Research Association (BERA, 2024) emphasise the importance of doing no harm and prioritising the welfare of participants at all times. However, even when these principles are followed, there can still be challenges in practice, particularly around power imbalances between adults and young people. These imbalances can affect how comfortable young people feel in expressing themselves, which is why ethical research also requires ongoing reflection from the researcher throughout the process.</w:t>
      </w:r>
    </w:p>
    <w:p w14:paraId="60D0330A" w14:textId="77777777" w:rsidR="00702C03" w:rsidRPr="00702C03" w:rsidRDefault="00702C03" w:rsidP="00702C03">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702C03">
        <w:rPr>
          <w:rFonts w:ascii="Times New Roman" w:eastAsia="Times New Roman" w:hAnsi="Times New Roman" w:cs="Times New Roman"/>
          <w:b/>
          <w:bCs/>
          <w:color w:val="000000"/>
          <w:kern w:val="0"/>
          <w:sz w:val="36"/>
          <w:szCs w:val="36"/>
          <w14:ligatures w14:val="none"/>
        </w:rPr>
        <w:t>Participatory Research Methods in Youth Work</w:t>
      </w:r>
    </w:p>
    <w:p w14:paraId="2E42E113" w14:textId="77777777" w:rsidR="00702C03" w:rsidRPr="00702C03" w:rsidRDefault="00702C03" w:rsidP="00702C03">
      <w:pPr>
        <w:spacing w:before="100" w:beforeAutospacing="1" w:after="100" w:afterAutospacing="1" w:line="240" w:lineRule="auto"/>
        <w:rPr>
          <w:rFonts w:ascii="Times New Roman" w:hAnsi="Times New Roman" w:cs="Times New Roman"/>
          <w:color w:val="000000"/>
          <w:kern w:val="0"/>
          <w14:ligatures w14:val="none"/>
        </w:rPr>
      </w:pPr>
      <w:r w:rsidRPr="00702C03">
        <w:rPr>
          <w:rFonts w:ascii="Times New Roman" w:hAnsi="Times New Roman" w:cs="Times New Roman"/>
          <w:color w:val="000000"/>
          <w:kern w:val="0"/>
          <w14:ligatures w14:val="none"/>
        </w:rPr>
        <w:t xml:space="preserve">Participatory research methods are often used in youth work because they aim to involve young people more directly in the research process rather than treating them as passive participants. This approach is based on the idea that young people should have a voice in decisions that affect them, and that their experiences are valuable in shaping understanding and practice. Methods such as group discussions, creative activities, peer-led research, and co-production are often used because they are more engaging and can feel less formal than traditional research methods. This can help young people feel more comfortable and willing </w:t>
      </w:r>
      <w:r w:rsidRPr="00702C03">
        <w:rPr>
          <w:rFonts w:ascii="Times New Roman" w:hAnsi="Times New Roman" w:cs="Times New Roman"/>
          <w:color w:val="000000"/>
          <w:kern w:val="0"/>
          <w14:ligatures w14:val="none"/>
        </w:rPr>
        <w:lastRenderedPageBreak/>
        <w:t>to share their views, which is particularly important when working with groups who may not usually feel heard.</w:t>
      </w:r>
    </w:p>
    <w:p w14:paraId="56C15298" w14:textId="32AA3524" w:rsidR="00702C03" w:rsidRDefault="00702C03" w:rsidP="00702C03">
      <w:pPr>
        <w:spacing w:before="100" w:beforeAutospacing="1" w:after="100" w:afterAutospacing="1" w:line="240" w:lineRule="auto"/>
        <w:rPr>
          <w:rFonts w:ascii="Times New Roman" w:hAnsi="Times New Roman" w:cs="Times New Roman"/>
          <w:color w:val="000000"/>
          <w:kern w:val="0"/>
          <w14:ligatures w14:val="none"/>
        </w:rPr>
      </w:pPr>
      <w:r w:rsidRPr="00702C03">
        <w:rPr>
          <w:rFonts w:ascii="Times New Roman" w:hAnsi="Times New Roman" w:cs="Times New Roman"/>
          <w:color w:val="000000"/>
          <w:kern w:val="0"/>
          <w14:ligatures w14:val="none"/>
        </w:rPr>
        <w:t>One of the main strengths of participatory methods is that they can empower young people by giving them a sense</w:t>
      </w:r>
      <w:r w:rsidR="004A2CF7">
        <w:rPr>
          <w:rFonts w:ascii="Times New Roman" w:hAnsi="Times New Roman" w:cs="Times New Roman"/>
          <w:color w:val="000000"/>
          <w:kern w:val="0"/>
          <w14:ligatures w14:val="none"/>
        </w:rPr>
        <w:t>.</w:t>
      </w:r>
    </w:p>
    <w:p w14:paraId="649D6076" w14:textId="77777777" w:rsidR="00F32511" w:rsidRPr="00F32511" w:rsidRDefault="00F32511" w:rsidP="00F3251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F32511">
        <w:rPr>
          <w:rFonts w:ascii="Times New Roman" w:eastAsia="Times New Roman" w:hAnsi="Times New Roman" w:cs="Times New Roman"/>
          <w:b/>
          <w:bCs/>
          <w:color w:val="000000"/>
          <w:kern w:val="0"/>
          <w:sz w:val="36"/>
          <w:szCs w:val="36"/>
          <w14:ligatures w14:val="none"/>
        </w:rPr>
        <w:t>Reflection on Placement Experience</w:t>
      </w:r>
    </w:p>
    <w:p w14:paraId="048A7EE4" w14:textId="77777777" w:rsidR="00F32511" w:rsidRPr="00F32511" w:rsidRDefault="00F32511" w:rsidP="00F32511">
      <w:pPr>
        <w:spacing w:before="100" w:beforeAutospacing="1" w:after="100" w:afterAutospacing="1" w:line="240" w:lineRule="auto"/>
        <w:rPr>
          <w:rFonts w:ascii="Times New Roman" w:hAnsi="Times New Roman" w:cs="Times New Roman"/>
          <w:color w:val="000000"/>
          <w:kern w:val="0"/>
          <w14:ligatures w14:val="none"/>
        </w:rPr>
      </w:pPr>
      <w:r w:rsidRPr="00F32511">
        <w:rPr>
          <w:rFonts w:ascii="Times New Roman" w:hAnsi="Times New Roman" w:cs="Times New Roman"/>
          <w:color w:val="000000"/>
          <w:kern w:val="0"/>
          <w14:ligatures w14:val="none"/>
        </w:rPr>
        <w:t>During my placement in a youth work setting, I have seen how important it is to apply ethical principles and participatory approaches in real practice, not just in theory. In sessions such as the weekly youth club, I noticed that young people are more engaged when they feel their opinions are valued and when they are given space to influence activities and discussions. For example, when planning activities, young people were often asked for their ideas and preferences, which helped them feel more involved and respected. This links closely to the idea of participation in research, where young people are not just participants but are actively involved in shaping what happens.</w:t>
      </w:r>
    </w:p>
    <w:p w14:paraId="50329325" w14:textId="77777777" w:rsidR="00F32511" w:rsidRDefault="00F32511" w:rsidP="00F32511">
      <w:pPr>
        <w:spacing w:before="100" w:beforeAutospacing="1" w:after="100" w:afterAutospacing="1" w:line="240" w:lineRule="auto"/>
        <w:rPr>
          <w:rFonts w:ascii="Times New Roman" w:hAnsi="Times New Roman" w:cs="Times New Roman"/>
          <w:color w:val="000000"/>
          <w:kern w:val="0"/>
          <w14:ligatures w14:val="none"/>
        </w:rPr>
      </w:pPr>
      <w:r w:rsidRPr="00F32511">
        <w:rPr>
          <w:rFonts w:ascii="Times New Roman" w:hAnsi="Times New Roman" w:cs="Times New Roman"/>
          <w:color w:val="000000"/>
          <w:kern w:val="0"/>
          <w14:ligatures w14:val="none"/>
        </w:rPr>
        <w:t>However, I also noticed that there are limits to participation in practice. Even when young people are given choices, adults still hold responsibility for structure, safety, and final decisions. This reflects the wider issue of power imbalance, where youth workers and researchers still have more control than young people. Reflecting on this has helped me understand that participation is not always equal, but it is about trying to create as much meaningful involvement as possible within real-world constraints such as time, safeguarding, and organisational rules. This experience has made me more aware of the importance of balancing safety with giving young people a genuine voice in both youth work and research settings.</w:t>
      </w:r>
    </w:p>
    <w:p w14:paraId="3812A8DA" w14:textId="77777777" w:rsidR="00B139CE" w:rsidRDefault="00B139CE">
      <w:pPr>
        <w:pStyle w:val="NormalWeb"/>
        <w:rPr>
          <w:color w:val="000000"/>
        </w:rPr>
      </w:pPr>
      <w:r>
        <w:rPr>
          <w:color w:val="000000"/>
        </w:rPr>
        <w:t>During my placement in a youth work setting, particularly within a weekly youth club session, I have had the opportunity to see how ethics and participation work in practice rather than just in theory. One example of this was during a mental health themed session where young people were encouraged to discuss what support they feel they need in their everyday lives. At the beginning of the session, some young people were quite quiet and hesitant to speak, which showed me how important it is to create a safe and relaxed environment before expecting open discussion.</w:t>
      </w:r>
    </w:p>
    <w:p w14:paraId="3EE47ECC" w14:textId="77777777" w:rsidR="00B139CE" w:rsidRDefault="00B139CE">
      <w:pPr>
        <w:pStyle w:val="NormalWeb"/>
        <w:rPr>
          <w:color w:val="000000"/>
        </w:rPr>
      </w:pPr>
      <w:r>
        <w:rPr>
          <w:color w:val="000000"/>
        </w:rPr>
        <w:t>As the session developed, more young people began to contribute once they realised their opinions were being taken seriously and not judged. This linked directly to the idea of participation, as engagement increased when young people felt they had genuine influence over the conversation rather than just being spoken to. It also highlighted the importance of ethical practice, particularly around emotional safety, because discussing mental health required sensitivity and awareness of how different young people might respond.</w:t>
      </w:r>
    </w:p>
    <w:p w14:paraId="5EE13C83" w14:textId="77777777" w:rsidR="00B139CE" w:rsidRDefault="00B139CE">
      <w:pPr>
        <w:pStyle w:val="NormalWeb"/>
        <w:rPr>
          <w:color w:val="000000"/>
        </w:rPr>
      </w:pPr>
      <w:r>
        <w:rPr>
          <w:color w:val="000000"/>
        </w:rPr>
        <w:t>This experience helped me understand that participation is not automatic and needs to be actively supported. It is not enough to simply ask questions; young people need time, trust, and reassurance before they feel comfortable engaging. I also became more aware of the power role I hold as a youth worker in training, as even small decisions such as how questions are asked or how space is managed can influence how young people respond. Reflecting on this has helped me realise that ethical practice is ongoing and requires constant adjustment based on the group and situation.</w:t>
      </w:r>
    </w:p>
    <w:p w14:paraId="42EF84DC" w14:textId="77777777" w:rsidR="00786D06" w:rsidRDefault="00786D06">
      <w:pPr>
        <w:pStyle w:val="NormalWeb"/>
        <w:rPr>
          <w:color w:val="000000"/>
        </w:rPr>
      </w:pPr>
      <w:r>
        <w:rPr>
          <w:color w:val="000000"/>
        </w:rPr>
        <w:lastRenderedPageBreak/>
        <w:t>This experience has helped me develop a better understanding of how participatory approaches work in real youth work settings. It has shown me that while young people can be actively involved in discussions and decision-making, practitioners still need to balance this with safeguarding responsibilities and group management. It has also made me more aware of the importance of reflection in practice, as it allows me to think about what worked well and what I would change in future sessions.</w:t>
      </w:r>
    </w:p>
    <w:p w14:paraId="25168CA4" w14:textId="77777777" w:rsidR="00A85098" w:rsidRDefault="00A85098">
      <w:pPr>
        <w:pStyle w:val="NormalWeb"/>
        <w:rPr>
          <w:color w:val="000000"/>
        </w:rPr>
      </w:pPr>
      <w:r>
        <w:rPr>
          <w:color w:val="000000"/>
        </w:rPr>
        <w:t>This experience also made me think more critically about the balance between structure and freedom in youth work practice. On one hand, sessions need some level of planning and structure to make sure they are safe, purposeful, and inclusive for everyone involved. On the other hand, too much structure can limit young people’s ability to express themselves freely or shape the direction of activities. This links closely to participatory approaches in research, where there is often a tension between researcher control and young people’s involvement. In practice, I have noticed that even when young people are given opportunities to lead discussions or contribute ideas, adults still hold responsibility for guiding the overall direction of the session.</w:t>
      </w:r>
    </w:p>
    <w:p w14:paraId="6D1E2A06" w14:textId="77777777" w:rsidR="00A85098" w:rsidRDefault="00A85098">
      <w:pPr>
        <w:pStyle w:val="NormalWeb"/>
        <w:rPr>
          <w:color w:val="000000"/>
        </w:rPr>
      </w:pPr>
      <w:r>
        <w:rPr>
          <w:color w:val="000000"/>
        </w:rPr>
        <w:t>It has also made me more aware of how different young people engage in different ways. Some are confident and willing to speak in group discussions, while others prefer smaller group interactions or non-verbal activities. This means that participation is not one single approach, but something that needs to be adapted depending on individual needs and comfort levels. As a future practitioner, this has highlighted the importance of being flexible and not assuming that all young people will engage in the same way.</w:t>
      </w:r>
    </w:p>
    <w:p w14:paraId="393F0CBC" w14:textId="77777777" w:rsidR="00A85098" w:rsidRDefault="00A85098">
      <w:pPr>
        <w:pStyle w:val="NormalWeb"/>
        <w:rPr>
          <w:color w:val="000000"/>
        </w:rPr>
      </w:pPr>
      <w:r>
        <w:rPr>
          <w:color w:val="000000"/>
        </w:rPr>
        <w:t>Overall, this reflection has helped me understand that ethical and participatory practice is not about removing all adult influence, but about finding a balance where young people feel heard, respected, and safe, while still being supported within a structured environment.</w:t>
      </w:r>
    </w:p>
    <w:p w14:paraId="6225C193" w14:textId="77777777" w:rsidR="00786D06" w:rsidRDefault="00786D06">
      <w:pPr>
        <w:pStyle w:val="NormalWeb"/>
        <w:rPr>
          <w:color w:val="000000"/>
        </w:rPr>
      </w:pPr>
    </w:p>
    <w:p w14:paraId="30486209" w14:textId="77777777" w:rsidR="00B139CE" w:rsidRPr="00F32511" w:rsidRDefault="00B139CE" w:rsidP="00F32511">
      <w:pPr>
        <w:spacing w:before="100" w:beforeAutospacing="1" w:after="100" w:afterAutospacing="1" w:line="240" w:lineRule="auto"/>
        <w:rPr>
          <w:rFonts w:ascii="Times New Roman" w:hAnsi="Times New Roman" w:cs="Times New Roman"/>
          <w:color w:val="000000"/>
          <w:kern w:val="0"/>
          <w14:ligatures w14:val="none"/>
        </w:rPr>
      </w:pPr>
    </w:p>
    <w:p w14:paraId="23930993" w14:textId="77777777" w:rsidR="0048592A" w:rsidRPr="0048592A" w:rsidRDefault="0048592A" w:rsidP="0048592A">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48592A">
        <w:rPr>
          <w:rFonts w:ascii="Times New Roman" w:eastAsia="Times New Roman" w:hAnsi="Times New Roman" w:cs="Times New Roman"/>
          <w:b/>
          <w:bCs/>
          <w:color w:val="000000"/>
          <w:kern w:val="0"/>
          <w:sz w:val="36"/>
          <w:szCs w:val="36"/>
          <w14:ligatures w14:val="none"/>
        </w:rPr>
        <w:t>Linking Ethics, Participation and Professional Practice</w:t>
      </w:r>
    </w:p>
    <w:p w14:paraId="5AE30D5D" w14:textId="77777777" w:rsidR="0048592A" w:rsidRPr="0048592A" w:rsidRDefault="0048592A" w:rsidP="0048592A">
      <w:pPr>
        <w:spacing w:before="100" w:beforeAutospacing="1" w:after="100" w:afterAutospacing="1" w:line="240" w:lineRule="auto"/>
        <w:rPr>
          <w:rFonts w:ascii="Times New Roman" w:hAnsi="Times New Roman" w:cs="Times New Roman"/>
          <w:color w:val="000000"/>
          <w:kern w:val="0"/>
          <w14:ligatures w14:val="none"/>
        </w:rPr>
      </w:pPr>
      <w:r w:rsidRPr="0048592A">
        <w:rPr>
          <w:rFonts w:ascii="Times New Roman" w:hAnsi="Times New Roman" w:cs="Times New Roman"/>
          <w:color w:val="000000"/>
          <w:kern w:val="0"/>
          <w14:ligatures w14:val="none"/>
        </w:rPr>
        <w:t>When combining research ethics with participatory approaches, it becomes clear that youth work practice requires a careful balance between inclusion and responsibility. On one hand, involving young people in decision-making and research can be empowering and help build trust, confidence, and engagement. On the other hand, practitioners still have a duty of care, which means they must ensure that participation does not compromise safety or wellbeing. This balance can sometimes be difficult to maintain, especially when young people want more freedom in discussions or activities that may carry risk or sensitive content.</w:t>
      </w:r>
    </w:p>
    <w:p w14:paraId="53849521" w14:textId="77777777" w:rsidR="0048592A" w:rsidRDefault="0048592A" w:rsidP="0048592A">
      <w:pPr>
        <w:spacing w:before="100" w:beforeAutospacing="1" w:after="100" w:afterAutospacing="1" w:line="240" w:lineRule="auto"/>
        <w:rPr>
          <w:rFonts w:ascii="Times New Roman" w:hAnsi="Times New Roman" w:cs="Times New Roman"/>
          <w:color w:val="000000"/>
          <w:kern w:val="0"/>
          <w14:ligatures w14:val="none"/>
        </w:rPr>
      </w:pPr>
      <w:r w:rsidRPr="0048592A">
        <w:rPr>
          <w:rFonts w:ascii="Times New Roman" w:hAnsi="Times New Roman" w:cs="Times New Roman"/>
          <w:color w:val="000000"/>
          <w:kern w:val="0"/>
          <w14:ligatures w14:val="none"/>
        </w:rPr>
        <w:t xml:space="preserve">Another important aspect is that ethical practice is not something that is done once at the start of a project, but something that needs to be ongoing throughout. Situations can change quickly when working with young people, so youth workers and researchers need to continuously reflect on what is happening and adjust their approach where necessary. This links to reflective practice, where professionals critically think about their own actions and decisions in order to improve future practice. Overall, ethical and participatory practice in </w:t>
      </w:r>
      <w:r w:rsidRPr="0048592A">
        <w:rPr>
          <w:rFonts w:ascii="Times New Roman" w:hAnsi="Times New Roman" w:cs="Times New Roman"/>
          <w:color w:val="000000"/>
          <w:kern w:val="0"/>
          <w14:ligatures w14:val="none"/>
        </w:rPr>
        <w:lastRenderedPageBreak/>
        <w:t>youth work is about being flexible, reflective, and aware of power, while still aiming to give young people meaningful opportunities to be involved.</w:t>
      </w:r>
    </w:p>
    <w:p w14:paraId="4C30C9D7" w14:textId="77777777" w:rsidR="0048592A" w:rsidRPr="0048592A" w:rsidRDefault="0048592A" w:rsidP="0048592A">
      <w:pPr>
        <w:spacing w:before="100" w:beforeAutospacing="1" w:after="100" w:afterAutospacing="1" w:line="240" w:lineRule="auto"/>
        <w:rPr>
          <w:rFonts w:ascii="Times New Roman" w:hAnsi="Times New Roman" w:cs="Times New Roman"/>
          <w:color w:val="000000"/>
          <w:kern w:val="0"/>
          <w14:ligatures w14:val="none"/>
        </w:rPr>
      </w:pPr>
    </w:p>
    <w:p w14:paraId="76726B63" w14:textId="48772E10" w:rsidR="006C60D3" w:rsidRPr="006C60D3" w:rsidRDefault="006C60D3" w:rsidP="006C60D3">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6C60D3">
        <w:rPr>
          <w:rFonts w:ascii="Times New Roman" w:eastAsia="Times New Roman" w:hAnsi="Times New Roman" w:cs="Times New Roman"/>
          <w:b/>
          <w:bCs/>
          <w:kern w:val="0"/>
          <w:sz w:val="36"/>
          <w:szCs w:val="36"/>
          <w14:ligatures w14:val="none"/>
        </w:rPr>
        <w:t xml:space="preserve">Conclusion </w:t>
      </w:r>
    </w:p>
    <w:p w14:paraId="1E8EADD4" w14:textId="77777777" w:rsidR="006C60D3" w:rsidRPr="006C60D3" w:rsidRDefault="006C60D3" w:rsidP="006C60D3">
      <w:pPr>
        <w:spacing w:before="100" w:beforeAutospacing="1" w:after="100" w:afterAutospacing="1" w:line="240" w:lineRule="auto"/>
        <w:rPr>
          <w:rFonts w:ascii="Times New Roman" w:hAnsi="Times New Roman" w:cs="Times New Roman"/>
          <w:kern w:val="0"/>
          <w14:ligatures w14:val="none"/>
        </w:rPr>
      </w:pPr>
      <w:r w:rsidRPr="006C60D3">
        <w:rPr>
          <w:rFonts w:ascii="Times New Roman" w:hAnsi="Times New Roman" w:cs="Times New Roman"/>
          <w:kern w:val="0"/>
          <w14:ligatures w14:val="none"/>
        </w:rPr>
        <w:t>Overall, this portfolio has shown that ethics and reflective practice are essential when working with young people in both research and youth work settings. Ethical principles such as informed consent, confidentiality, and safeguarding are not just formal requirements, but are central to ensuring that young people are treated with respect and are protected from harm. However, this work has also highlighted that ethical practice is not always straightforward, particularly when dealing with power imbalances between adults and young people, which can influence how free and confident young people feel to participate.</w:t>
      </w:r>
    </w:p>
    <w:p w14:paraId="62AF510A" w14:textId="77777777" w:rsidR="006C60D3" w:rsidRPr="006C60D3" w:rsidRDefault="006C60D3" w:rsidP="006C60D3">
      <w:pPr>
        <w:spacing w:before="100" w:beforeAutospacing="1" w:after="100" w:afterAutospacing="1" w:line="240" w:lineRule="auto"/>
        <w:rPr>
          <w:rFonts w:ascii="Times New Roman" w:hAnsi="Times New Roman" w:cs="Times New Roman"/>
          <w:kern w:val="0"/>
          <w14:ligatures w14:val="none"/>
        </w:rPr>
      </w:pPr>
      <w:r w:rsidRPr="006C60D3">
        <w:rPr>
          <w:rFonts w:ascii="Times New Roman" w:hAnsi="Times New Roman" w:cs="Times New Roman"/>
          <w:kern w:val="0"/>
          <w14:ligatures w14:val="none"/>
        </w:rPr>
        <w:t>The use of participatory research methods can help to address some of these issues by giving young people more involvement and a stronger voice. However, as seen in both research literature and practice experience, participation is not always fully equal, and adult practitioners still hold responsibility for structure, safety, and decision-making. This means that participation needs to be understood as something that exists on a spectrum rather than as a fixed outcome.</w:t>
      </w:r>
    </w:p>
    <w:p w14:paraId="7AC4E138" w14:textId="77777777" w:rsidR="006C60D3" w:rsidRPr="006C60D3" w:rsidRDefault="006C60D3" w:rsidP="006C60D3">
      <w:pPr>
        <w:spacing w:before="100" w:beforeAutospacing="1" w:after="100" w:afterAutospacing="1" w:line="240" w:lineRule="auto"/>
        <w:rPr>
          <w:rFonts w:ascii="Times New Roman" w:hAnsi="Times New Roman" w:cs="Times New Roman"/>
          <w:kern w:val="0"/>
          <w14:ligatures w14:val="none"/>
        </w:rPr>
      </w:pPr>
      <w:r w:rsidRPr="006C60D3">
        <w:rPr>
          <w:rFonts w:ascii="Times New Roman" w:hAnsi="Times New Roman" w:cs="Times New Roman"/>
          <w:kern w:val="0"/>
          <w14:ligatures w14:val="none"/>
        </w:rPr>
        <w:t>Reflecting on my own placement experience has helped me understand how these ideas work in practice, particularly the importance of balancing safeguarding responsibilities with giving young people genuine opportunities to be involved. Overall, this portfolio highlights the importance of being critically reflective, ethically aware, and flexible in youth work practice, while continuing to develop approaches that genuinely value young people’s voices.</w:t>
      </w:r>
    </w:p>
    <w:p w14:paraId="1DBE5A9A" w14:textId="77777777" w:rsidR="004A2CF7" w:rsidRPr="00702C03" w:rsidRDefault="004A2CF7" w:rsidP="00702C03">
      <w:pPr>
        <w:spacing w:before="100" w:beforeAutospacing="1" w:after="100" w:afterAutospacing="1" w:line="240" w:lineRule="auto"/>
        <w:rPr>
          <w:rFonts w:ascii="Times New Roman" w:hAnsi="Times New Roman" w:cs="Times New Roman"/>
          <w:color w:val="000000"/>
          <w:kern w:val="0"/>
          <w14:ligatures w14:val="none"/>
        </w:rPr>
      </w:pPr>
    </w:p>
    <w:p w14:paraId="14B6C40C" w14:textId="77777777" w:rsidR="00702C03" w:rsidRPr="005E1967" w:rsidRDefault="00702C03" w:rsidP="005E1967">
      <w:pPr>
        <w:spacing w:before="100" w:beforeAutospacing="1" w:after="100" w:afterAutospacing="1" w:line="240" w:lineRule="auto"/>
        <w:rPr>
          <w:rFonts w:ascii="Times New Roman" w:hAnsi="Times New Roman" w:cs="Times New Roman"/>
          <w:color w:val="000000"/>
          <w:kern w:val="0"/>
          <w14:ligatures w14:val="none"/>
        </w:rPr>
      </w:pPr>
    </w:p>
    <w:p w14:paraId="0C4E03EB" w14:textId="374B5D8C" w:rsidR="0061003F" w:rsidRPr="0061003F" w:rsidRDefault="0061003F" w:rsidP="0061003F">
      <w:pPr>
        <w:spacing w:before="100" w:beforeAutospacing="1" w:after="100" w:afterAutospacing="1" w:line="240" w:lineRule="auto"/>
        <w:outlineLvl w:val="1"/>
        <w:rPr>
          <w:rFonts w:ascii="Times New Roman" w:eastAsia="Times New Roman" w:hAnsi="Times New Roman" w:cs="Times New Roman"/>
          <w:b/>
          <w:bCs/>
          <w:color w:val="000000"/>
          <w:kern w:val="0"/>
          <w14:ligatures w14:val="none"/>
        </w:rPr>
      </w:pPr>
      <w:r w:rsidRPr="0061003F">
        <w:rPr>
          <w:rFonts w:ascii="Times New Roman" w:eastAsia="Times New Roman" w:hAnsi="Times New Roman" w:cs="Times New Roman"/>
          <w:b/>
          <w:bCs/>
          <w:color w:val="000000"/>
          <w:kern w:val="0"/>
          <w14:ligatures w14:val="none"/>
        </w:rPr>
        <w:t>Reference List</w:t>
      </w:r>
      <w:r>
        <w:rPr>
          <w:rFonts w:ascii="Times New Roman" w:eastAsia="Times New Roman" w:hAnsi="Times New Roman" w:cs="Times New Roman"/>
          <w:b/>
          <w:bCs/>
          <w:color w:val="000000"/>
          <w:kern w:val="0"/>
          <w14:ligatures w14:val="none"/>
        </w:rPr>
        <w:t xml:space="preserve"> :</w:t>
      </w:r>
    </w:p>
    <w:p w14:paraId="27F917CE" w14:textId="77777777" w:rsidR="0061003F" w:rsidRPr="0061003F" w:rsidRDefault="0061003F" w:rsidP="0061003F">
      <w:pPr>
        <w:spacing w:before="100" w:beforeAutospacing="1" w:after="100" w:afterAutospacing="1" w:line="240" w:lineRule="auto"/>
        <w:rPr>
          <w:rFonts w:ascii="Times New Roman" w:hAnsi="Times New Roman" w:cs="Times New Roman"/>
          <w:color w:val="000000"/>
          <w:kern w:val="0"/>
          <w14:ligatures w14:val="none"/>
        </w:rPr>
      </w:pPr>
      <w:r w:rsidRPr="0061003F">
        <w:rPr>
          <w:rFonts w:ascii="Times New Roman" w:hAnsi="Times New Roman" w:cs="Times New Roman"/>
          <w:color w:val="000000"/>
          <w:kern w:val="0"/>
          <w14:ligatures w14:val="none"/>
        </w:rPr>
        <w:t>British Educational Research Association (2024) </w:t>
      </w:r>
      <w:r w:rsidRPr="0061003F">
        <w:rPr>
          <w:rFonts w:ascii="Times New Roman" w:hAnsi="Times New Roman" w:cs="Times New Roman"/>
          <w:i/>
          <w:iCs/>
          <w:color w:val="000000"/>
          <w:kern w:val="0"/>
          <w14:ligatures w14:val="none"/>
        </w:rPr>
        <w:t>Ethical Guidelines for Educational Research</w:t>
      </w:r>
      <w:r w:rsidRPr="0061003F">
        <w:rPr>
          <w:rFonts w:ascii="Times New Roman" w:hAnsi="Times New Roman" w:cs="Times New Roman"/>
          <w:color w:val="000000"/>
          <w:kern w:val="0"/>
          <w14:ligatures w14:val="none"/>
        </w:rPr>
        <w:t>. London: BERA.</w:t>
      </w:r>
    </w:p>
    <w:p w14:paraId="1A12FBFE" w14:textId="77777777" w:rsidR="0061003F" w:rsidRPr="0061003F" w:rsidRDefault="0061003F" w:rsidP="0061003F">
      <w:pPr>
        <w:spacing w:before="100" w:beforeAutospacing="1" w:after="100" w:afterAutospacing="1" w:line="240" w:lineRule="auto"/>
        <w:rPr>
          <w:rFonts w:ascii="Times New Roman" w:hAnsi="Times New Roman" w:cs="Times New Roman"/>
          <w:color w:val="000000"/>
          <w:kern w:val="0"/>
          <w14:ligatures w14:val="none"/>
        </w:rPr>
      </w:pPr>
      <w:r w:rsidRPr="0061003F">
        <w:rPr>
          <w:rFonts w:ascii="Times New Roman" w:hAnsi="Times New Roman" w:cs="Times New Roman"/>
          <w:color w:val="000000"/>
          <w:kern w:val="0"/>
          <w14:ligatures w14:val="none"/>
        </w:rPr>
        <w:t xml:space="preserve">Cohen, L., </w:t>
      </w:r>
      <w:proofErr w:type="spellStart"/>
      <w:r w:rsidRPr="0061003F">
        <w:rPr>
          <w:rFonts w:ascii="Times New Roman" w:hAnsi="Times New Roman" w:cs="Times New Roman"/>
          <w:color w:val="000000"/>
          <w:kern w:val="0"/>
          <w14:ligatures w14:val="none"/>
        </w:rPr>
        <w:t>Manion</w:t>
      </w:r>
      <w:proofErr w:type="spellEnd"/>
      <w:r w:rsidRPr="0061003F">
        <w:rPr>
          <w:rFonts w:ascii="Times New Roman" w:hAnsi="Times New Roman" w:cs="Times New Roman"/>
          <w:color w:val="000000"/>
          <w:kern w:val="0"/>
          <w14:ligatures w14:val="none"/>
        </w:rPr>
        <w:t>, L. and Morrison, K. (2018) </w:t>
      </w:r>
      <w:r w:rsidRPr="0061003F">
        <w:rPr>
          <w:rFonts w:ascii="Times New Roman" w:hAnsi="Times New Roman" w:cs="Times New Roman"/>
          <w:i/>
          <w:iCs/>
          <w:color w:val="000000"/>
          <w:kern w:val="0"/>
          <w14:ligatures w14:val="none"/>
        </w:rPr>
        <w:t>Research Methods in Education</w:t>
      </w:r>
      <w:r w:rsidRPr="0061003F">
        <w:rPr>
          <w:rFonts w:ascii="Times New Roman" w:hAnsi="Times New Roman" w:cs="Times New Roman"/>
          <w:color w:val="000000"/>
          <w:kern w:val="0"/>
          <w14:ligatures w14:val="none"/>
        </w:rPr>
        <w:t xml:space="preserve">. 8th </w:t>
      </w:r>
      <w:proofErr w:type="spellStart"/>
      <w:r w:rsidRPr="0061003F">
        <w:rPr>
          <w:rFonts w:ascii="Times New Roman" w:hAnsi="Times New Roman" w:cs="Times New Roman"/>
          <w:color w:val="000000"/>
          <w:kern w:val="0"/>
          <w14:ligatures w14:val="none"/>
        </w:rPr>
        <w:t>edn</w:t>
      </w:r>
      <w:proofErr w:type="spellEnd"/>
      <w:r w:rsidRPr="0061003F">
        <w:rPr>
          <w:rFonts w:ascii="Times New Roman" w:hAnsi="Times New Roman" w:cs="Times New Roman"/>
          <w:color w:val="000000"/>
          <w:kern w:val="0"/>
          <w14:ligatures w14:val="none"/>
        </w:rPr>
        <w:t xml:space="preserve">. London: </w:t>
      </w:r>
      <w:proofErr w:type="spellStart"/>
      <w:r w:rsidRPr="0061003F">
        <w:rPr>
          <w:rFonts w:ascii="Times New Roman" w:hAnsi="Times New Roman" w:cs="Times New Roman"/>
          <w:color w:val="000000"/>
          <w:kern w:val="0"/>
          <w14:ligatures w14:val="none"/>
        </w:rPr>
        <w:t>Routledge</w:t>
      </w:r>
      <w:proofErr w:type="spellEnd"/>
      <w:r w:rsidRPr="0061003F">
        <w:rPr>
          <w:rFonts w:ascii="Times New Roman" w:hAnsi="Times New Roman" w:cs="Times New Roman"/>
          <w:color w:val="000000"/>
          <w:kern w:val="0"/>
          <w14:ligatures w14:val="none"/>
        </w:rPr>
        <w:t>.</w:t>
      </w:r>
    </w:p>
    <w:p w14:paraId="6559F269" w14:textId="77777777" w:rsidR="0061003F" w:rsidRPr="0061003F" w:rsidRDefault="0061003F" w:rsidP="0061003F">
      <w:pPr>
        <w:spacing w:before="100" w:beforeAutospacing="1" w:after="100" w:afterAutospacing="1" w:line="240" w:lineRule="auto"/>
        <w:rPr>
          <w:rFonts w:ascii="Times New Roman" w:hAnsi="Times New Roman" w:cs="Times New Roman"/>
          <w:color w:val="000000"/>
          <w:kern w:val="0"/>
          <w14:ligatures w14:val="none"/>
        </w:rPr>
      </w:pPr>
      <w:proofErr w:type="spellStart"/>
      <w:r w:rsidRPr="0061003F">
        <w:rPr>
          <w:rFonts w:ascii="Times New Roman" w:hAnsi="Times New Roman" w:cs="Times New Roman"/>
          <w:color w:val="000000"/>
          <w:kern w:val="0"/>
          <w14:ligatures w14:val="none"/>
        </w:rPr>
        <w:t>Creswell</w:t>
      </w:r>
      <w:proofErr w:type="spellEnd"/>
      <w:r w:rsidRPr="0061003F">
        <w:rPr>
          <w:rFonts w:ascii="Times New Roman" w:hAnsi="Times New Roman" w:cs="Times New Roman"/>
          <w:color w:val="000000"/>
          <w:kern w:val="0"/>
          <w14:ligatures w14:val="none"/>
        </w:rPr>
        <w:t xml:space="preserve">, J.W. and </w:t>
      </w:r>
      <w:proofErr w:type="spellStart"/>
      <w:r w:rsidRPr="0061003F">
        <w:rPr>
          <w:rFonts w:ascii="Times New Roman" w:hAnsi="Times New Roman" w:cs="Times New Roman"/>
          <w:color w:val="000000"/>
          <w:kern w:val="0"/>
          <w14:ligatures w14:val="none"/>
        </w:rPr>
        <w:t>Poth</w:t>
      </w:r>
      <w:proofErr w:type="spellEnd"/>
      <w:r w:rsidRPr="0061003F">
        <w:rPr>
          <w:rFonts w:ascii="Times New Roman" w:hAnsi="Times New Roman" w:cs="Times New Roman"/>
          <w:color w:val="000000"/>
          <w:kern w:val="0"/>
          <w14:ligatures w14:val="none"/>
        </w:rPr>
        <w:t>, C.N. (2018) </w:t>
      </w:r>
      <w:r w:rsidRPr="0061003F">
        <w:rPr>
          <w:rFonts w:ascii="Times New Roman" w:hAnsi="Times New Roman" w:cs="Times New Roman"/>
          <w:i/>
          <w:iCs/>
          <w:color w:val="000000"/>
          <w:kern w:val="0"/>
          <w14:ligatures w14:val="none"/>
        </w:rPr>
        <w:t>Qualitative Inquiry and Research Design: Choosing Among Five Approaches</w:t>
      </w:r>
      <w:r w:rsidRPr="0061003F">
        <w:rPr>
          <w:rFonts w:ascii="Times New Roman" w:hAnsi="Times New Roman" w:cs="Times New Roman"/>
          <w:color w:val="000000"/>
          <w:kern w:val="0"/>
          <w14:ligatures w14:val="none"/>
        </w:rPr>
        <w:t xml:space="preserve">. 4th </w:t>
      </w:r>
      <w:proofErr w:type="spellStart"/>
      <w:r w:rsidRPr="0061003F">
        <w:rPr>
          <w:rFonts w:ascii="Times New Roman" w:hAnsi="Times New Roman" w:cs="Times New Roman"/>
          <w:color w:val="000000"/>
          <w:kern w:val="0"/>
          <w14:ligatures w14:val="none"/>
        </w:rPr>
        <w:t>edn</w:t>
      </w:r>
      <w:proofErr w:type="spellEnd"/>
      <w:r w:rsidRPr="0061003F">
        <w:rPr>
          <w:rFonts w:ascii="Times New Roman" w:hAnsi="Times New Roman" w:cs="Times New Roman"/>
          <w:color w:val="000000"/>
          <w:kern w:val="0"/>
          <w14:ligatures w14:val="none"/>
        </w:rPr>
        <w:t>. London: SAGE.</w:t>
      </w:r>
    </w:p>
    <w:p w14:paraId="46B59201" w14:textId="77777777" w:rsidR="0061003F" w:rsidRPr="0061003F" w:rsidRDefault="0061003F" w:rsidP="0061003F">
      <w:pPr>
        <w:spacing w:before="100" w:beforeAutospacing="1" w:after="100" w:afterAutospacing="1" w:line="240" w:lineRule="auto"/>
        <w:rPr>
          <w:rFonts w:ascii="Times New Roman" w:hAnsi="Times New Roman" w:cs="Times New Roman"/>
          <w:color w:val="000000"/>
          <w:kern w:val="0"/>
          <w14:ligatures w14:val="none"/>
        </w:rPr>
      </w:pPr>
      <w:proofErr w:type="spellStart"/>
      <w:r w:rsidRPr="0061003F">
        <w:rPr>
          <w:rFonts w:ascii="Times New Roman" w:hAnsi="Times New Roman" w:cs="Times New Roman"/>
          <w:color w:val="000000"/>
          <w:kern w:val="0"/>
          <w14:ligatures w14:val="none"/>
        </w:rPr>
        <w:t>Denzin</w:t>
      </w:r>
      <w:proofErr w:type="spellEnd"/>
      <w:r w:rsidRPr="0061003F">
        <w:rPr>
          <w:rFonts w:ascii="Times New Roman" w:hAnsi="Times New Roman" w:cs="Times New Roman"/>
          <w:color w:val="000000"/>
          <w:kern w:val="0"/>
          <w14:ligatures w14:val="none"/>
        </w:rPr>
        <w:t>, N.K. and Lincoln, Y.S. (2018) </w:t>
      </w:r>
      <w:r w:rsidRPr="0061003F">
        <w:rPr>
          <w:rFonts w:ascii="Times New Roman" w:hAnsi="Times New Roman" w:cs="Times New Roman"/>
          <w:i/>
          <w:iCs/>
          <w:color w:val="000000"/>
          <w:kern w:val="0"/>
          <w14:ligatures w14:val="none"/>
        </w:rPr>
        <w:t>The SAGE Handbook of Qualitative Research</w:t>
      </w:r>
      <w:r w:rsidRPr="0061003F">
        <w:rPr>
          <w:rFonts w:ascii="Times New Roman" w:hAnsi="Times New Roman" w:cs="Times New Roman"/>
          <w:color w:val="000000"/>
          <w:kern w:val="0"/>
          <w14:ligatures w14:val="none"/>
        </w:rPr>
        <w:t xml:space="preserve">. 5th </w:t>
      </w:r>
      <w:proofErr w:type="spellStart"/>
      <w:r w:rsidRPr="0061003F">
        <w:rPr>
          <w:rFonts w:ascii="Times New Roman" w:hAnsi="Times New Roman" w:cs="Times New Roman"/>
          <w:color w:val="000000"/>
          <w:kern w:val="0"/>
          <w14:ligatures w14:val="none"/>
        </w:rPr>
        <w:t>edn</w:t>
      </w:r>
      <w:proofErr w:type="spellEnd"/>
      <w:r w:rsidRPr="0061003F">
        <w:rPr>
          <w:rFonts w:ascii="Times New Roman" w:hAnsi="Times New Roman" w:cs="Times New Roman"/>
          <w:color w:val="000000"/>
          <w:kern w:val="0"/>
          <w14:ligatures w14:val="none"/>
        </w:rPr>
        <w:t>. London: SAGE.</w:t>
      </w:r>
    </w:p>
    <w:p w14:paraId="3EAF0927" w14:textId="77777777" w:rsidR="0061003F" w:rsidRPr="0061003F" w:rsidRDefault="0061003F" w:rsidP="0061003F">
      <w:pPr>
        <w:spacing w:before="100" w:beforeAutospacing="1" w:after="100" w:afterAutospacing="1" w:line="240" w:lineRule="auto"/>
        <w:rPr>
          <w:rFonts w:ascii="Times New Roman" w:hAnsi="Times New Roman" w:cs="Times New Roman"/>
          <w:color w:val="000000"/>
          <w:kern w:val="0"/>
          <w14:ligatures w14:val="none"/>
        </w:rPr>
      </w:pPr>
      <w:r w:rsidRPr="0061003F">
        <w:rPr>
          <w:rFonts w:ascii="Times New Roman" w:hAnsi="Times New Roman" w:cs="Times New Roman"/>
          <w:color w:val="000000"/>
          <w:kern w:val="0"/>
          <w14:ligatures w14:val="none"/>
        </w:rPr>
        <w:t>Finlay, L. (2002) ‘Negotiating the swamp: the opportunity and challenge of reflexivity in research practice’, </w:t>
      </w:r>
      <w:r w:rsidRPr="0061003F">
        <w:rPr>
          <w:rFonts w:ascii="Times New Roman" w:hAnsi="Times New Roman" w:cs="Times New Roman"/>
          <w:i/>
          <w:iCs/>
          <w:color w:val="000000"/>
          <w:kern w:val="0"/>
          <w14:ligatures w14:val="none"/>
        </w:rPr>
        <w:t>Qualitative Research</w:t>
      </w:r>
      <w:r w:rsidRPr="0061003F">
        <w:rPr>
          <w:rFonts w:ascii="Times New Roman" w:hAnsi="Times New Roman" w:cs="Times New Roman"/>
          <w:color w:val="000000"/>
          <w:kern w:val="0"/>
          <w14:ligatures w14:val="none"/>
        </w:rPr>
        <w:t>, 2(2), pp. 209–230.</w:t>
      </w:r>
    </w:p>
    <w:p w14:paraId="5BFF005F" w14:textId="77777777" w:rsidR="0061003F" w:rsidRPr="0061003F" w:rsidRDefault="0061003F" w:rsidP="0061003F">
      <w:pPr>
        <w:spacing w:before="100" w:beforeAutospacing="1" w:after="100" w:afterAutospacing="1" w:line="240" w:lineRule="auto"/>
        <w:rPr>
          <w:rFonts w:ascii="Times New Roman" w:hAnsi="Times New Roman" w:cs="Times New Roman"/>
          <w:color w:val="000000"/>
          <w:kern w:val="0"/>
          <w14:ligatures w14:val="none"/>
        </w:rPr>
      </w:pPr>
      <w:proofErr w:type="spellStart"/>
      <w:r w:rsidRPr="0061003F">
        <w:rPr>
          <w:rFonts w:ascii="Times New Roman" w:hAnsi="Times New Roman" w:cs="Times New Roman"/>
          <w:color w:val="000000"/>
          <w:kern w:val="0"/>
          <w14:ligatures w14:val="none"/>
        </w:rPr>
        <w:lastRenderedPageBreak/>
        <w:t>Kellett</w:t>
      </w:r>
      <w:proofErr w:type="spellEnd"/>
      <w:r w:rsidRPr="0061003F">
        <w:rPr>
          <w:rFonts w:ascii="Times New Roman" w:hAnsi="Times New Roman" w:cs="Times New Roman"/>
          <w:color w:val="000000"/>
          <w:kern w:val="0"/>
          <w14:ligatures w14:val="none"/>
        </w:rPr>
        <w:t>, M. (2011) </w:t>
      </w:r>
      <w:r w:rsidRPr="0061003F">
        <w:rPr>
          <w:rFonts w:ascii="Times New Roman" w:hAnsi="Times New Roman" w:cs="Times New Roman"/>
          <w:i/>
          <w:iCs/>
          <w:color w:val="000000"/>
          <w:kern w:val="0"/>
          <w14:ligatures w14:val="none"/>
        </w:rPr>
        <w:t>Empowering Children and Young People as Researchers: Overcoming Barriers and Building Capacity</w:t>
      </w:r>
      <w:r w:rsidRPr="0061003F">
        <w:rPr>
          <w:rFonts w:ascii="Times New Roman" w:hAnsi="Times New Roman" w:cs="Times New Roman"/>
          <w:color w:val="000000"/>
          <w:kern w:val="0"/>
          <w14:ligatures w14:val="none"/>
        </w:rPr>
        <w:t>. London: SAGE.</w:t>
      </w:r>
    </w:p>
    <w:p w14:paraId="60BE293B" w14:textId="77777777" w:rsidR="0061003F" w:rsidRPr="0061003F" w:rsidRDefault="0061003F" w:rsidP="0061003F">
      <w:pPr>
        <w:spacing w:before="100" w:beforeAutospacing="1" w:after="100" w:afterAutospacing="1" w:line="240" w:lineRule="auto"/>
        <w:rPr>
          <w:rFonts w:ascii="Times New Roman" w:hAnsi="Times New Roman" w:cs="Times New Roman"/>
          <w:color w:val="000000"/>
          <w:kern w:val="0"/>
          <w14:ligatures w14:val="none"/>
        </w:rPr>
      </w:pPr>
      <w:r w:rsidRPr="0061003F">
        <w:rPr>
          <w:rFonts w:ascii="Times New Roman" w:hAnsi="Times New Roman" w:cs="Times New Roman"/>
          <w:color w:val="000000"/>
          <w:kern w:val="0"/>
          <w14:ligatures w14:val="none"/>
        </w:rPr>
        <w:t xml:space="preserve">Lincoln, Y.S. and </w:t>
      </w:r>
      <w:proofErr w:type="spellStart"/>
      <w:r w:rsidRPr="0061003F">
        <w:rPr>
          <w:rFonts w:ascii="Times New Roman" w:hAnsi="Times New Roman" w:cs="Times New Roman"/>
          <w:color w:val="000000"/>
          <w:kern w:val="0"/>
          <w14:ligatures w14:val="none"/>
        </w:rPr>
        <w:t>Guba</w:t>
      </w:r>
      <w:proofErr w:type="spellEnd"/>
      <w:r w:rsidRPr="0061003F">
        <w:rPr>
          <w:rFonts w:ascii="Times New Roman" w:hAnsi="Times New Roman" w:cs="Times New Roman"/>
          <w:color w:val="000000"/>
          <w:kern w:val="0"/>
          <w14:ligatures w14:val="none"/>
        </w:rPr>
        <w:t>, E.G. (1985) </w:t>
      </w:r>
      <w:r w:rsidRPr="0061003F">
        <w:rPr>
          <w:rFonts w:ascii="Times New Roman" w:hAnsi="Times New Roman" w:cs="Times New Roman"/>
          <w:i/>
          <w:iCs/>
          <w:color w:val="000000"/>
          <w:kern w:val="0"/>
          <w14:ligatures w14:val="none"/>
        </w:rPr>
        <w:t>Naturalistic Inquiry</w:t>
      </w:r>
      <w:r w:rsidRPr="0061003F">
        <w:rPr>
          <w:rFonts w:ascii="Times New Roman" w:hAnsi="Times New Roman" w:cs="Times New Roman"/>
          <w:color w:val="000000"/>
          <w:kern w:val="0"/>
          <w14:ligatures w14:val="none"/>
        </w:rPr>
        <w:t>. Beverly Hills: SAGE.</w:t>
      </w:r>
    </w:p>
    <w:p w14:paraId="7A40ABC6" w14:textId="77777777" w:rsidR="0061003F" w:rsidRPr="0061003F" w:rsidRDefault="0061003F" w:rsidP="0061003F">
      <w:pPr>
        <w:spacing w:before="100" w:beforeAutospacing="1" w:after="100" w:afterAutospacing="1" w:line="240" w:lineRule="auto"/>
        <w:rPr>
          <w:rFonts w:ascii="Times New Roman" w:hAnsi="Times New Roman" w:cs="Times New Roman"/>
          <w:color w:val="000000"/>
          <w:kern w:val="0"/>
          <w14:ligatures w14:val="none"/>
        </w:rPr>
      </w:pPr>
      <w:r w:rsidRPr="0061003F">
        <w:rPr>
          <w:rFonts w:ascii="Times New Roman" w:hAnsi="Times New Roman" w:cs="Times New Roman"/>
          <w:color w:val="000000"/>
          <w:kern w:val="0"/>
          <w14:ligatures w14:val="none"/>
        </w:rPr>
        <w:t>Patton, M.Q. (2015) </w:t>
      </w:r>
      <w:r w:rsidRPr="0061003F">
        <w:rPr>
          <w:rFonts w:ascii="Times New Roman" w:hAnsi="Times New Roman" w:cs="Times New Roman"/>
          <w:i/>
          <w:iCs/>
          <w:color w:val="000000"/>
          <w:kern w:val="0"/>
          <w14:ligatures w14:val="none"/>
        </w:rPr>
        <w:t>Qualitative Research and Evaluation Methods</w:t>
      </w:r>
      <w:r w:rsidRPr="0061003F">
        <w:rPr>
          <w:rFonts w:ascii="Times New Roman" w:hAnsi="Times New Roman" w:cs="Times New Roman"/>
          <w:color w:val="000000"/>
          <w:kern w:val="0"/>
          <w14:ligatures w14:val="none"/>
        </w:rPr>
        <w:t xml:space="preserve">. 4th </w:t>
      </w:r>
      <w:proofErr w:type="spellStart"/>
      <w:r w:rsidRPr="0061003F">
        <w:rPr>
          <w:rFonts w:ascii="Times New Roman" w:hAnsi="Times New Roman" w:cs="Times New Roman"/>
          <w:color w:val="000000"/>
          <w:kern w:val="0"/>
          <w14:ligatures w14:val="none"/>
        </w:rPr>
        <w:t>edn</w:t>
      </w:r>
      <w:proofErr w:type="spellEnd"/>
      <w:r w:rsidRPr="0061003F">
        <w:rPr>
          <w:rFonts w:ascii="Times New Roman" w:hAnsi="Times New Roman" w:cs="Times New Roman"/>
          <w:color w:val="000000"/>
          <w:kern w:val="0"/>
          <w14:ligatures w14:val="none"/>
        </w:rPr>
        <w:t>. London: SAGE.</w:t>
      </w:r>
    </w:p>
    <w:p w14:paraId="73E3DDD7" w14:textId="77777777" w:rsidR="00522A03" w:rsidRPr="00522A03" w:rsidRDefault="00522A03" w:rsidP="00522A03"/>
    <w:p w14:paraId="22919B7C" w14:textId="77777777" w:rsidR="00420182" w:rsidRPr="00420182" w:rsidRDefault="00420182" w:rsidP="00420182"/>
    <w:sectPr w:rsidR="00420182" w:rsidRPr="00420182">
      <w:headerReference w:type="even" r:id="rId6"/>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B91B34" w14:textId="77777777" w:rsidR="00A11A62" w:rsidRDefault="00A11A62" w:rsidP="00F55046">
      <w:pPr>
        <w:spacing w:after="0" w:line="240" w:lineRule="auto"/>
      </w:pPr>
      <w:r>
        <w:separator/>
      </w:r>
    </w:p>
  </w:endnote>
  <w:endnote w:type="continuationSeparator" w:id="0">
    <w:p w14:paraId="2DC9AD26" w14:textId="77777777" w:rsidR="00A11A62" w:rsidRDefault="00A11A62" w:rsidP="00F550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7635468"/>
      <w:docPartObj>
        <w:docPartGallery w:val="Page Numbers (Bottom of Page)"/>
        <w:docPartUnique/>
      </w:docPartObj>
    </w:sdtPr>
    <w:sdtEndPr>
      <w:rPr>
        <w:rStyle w:val="PageNumber"/>
      </w:rPr>
    </w:sdtEndPr>
    <w:sdtContent>
      <w:p w14:paraId="1E1A76C2" w14:textId="6793F5DC" w:rsidR="009540EE" w:rsidRDefault="009540EE" w:rsidP="00D724D8">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021781816"/>
      <w:docPartObj>
        <w:docPartGallery w:val="Page Numbers (Bottom of Page)"/>
        <w:docPartUnique/>
      </w:docPartObj>
    </w:sdtPr>
    <w:sdtEndPr>
      <w:rPr>
        <w:rStyle w:val="PageNumber"/>
      </w:rPr>
    </w:sdtEndPr>
    <w:sdtContent>
      <w:p w14:paraId="22EF2FDE" w14:textId="674F2007" w:rsidR="009540EE" w:rsidRDefault="009540EE" w:rsidP="009540EE">
        <w:pPr>
          <w:pStyle w:val="Footer"/>
          <w:framePr w:wrap="none" w:vAnchor="text" w:hAnchor="margin" w:xAlign="center" w:y="1"/>
          <w:ind w:right="360"/>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3DC09E" w14:textId="77777777" w:rsidR="009540EE" w:rsidRDefault="009540E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99707416"/>
      <w:docPartObj>
        <w:docPartGallery w:val="Page Numbers (Bottom of Page)"/>
        <w:docPartUnique/>
      </w:docPartObj>
    </w:sdtPr>
    <w:sdtEndPr>
      <w:rPr>
        <w:rStyle w:val="PageNumber"/>
      </w:rPr>
    </w:sdtEndPr>
    <w:sdtContent>
      <w:p w14:paraId="4C822FD4" w14:textId="215D6871" w:rsidR="009540EE" w:rsidRDefault="009540EE" w:rsidP="00D724D8">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60FE19" w14:textId="766D4AC4" w:rsidR="00F55046" w:rsidRDefault="00DD0CFF" w:rsidP="009540EE">
    <w:pPr>
      <w:pStyle w:val="Footer"/>
      <w:ind w:right="360"/>
    </w:pPr>
    <w:r>
      <w:t>2404639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25086F" w14:textId="77777777" w:rsidR="00A11A62" w:rsidRDefault="00A11A62" w:rsidP="00F55046">
      <w:pPr>
        <w:spacing w:after="0" w:line="240" w:lineRule="auto"/>
      </w:pPr>
      <w:r>
        <w:separator/>
      </w:r>
    </w:p>
  </w:footnote>
  <w:footnote w:type="continuationSeparator" w:id="0">
    <w:p w14:paraId="358AF5A5" w14:textId="77777777" w:rsidR="00A11A62" w:rsidRDefault="00A11A62" w:rsidP="00F550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62376681"/>
      <w:docPartObj>
        <w:docPartGallery w:val="Page Numbers (Top of Page)"/>
        <w:docPartUnique/>
      </w:docPartObj>
    </w:sdtPr>
    <w:sdtEndPr>
      <w:rPr>
        <w:rStyle w:val="PageNumber"/>
      </w:rPr>
    </w:sdtEndPr>
    <w:sdtContent>
      <w:p w14:paraId="16E4E347" w14:textId="3C80F676" w:rsidR="009540EE" w:rsidRDefault="009540EE" w:rsidP="00D724D8">
        <w:pPr>
          <w:pStyle w:val="Head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B80640" w14:textId="77777777" w:rsidR="009540EE" w:rsidRDefault="009540E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79DF73" w14:textId="0005C73D" w:rsidR="00F55046" w:rsidRDefault="00DD0CFF">
    <w:pPr>
      <w:pStyle w:val="Header"/>
    </w:pPr>
    <w:r>
      <w:rPr>
        <w:rFonts w:ascii="-webkit-standard" w:eastAsia="Times New Roman" w:hAnsi="-webkit-standard"/>
        <w:color w:val="000000"/>
        <w:sz w:val="27"/>
        <w:szCs w:val="27"/>
      </w:rPr>
      <w:t>ECYW5007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59D6"/>
    <w:rsid w:val="00022473"/>
    <w:rsid w:val="001129BC"/>
    <w:rsid w:val="0021681C"/>
    <w:rsid w:val="002659D6"/>
    <w:rsid w:val="002E3F87"/>
    <w:rsid w:val="00380574"/>
    <w:rsid w:val="00380BE5"/>
    <w:rsid w:val="00420182"/>
    <w:rsid w:val="00465419"/>
    <w:rsid w:val="00484BC4"/>
    <w:rsid w:val="0048592A"/>
    <w:rsid w:val="004A2CF7"/>
    <w:rsid w:val="00522A03"/>
    <w:rsid w:val="00533C65"/>
    <w:rsid w:val="005603E9"/>
    <w:rsid w:val="005C2B37"/>
    <w:rsid w:val="005E1967"/>
    <w:rsid w:val="0061003F"/>
    <w:rsid w:val="006A0D47"/>
    <w:rsid w:val="006C60D3"/>
    <w:rsid w:val="006E7FF1"/>
    <w:rsid w:val="006F2027"/>
    <w:rsid w:val="00702C03"/>
    <w:rsid w:val="00734196"/>
    <w:rsid w:val="007367D0"/>
    <w:rsid w:val="00744C3F"/>
    <w:rsid w:val="0075442B"/>
    <w:rsid w:val="0076451C"/>
    <w:rsid w:val="00786D06"/>
    <w:rsid w:val="008B3C0C"/>
    <w:rsid w:val="00911060"/>
    <w:rsid w:val="009540EE"/>
    <w:rsid w:val="009A1F9E"/>
    <w:rsid w:val="009C5DB2"/>
    <w:rsid w:val="00A11A62"/>
    <w:rsid w:val="00A85098"/>
    <w:rsid w:val="00A91F51"/>
    <w:rsid w:val="00AF513E"/>
    <w:rsid w:val="00B139CE"/>
    <w:rsid w:val="00B2349D"/>
    <w:rsid w:val="00C17D55"/>
    <w:rsid w:val="00C53632"/>
    <w:rsid w:val="00C67C0B"/>
    <w:rsid w:val="00C85224"/>
    <w:rsid w:val="00CF18B0"/>
    <w:rsid w:val="00D14690"/>
    <w:rsid w:val="00D17712"/>
    <w:rsid w:val="00DB6388"/>
    <w:rsid w:val="00DC306E"/>
    <w:rsid w:val="00DD0CFF"/>
    <w:rsid w:val="00DF6444"/>
    <w:rsid w:val="00EB7D99"/>
    <w:rsid w:val="00ED1990"/>
    <w:rsid w:val="00EE7016"/>
    <w:rsid w:val="00F32511"/>
    <w:rsid w:val="00F55046"/>
    <w:rsid w:val="00F65D58"/>
    <w:rsid w:val="00FB1E32"/>
    <w:rsid w:val="00FD0046"/>
    <w:rsid w:val="00FD1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4FFFA5"/>
  <w15:chartTrackingRefBased/>
  <w15:docId w15:val="{FC09D154-08CD-B74A-AF46-31007A4C9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59D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659D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659D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59D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659D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659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59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59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59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9D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659D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659D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59D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659D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659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59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59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59D6"/>
    <w:rPr>
      <w:rFonts w:eastAsiaTheme="majorEastAsia" w:cstheme="majorBidi"/>
      <w:color w:val="272727" w:themeColor="text1" w:themeTint="D8"/>
    </w:rPr>
  </w:style>
  <w:style w:type="paragraph" w:styleId="Title">
    <w:name w:val="Title"/>
    <w:basedOn w:val="Normal"/>
    <w:next w:val="Normal"/>
    <w:link w:val="TitleChar"/>
    <w:uiPriority w:val="10"/>
    <w:qFormat/>
    <w:rsid w:val="002659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59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59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59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59D6"/>
    <w:pPr>
      <w:spacing w:before="160"/>
      <w:jc w:val="center"/>
    </w:pPr>
    <w:rPr>
      <w:i/>
      <w:iCs/>
      <w:color w:val="404040" w:themeColor="text1" w:themeTint="BF"/>
    </w:rPr>
  </w:style>
  <w:style w:type="character" w:customStyle="1" w:styleId="QuoteChar">
    <w:name w:val="Quote Char"/>
    <w:basedOn w:val="DefaultParagraphFont"/>
    <w:link w:val="Quote"/>
    <w:uiPriority w:val="29"/>
    <w:rsid w:val="002659D6"/>
    <w:rPr>
      <w:i/>
      <w:iCs/>
      <w:color w:val="404040" w:themeColor="text1" w:themeTint="BF"/>
    </w:rPr>
  </w:style>
  <w:style w:type="paragraph" w:styleId="ListParagraph">
    <w:name w:val="List Paragraph"/>
    <w:basedOn w:val="Normal"/>
    <w:uiPriority w:val="34"/>
    <w:qFormat/>
    <w:rsid w:val="002659D6"/>
    <w:pPr>
      <w:ind w:left="720"/>
      <w:contextualSpacing/>
    </w:pPr>
  </w:style>
  <w:style w:type="character" w:styleId="IntenseEmphasis">
    <w:name w:val="Intense Emphasis"/>
    <w:basedOn w:val="DefaultParagraphFont"/>
    <w:uiPriority w:val="21"/>
    <w:qFormat/>
    <w:rsid w:val="002659D6"/>
    <w:rPr>
      <w:i/>
      <w:iCs/>
      <w:color w:val="2F5496" w:themeColor="accent1" w:themeShade="BF"/>
    </w:rPr>
  </w:style>
  <w:style w:type="paragraph" w:styleId="IntenseQuote">
    <w:name w:val="Intense Quote"/>
    <w:basedOn w:val="Normal"/>
    <w:next w:val="Normal"/>
    <w:link w:val="IntenseQuoteChar"/>
    <w:uiPriority w:val="30"/>
    <w:qFormat/>
    <w:rsid w:val="002659D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659D6"/>
    <w:rPr>
      <w:i/>
      <w:iCs/>
      <w:color w:val="2F5496" w:themeColor="accent1" w:themeShade="BF"/>
    </w:rPr>
  </w:style>
  <w:style w:type="character" w:styleId="IntenseReference">
    <w:name w:val="Intense Reference"/>
    <w:basedOn w:val="DefaultParagraphFont"/>
    <w:uiPriority w:val="32"/>
    <w:qFormat/>
    <w:rsid w:val="002659D6"/>
    <w:rPr>
      <w:b/>
      <w:bCs/>
      <w:smallCaps/>
      <w:color w:val="2F5496" w:themeColor="accent1" w:themeShade="BF"/>
      <w:spacing w:val="5"/>
    </w:rPr>
  </w:style>
  <w:style w:type="paragraph" w:styleId="NormalWeb">
    <w:name w:val="Normal (Web)"/>
    <w:basedOn w:val="Normal"/>
    <w:uiPriority w:val="99"/>
    <w:unhideWhenUsed/>
    <w:rsid w:val="00734196"/>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734196"/>
  </w:style>
  <w:style w:type="character" w:styleId="Emphasis">
    <w:name w:val="Emphasis"/>
    <w:basedOn w:val="DefaultParagraphFont"/>
    <w:uiPriority w:val="20"/>
    <w:qFormat/>
    <w:rsid w:val="00734196"/>
    <w:rPr>
      <w:i/>
      <w:iCs/>
    </w:rPr>
  </w:style>
  <w:style w:type="character" w:customStyle="1" w:styleId="whitespace-normal">
    <w:name w:val="whitespace-normal"/>
    <w:basedOn w:val="DefaultParagraphFont"/>
    <w:rsid w:val="00FD0046"/>
  </w:style>
  <w:style w:type="paragraph" w:styleId="Header">
    <w:name w:val="header"/>
    <w:basedOn w:val="Normal"/>
    <w:link w:val="HeaderChar"/>
    <w:uiPriority w:val="99"/>
    <w:unhideWhenUsed/>
    <w:rsid w:val="00F550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5046"/>
  </w:style>
  <w:style w:type="paragraph" w:styleId="Footer">
    <w:name w:val="footer"/>
    <w:basedOn w:val="Normal"/>
    <w:link w:val="FooterChar"/>
    <w:uiPriority w:val="99"/>
    <w:unhideWhenUsed/>
    <w:rsid w:val="00F550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5046"/>
  </w:style>
  <w:style w:type="character" w:styleId="PageNumber">
    <w:name w:val="page number"/>
    <w:basedOn w:val="DefaultParagraphFont"/>
    <w:uiPriority w:val="99"/>
    <w:semiHidden/>
    <w:unhideWhenUsed/>
    <w:rsid w:val="009540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10</Pages>
  <Words>4150</Words>
  <Characters>23658</Characters>
  <Application>Microsoft Office Word</Application>
  <DocSecurity>0</DocSecurity>
  <Lines>197</Lines>
  <Paragraphs>55</Paragraphs>
  <ScaleCrop>false</ScaleCrop>
  <Company/>
  <LinksUpToDate>false</LinksUpToDate>
  <CharactersWithSpaces>27753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Deenah Zaakirah (2404639)</cp:lastModifiedBy>
  <cp:revision>32</cp:revision>
  <dcterms:created xsi:type="dcterms:W3CDTF">2026-05-05T22:48:00Z</dcterms:created>
  <dcterms:modified xsi:type="dcterms:W3CDTF">2026-05-05T23:17:00Z</dcterms:modified>
</cp:coreProperties>
</file>