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70DE1" w14:textId="77777777" w:rsidR="008B15B4" w:rsidRPr="008B15B4" w:rsidRDefault="008B15B4" w:rsidP="008B15B4">
      <w:pPr>
        <w:keepNext/>
        <w:keepLines/>
        <w:spacing w:before="240" w:after="0"/>
        <w:jc w:val="center"/>
        <w:outlineLvl w:val="0"/>
        <w:rPr>
          <w:rFonts w:ascii="Arial" w:eastAsia="Times New Roman" w:hAnsi="Arial" w:cs="Arial"/>
          <w:b/>
          <w:kern w:val="0"/>
          <w:sz w:val="36"/>
          <w:szCs w:val="32"/>
          <w:shd w:val="clear" w:color="auto" w:fill="FFFFFF"/>
          <w14:ligatures w14:val="none"/>
        </w:rPr>
      </w:pPr>
      <w:r w:rsidRPr="008B15B4">
        <w:rPr>
          <w:rFonts w:ascii="Calibri Light" w:eastAsia="Times New Roman" w:hAnsi="Calibri Light" w:cs="Times New Roman"/>
          <w:noProof/>
          <w:color w:val="2F5496"/>
          <w:kern w:val="0"/>
          <w:sz w:val="32"/>
          <w:szCs w:val="32"/>
          <w14:ligatures w14:val="none"/>
        </w:rPr>
        <w:drawing>
          <wp:inline distT="0" distB="0" distL="0" distR="0" wp14:anchorId="7AFEA024" wp14:editId="15526ECE">
            <wp:extent cx="181610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8" cstate="print"/>
                    <a:stretch>
                      <a:fillRect/>
                    </a:stretch>
                  </pic:blipFill>
                  <pic:spPr>
                    <a:xfrm>
                      <a:off x="0" y="0"/>
                      <a:ext cx="1816100" cy="600075"/>
                    </a:xfrm>
                    <a:prstGeom prst="rect">
                      <a:avLst/>
                    </a:prstGeom>
                  </pic:spPr>
                </pic:pic>
              </a:graphicData>
            </a:graphic>
          </wp:inline>
        </w:drawing>
      </w:r>
    </w:p>
    <w:p w14:paraId="1F6C6E52" w14:textId="77777777" w:rsidR="008B15B4" w:rsidRPr="008B15B4" w:rsidRDefault="008B15B4" w:rsidP="008B15B4">
      <w:pPr>
        <w:rPr>
          <w:rFonts w:ascii="Calibri" w:eastAsia="Calibri" w:hAnsi="Calibri" w:cs="Times New Roman"/>
          <w:b/>
          <w:kern w:val="0"/>
          <w:sz w:val="21"/>
          <w:lang w:val="en-GB"/>
          <w14:ligatures w14:val="none"/>
        </w:rPr>
      </w:pPr>
    </w:p>
    <w:p w14:paraId="1DD103C0" w14:textId="63635947" w:rsidR="008B15B4" w:rsidRPr="008B15B4" w:rsidRDefault="008B15B4" w:rsidP="008B15B4">
      <w:pPr>
        <w:jc w:val="center"/>
        <w:rPr>
          <w:rFonts w:ascii="Calibri" w:eastAsia="Calibri" w:hAnsi="Calibri" w:cs="Times New Roman"/>
          <w:b/>
          <w:spacing w:val="-2"/>
          <w:kern w:val="0"/>
          <w:sz w:val="28"/>
          <w:szCs w:val="32"/>
          <w:lang w:val="en-GB"/>
          <w14:ligatures w14:val="none"/>
        </w:rPr>
      </w:pPr>
    </w:p>
    <w:p w14:paraId="7689ACEC" w14:textId="77777777" w:rsidR="008B15B4" w:rsidRPr="008B15B4" w:rsidRDefault="008B15B4" w:rsidP="008B15B4">
      <w:pPr>
        <w:jc w:val="center"/>
        <w:rPr>
          <w:rFonts w:ascii="Calibri" w:eastAsia="Calibri" w:hAnsi="Calibri" w:cs="Times New Roman"/>
          <w:b/>
          <w:spacing w:val="-2"/>
          <w:kern w:val="0"/>
          <w:sz w:val="28"/>
          <w:szCs w:val="32"/>
          <w:lang w:val="en-GB"/>
          <w14:ligatures w14:val="none"/>
        </w:rPr>
      </w:pPr>
    </w:p>
    <w:p w14:paraId="1ABBC137" w14:textId="201657AD" w:rsidR="008B15B4" w:rsidRPr="008B15B4" w:rsidRDefault="008B15B4" w:rsidP="008B15B4">
      <w:pPr>
        <w:jc w:val="center"/>
        <w:rPr>
          <w:rFonts w:ascii="Calibri" w:eastAsia="Calibri" w:hAnsi="Calibri" w:cs="Times New Roman"/>
          <w:b/>
          <w:spacing w:val="-2"/>
          <w:kern w:val="0"/>
          <w:szCs w:val="24"/>
          <w:lang w:val="en-GB"/>
          <w14:ligatures w14:val="none"/>
        </w:rPr>
      </w:pPr>
    </w:p>
    <w:p w14:paraId="2FF0089D" w14:textId="77777777" w:rsidR="008B15B4" w:rsidRPr="008B15B4" w:rsidRDefault="008B15B4" w:rsidP="008B15B4">
      <w:pPr>
        <w:jc w:val="center"/>
        <w:rPr>
          <w:rFonts w:ascii="Calibri" w:eastAsia="Calibri" w:hAnsi="Calibri" w:cs="Times New Roman"/>
          <w:kern w:val="0"/>
          <w:sz w:val="36"/>
          <w:szCs w:val="36"/>
          <w14:ligatures w14:val="none"/>
        </w:rPr>
      </w:pPr>
    </w:p>
    <w:p w14:paraId="26873A44" w14:textId="1D50814B" w:rsidR="008B15B4" w:rsidRPr="008B15B4" w:rsidRDefault="008B15B4" w:rsidP="00870F06">
      <w:pPr>
        <w:keepNext/>
        <w:keepLines/>
        <w:spacing w:before="240" w:after="0"/>
        <w:outlineLvl w:val="0"/>
        <w:rPr>
          <w:rFonts w:ascii="Arial" w:eastAsia="Times New Roman" w:hAnsi="Arial" w:cs="Arial"/>
          <w:b/>
          <w:kern w:val="0"/>
          <w:sz w:val="32"/>
          <w:szCs w:val="32"/>
          <w:shd w:val="clear" w:color="auto" w:fill="FFFFFF"/>
          <w14:ligatures w14:val="none"/>
        </w:rPr>
      </w:pPr>
    </w:p>
    <w:p w14:paraId="2CD30444" w14:textId="77777777" w:rsidR="008B15B4" w:rsidRPr="008B15B4" w:rsidRDefault="008B15B4" w:rsidP="008B15B4">
      <w:pPr>
        <w:rPr>
          <w:rFonts w:ascii="Calibri" w:eastAsia="Calibri" w:hAnsi="Calibri" w:cs="Times New Roman"/>
          <w:kern w:val="0"/>
          <w14:ligatures w14:val="none"/>
        </w:rPr>
      </w:pPr>
    </w:p>
    <w:p w14:paraId="36577C12" w14:textId="0E057735" w:rsidR="008B15B4" w:rsidRPr="00870F06" w:rsidRDefault="00870F06" w:rsidP="008B15B4">
      <w:pPr>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B2026">
        <w:rPr>
          <w:rFonts w:ascii="Arial" w:eastAsia="Calibri" w:hAnsi="Arial" w:cs="Arial"/>
          <w:b/>
          <w:bCs/>
          <w:color w:val="000000" w:themeColor="text1"/>
          <w:kern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Module name:</w:t>
      </w:r>
      <w:r w:rsidRPr="000B2026">
        <w:rPr>
          <w:rFonts w:ascii="Arial" w:eastAsia="Calibri" w:hAnsi="Arial" w:cs="Arial"/>
          <w:color w:val="000000" w:themeColor="text1"/>
          <w:kern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870F06">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Knowledge and information management skills for the workplace</w:t>
      </w:r>
    </w:p>
    <w:p w14:paraId="22D0A8B1" w14:textId="2F995500" w:rsidR="00870F06" w:rsidRPr="00870F06" w:rsidRDefault="00870F06" w:rsidP="008B15B4">
      <w:pPr>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B2026">
        <w:rPr>
          <w:rFonts w:ascii="Arial" w:eastAsia="Calibri" w:hAnsi="Arial" w:cs="Arial"/>
          <w:b/>
          <w:bCs/>
          <w:color w:val="000000" w:themeColor="text1"/>
          <w:kern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Module code:</w:t>
      </w:r>
      <w:r w:rsidRPr="000B2026">
        <w:rPr>
          <w:rFonts w:ascii="Arial" w:eastAsia="Calibri" w:hAnsi="Arial" w:cs="Arial"/>
          <w:color w:val="000000" w:themeColor="text1"/>
          <w:kern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870F06">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BMSW5106</w:t>
      </w:r>
    </w:p>
    <w:p w14:paraId="514D28A7" w14:textId="1B0716F6" w:rsidR="00870F06" w:rsidRPr="00870F06" w:rsidRDefault="00870F06" w:rsidP="008B15B4">
      <w:pPr>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B2026">
        <w:rPr>
          <w:rFonts w:ascii="Arial" w:eastAsia="Calibri" w:hAnsi="Arial" w:cs="Arial"/>
          <w:b/>
          <w:bCs/>
          <w:color w:val="000000" w:themeColor="text1"/>
          <w:kern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Student name:</w:t>
      </w:r>
      <w:r w:rsidRPr="000B2026">
        <w:rPr>
          <w:rFonts w:ascii="Arial" w:eastAsia="Calibri" w:hAnsi="Arial" w:cs="Arial"/>
          <w:color w:val="000000" w:themeColor="text1"/>
          <w:kern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870F06">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Nedyalko Radev</w:t>
      </w:r>
    </w:p>
    <w:p w14:paraId="382885F0" w14:textId="53D9B32B" w:rsidR="00870F06" w:rsidRPr="00870F06" w:rsidRDefault="00870F06" w:rsidP="008B15B4">
      <w:pPr>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B2026">
        <w:rPr>
          <w:rFonts w:ascii="Arial" w:eastAsia="Calibri" w:hAnsi="Arial" w:cs="Arial"/>
          <w:b/>
          <w:bCs/>
          <w:color w:val="000000" w:themeColor="text1"/>
          <w:kern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Student ID:</w:t>
      </w:r>
      <w:r w:rsidRPr="000B2026">
        <w:rPr>
          <w:rFonts w:ascii="Arial" w:eastAsia="Calibri" w:hAnsi="Arial" w:cs="Arial"/>
          <w:color w:val="000000" w:themeColor="text1"/>
          <w:kern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870F06">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2128093</w:t>
      </w:r>
    </w:p>
    <w:p w14:paraId="6CE6AD0D" w14:textId="566517C2" w:rsidR="00870F06" w:rsidRPr="008B15B4" w:rsidRDefault="00870F06" w:rsidP="008B15B4">
      <w:pPr>
        <w:rPr>
          <w:rFonts w:ascii="Arial" w:eastAsia="Calibri" w:hAnsi="Arial" w:cs="Arial"/>
          <w:bCs/>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B2026">
        <w:rPr>
          <w:rFonts w:ascii="Arial" w:eastAsia="Calibri" w:hAnsi="Arial" w:cs="Arial"/>
          <w:b/>
          <w:bCs/>
          <w:color w:val="000000" w:themeColor="text1"/>
          <w:kern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Lecturer’s name:</w:t>
      </w:r>
      <w:r w:rsidRPr="000B2026">
        <w:rPr>
          <w:rFonts w:ascii="Arial" w:eastAsia="Calibri" w:hAnsi="Arial" w:cs="Arial"/>
          <w:color w:val="000000" w:themeColor="text1"/>
          <w:kern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870F06">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D</w:t>
      </w:r>
      <w:r>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r</w:t>
      </w:r>
      <w:r w:rsidRPr="00870F06">
        <w:rPr>
          <w:rFonts w:ascii="Arial" w:eastAsia="Calibri" w:hAnsi="Arial" w:cs="Arial"/>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Essa Bah</w:t>
      </w:r>
    </w:p>
    <w:p w14:paraId="553F906F" w14:textId="77777777" w:rsidR="008B15B4" w:rsidRPr="008B15B4" w:rsidRDefault="008B15B4" w:rsidP="008B15B4">
      <w:pPr>
        <w:rPr>
          <w:rFonts w:ascii="Calibri" w:eastAsia="Calibri" w:hAnsi="Calibri" w:cs="Times New Roman"/>
          <w:kern w:val="0"/>
          <w14:ligatures w14:val="none"/>
        </w:rPr>
      </w:pPr>
    </w:p>
    <w:p w14:paraId="0294E09F" w14:textId="65792183" w:rsidR="008B15B4" w:rsidRPr="008B15B4" w:rsidRDefault="008B15B4" w:rsidP="008B15B4">
      <w:pPr>
        <w:jc w:val="center"/>
        <w:rPr>
          <w:rFonts w:ascii="Calibri" w:eastAsia="Calibri" w:hAnsi="Calibri" w:cs="Times New Roman"/>
          <w:b/>
          <w:bCs/>
          <w:color w:val="000000" w:themeColor="text1"/>
          <w:kern w:val="0"/>
          <w:sz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2479F5A0" w14:textId="77777777" w:rsidR="008B15B4" w:rsidRPr="008B15B4" w:rsidRDefault="008B15B4" w:rsidP="008B15B4">
      <w:pPr>
        <w:jc w:val="center"/>
        <w:rPr>
          <w:rFonts w:ascii="Calibri" w:eastAsia="Calibri" w:hAnsi="Calibri" w:cs="Times New Roman"/>
          <w:color w:val="4472C4"/>
          <w:kern w:val="0"/>
          <w:sz w:val="32"/>
          <w14:ligatures w14:val="none"/>
        </w:rPr>
      </w:pPr>
    </w:p>
    <w:p w14:paraId="75D0C800" w14:textId="77777777" w:rsidR="008B15B4" w:rsidRPr="008B15B4" w:rsidRDefault="008B15B4" w:rsidP="008B15B4">
      <w:pPr>
        <w:jc w:val="center"/>
        <w:rPr>
          <w:rFonts w:ascii="Calibri" w:eastAsia="Calibri" w:hAnsi="Calibri" w:cs="Times New Roman"/>
          <w:color w:val="4472C4"/>
          <w:kern w:val="0"/>
          <w:sz w:val="32"/>
          <w14:ligatures w14:val="none"/>
        </w:rPr>
      </w:pPr>
    </w:p>
    <w:p w14:paraId="6595A6C7" w14:textId="77777777" w:rsidR="008B15B4" w:rsidRPr="008B15B4" w:rsidRDefault="008B15B4" w:rsidP="008B15B4">
      <w:pPr>
        <w:jc w:val="center"/>
        <w:rPr>
          <w:rFonts w:ascii="Calibri" w:eastAsia="Calibri" w:hAnsi="Calibri" w:cs="Times New Roman"/>
          <w:color w:val="4472C4"/>
          <w:kern w:val="0"/>
          <w:sz w:val="32"/>
          <w14:ligatures w14:val="none"/>
        </w:rPr>
      </w:pPr>
    </w:p>
    <w:p w14:paraId="392C0705" w14:textId="77777777" w:rsidR="008B15B4" w:rsidRPr="008B15B4" w:rsidRDefault="008B15B4" w:rsidP="008B15B4">
      <w:pPr>
        <w:jc w:val="center"/>
        <w:rPr>
          <w:rFonts w:ascii="Calibri" w:eastAsia="Calibri" w:hAnsi="Calibri" w:cs="Times New Roman"/>
          <w:color w:val="4472C4"/>
          <w:kern w:val="0"/>
          <w:sz w:val="32"/>
          <w14:ligatures w14:val="none"/>
        </w:rPr>
      </w:pPr>
    </w:p>
    <w:p w14:paraId="691625C7" w14:textId="09B1E42F" w:rsidR="008B15B4" w:rsidRPr="008B15B4" w:rsidRDefault="008B15B4" w:rsidP="008B15B4">
      <w:pPr>
        <w:jc w:val="center"/>
        <w:rPr>
          <w:rFonts w:ascii="Calibri" w:eastAsia="Calibri" w:hAnsi="Calibri" w:cs="Times New Roman"/>
          <w:b/>
          <w:color w:val="000000"/>
          <w:kern w:val="0"/>
          <w:sz w:val="36"/>
          <w14:ligatures w14:val="none"/>
        </w:rPr>
      </w:pPr>
    </w:p>
    <w:p w14:paraId="11B430C4" w14:textId="77777777" w:rsidR="008B15B4" w:rsidRPr="008B15B4" w:rsidRDefault="008B15B4" w:rsidP="008B15B4">
      <w:pPr>
        <w:keepNext/>
        <w:keepLines/>
        <w:spacing w:before="240" w:after="0"/>
        <w:outlineLvl w:val="0"/>
        <w:rPr>
          <w:rFonts w:ascii="Arial" w:eastAsia="Times New Roman" w:hAnsi="Arial" w:cs="Arial"/>
          <w:b/>
          <w:kern w:val="0"/>
          <w:sz w:val="32"/>
          <w:szCs w:val="32"/>
          <w14:ligatures w14:val="none"/>
        </w:rPr>
      </w:pPr>
    </w:p>
    <w:p w14:paraId="48BF9124" w14:textId="77777777" w:rsidR="008B15B4" w:rsidRPr="008B15B4" w:rsidRDefault="008B15B4" w:rsidP="008B15B4">
      <w:pPr>
        <w:keepNext/>
        <w:keepLines/>
        <w:spacing w:before="240" w:after="0"/>
        <w:outlineLvl w:val="0"/>
        <w:rPr>
          <w:rFonts w:ascii="Arial" w:eastAsia="Times New Roman" w:hAnsi="Arial" w:cs="Arial"/>
          <w:b/>
          <w:kern w:val="0"/>
          <w:sz w:val="32"/>
          <w:szCs w:val="32"/>
          <w14:ligatures w14:val="none"/>
        </w:rPr>
      </w:pPr>
    </w:p>
    <w:p w14:paraId="782FE5EB" w14:textId="77777777" w:rsidR="008B15B4" w:rsidRPr="008B15B4" w:rsidRDefault="008B15B4" w:rsidP="008B15B4">
      <w:pPr>
        <w:keepNext/>
        <w:keepLines/>
        <w:spacing w:before="240" w:after="0"/>
        <w:outlineLvl w:val="0"/>
        <w:rPr>
          <w:rFonts w:ascii="Arial" w:eastAsia="Times New Roman" w:hAnsi="Arial" w:cs="Arial"/>
          <w:b/>
          <w:kern w:val="0"/>
          <w:sz w:val="32"/>
          <w:szCs w:val="32"/>
          <w14:ligatures w14:val="none"/>
        </w:rPr>
      </w:pPr>
    </w:p>
    <w:p w14:paraId="60947263" w14:textId="77777777" w:rsidR="008B15B4" w:rsidRPr="008B15B4" w:rsidRDefault="008B15B4" w:rsidP="008B15B4">
      <w:pPr>
        <w:rPr>
          <w:rFonts w:ascii="Calibri" w:eastAsia="Calibri" w:hAnsi="Calibri" w:cs="Times New Roman"/>
          <w:kern w:val="0"/>
          <w14:ligatures w14:val="none"/>
        </w:rPr>
      </w:pPr>
    </w:p>
    <w:p w14:paraId="39F53048" w14:textId="77777777" w:rsidR="008B15B4" w:rsidRPr="008B15B4" w:rsidRDefault="008B15B4" w:rsidP="008B15B4">
      <w:pPr>
        <w:rPr>
          <w:rFonts w:ascii="Calibri" w:eastAsia="Calibri" w:hAnsi="Calibri" w:cs="Times New Roman"/>
          <w:kern w:val="0"/>
          <w14:ligatures w14:val="none"/>
        </w:rPr>
      </w:pPr>
    </w:p>
    <w:p w14:paraId="0E4A1EB7" w14:textId="77777777" w:rsidR="008B15B4" w:rsidRPr="008B15B4" w:rsidRDefault="008B15B4" w:rsidP="008B15B4">
      <w:pPr>
        <w:rPr>
          <w:rFonts w:ascii="Calibri" w:eastAsia="Calibri" w:hAnsi="Calibri" w:cs="Times New Roman"/>
          <w:kern w:val="0"/>
          <w14:ligatures w14:val="none"/>
        </w:rPr>
      </w:pPr>
    </w:p>
    <w:p w14:paraId="4C88FCD1" w14:textId="77777777" w:rsidR="008B15B4" w:rsidRPr="008B15B4" w:rsidRDefault="008B15B4" w:rsidP="008B15B4">
      <w:pPr>
        <w:rPr>
          <w:rFonts w:ascii="Calibri" w:eastAsia="Calibri" w:hAnsi="Calibri" w:cs="Times New Roman"/>
          <w:kern w:val="0"/>
          <w14:ligatures w14:val="none"/>
        </w:rPr>
      </w:pPr>
    </w:p>
    <w:sdt>
      <w:sdtPr>
        <w:rPr>
          <w:rFonts w:ascii="Calibri" w:eastAsia="Calibri" w:hAnsi="Calibri" w:cs="Times New Roman"/>
          <w:kern w:val="0"/>
          <w:lang w:val="en-GB"/>
          <w14:ligatures w14:val="none"/>
        </w:rPr>
        <w:id w:val="892475186"/>
        <w:docPartObj>
          <w:docPartGallery w:val="Table of Contents"/>
          <w:docPartUnique/>
        </w:docPartObj>
      </w:sdtPr>
      <w:sdtEndPr>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3E57A974" w14:textId="77777777" w:rsidR="008B15B4" w:rsidRPr="008B15B4" w:rsidRDefault="008B15B4" w:rsidP="008B15B4">
          <w:pPr>
            <w:keepNext/>
            <w:keepLines/>
            <w:spacing w:before="240" w:after="0"/>
            <w:rPr>
              <w:rFonts w:ascii="Calibri Light" w:eastAsia="Times New Roman" w:hAnsi="Calibri Light" w:cs="Times New Roman"/>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B15B4">
            <w:rPr>
              <w:rFonts w:ascii="Calibri Light" w:eastAsia="Times New Roman" w:hAnsi="Calibri Light" w:cs="Times New Roman"/>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Table of Contents:</w:t>
          </w:r>
        </w:p>
        <w:p w14:paraId="440CA494" w14:textId="77777777" w:rsidR="008B15B4" w:rsidRPr="008B15B4" w:rsidRDefault="008B15B4" w:rsidP="008B15B4">
          <w:pPr>
            <w:rPr>
              <w:rFonts w:ascii="Calibri" w:eastAsia="Calibri" w:hAnsi="Calibri" w:cs="Times New Roman"/>
              <w:kern w:val="0"/>
              <w14:ligatures w14:val="none"/>
            </w:rPr>
          </w:pPr>
        </w:p>
        <w:p w14:paraId="341288A6" w14:textId="592C053F" w:rsidR="008B15B4" w:rsidRPr="008B15B4" w:rsidRDefault="008B15B4" w:rsidP="008B15B4">
          <w:pPr>
            <w:tabs>
              <w:tab w:val="right" w:leader="dot" w:pos="9350"/>
            </w:tabs>
            <w:spacing w:after="10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B15B4">
            <w:rPr>
              <w:rFonts w:ascii="Calibri" w:eastAsia="Calibri" w:hAnsi="Calibri" w:cs="Times New Roma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TOC \o "1-3" \h \z \u </w:instrText>
          </w:r>
          <w:r w:rsidRPr="008B15B4">
            <w:rPr>
              <w:rFonts w:ascii="Calibri" w:eastAsia="Calibri" w:hAnsi="Calibri" w:cs="Times New Roma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hyperlink w:anchor="_Toc160553656"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 Introduction</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_Toc160553656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46111BB3" w14:textId="7390D97E" w:rsidR="008B15B4" w:rsidRPr="008B15B4" w:rsidRDefault="008B15B4" w:rsidP="008B15B4">
          <w:pPr>
            <w:tabs>
              <w:tab w:val="right" w:leader="dot" w:pos="9350"/>
            </w:tabs>
            <w:spacing w:after="10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57"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 Organizational Overview</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_Toc160553657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960823D" w14:textId="5CF1516D"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58"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2.1 Boeing Company Overview:</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_Toc160553658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26711A54" w14:textId="15298027"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59"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2.2 Microsoft Overview:</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_Toc160553659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5C0BDCE2" w14:textId="3456D6DB" w:rsidR="008B15B4" w:rsidRPr="008B15B4" w:rsidRDefault="008B15B4" w:rsidP="008B15B4">
          <w:pPr>
            <w:tabs>
              <w:tab w:val="right" w:leader="dot" w:pos="9350"/>
            </w:tabs>
            <w:spacing w:after="10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60"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 TOWS Analysis and Comparison</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_Toc160553660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5</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4E25B82C" w14:textId="0B42E9EA"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61"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3.1 Threats:</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_Toc160553661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5</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817434F" w14:textId="432544E7"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62"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3.2 Opportunities:</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_Toc160553662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6</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4F7DE093" w14:textId="57A71B1C"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63"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3.3 Weaknesses:</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_Toc160553663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6</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2B1D4E0E" w14:textId="18CCA5FF"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64"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3.4 Strengths:</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_Toc160553664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7</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E484315" w14:textId="1505684B"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65"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3.5 Comparison:</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_Toc160553665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7</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554247DB" w14:textId="251B58CD" w:rsidR="008B15B4" w:rsidRPr="008B15B4" w:rsidRDefault="008B15B4" w:rsidP="008B15B4">
          <w:pPr>
            <w:tabs>
              <w:tab w:val="right" w:leader="dot" w:pos="9350"/>
            </w:tabs>
            <w:spacing w:after="10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66"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 Critical Evaluation of Knowledge Management Systems</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_Toc160553666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8</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6ACB847B" w14:textId="293A41BF"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67"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4.1 KM Value Chain Analysis:</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_Toc160553667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8</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CA6606A" w14:textId="5164E744"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68"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4.2 Supporting IT Systems:</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_Toc160553668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8</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35CD948E" w14:textId="2EA17137"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69"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4.3 Deployment and Integration:</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_Toc160553669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9</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2AC8E175" w14:textId="6349D240" w:rsidR="008B15B4" w:rsidRPr="008B15B4" w:rsidRDefault="008B15B4" w:rsidP="008B15B4">
          <w:pPr>
            <w:tabs>
              <w:tab w:val="right" w:leader="dot" w:pos="9350"/>
            </w:tabs>
            <w:spacing w:after="10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70"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5. Recommendations</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_Toc160553670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10</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777DFF1F" w14:textId="4D5B2341"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71"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5.1 Recommendations for KM Development (Boieng):</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_Toc160553671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10</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37B13C40" w14:textId="026D74D9" w:rsidR="008B15B4" w:rsidRPr="008B15B4" w:rsidRDefault="008B15B4" w:rsidP="008B15B4">
          <w:pPr>
            <w:tabs>
              <w:tab w:val="right" w:leader="dot" w:pos="9350"/>
            </w:tabs>
            <w:spacing w:after="100"/>
            <w:ind w:left="22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72"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5.2 Recommendations for KM Development (Microsoft):</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_Toc160553672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11</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256143FC" w14:textId="3774880F" w:rsidR="008B15B4" w:rsidRPr="008B15B4" w:rsidRDefault="008B15B4" w:rsidP="008B15B4">
          <w:pPr>
            <w:tabs>
              <w:tab w:val="right" w:leader="dot" w:pos="9350"/>
            </w:tabs>
            <w:spacing w:after="10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73"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6. Conclusion</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_Toc160553673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12</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F79E122" w14:textId="0464C039" w:rsidR="008B15B4" w:rsidRPr="008B15B4" w:rsidRDefault="008B15B4" w:rsidP="008B15B4">
          <w:pPr>
            <w:tabs>
              <w:tab w:val="right" w:leader="dot" w:pos="9350"/>
            </w:tabs>
            <w:spacing w:after="100"/>
            <w:rPr>
              <w:rFonts w:ascii="Calibri" w:eastAsia="Calibri" w:hAnsi="Calibri" w:cs="Times New Roman"/>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60553674" w:history="1">
            <w:r w:rsidRPr="008B15B4">
              <w:rPr>
                <w:rFonts w:ascii="Arial" w:eastAsia="Calibri" w:hAnsi="Arial" w:cs="Arial"/>
                <w:noProof/>
                <w:color w:val="000000" w:themeColor="text1"/>
                <w:kern w:val="0"/>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References</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_Toc160553674 \h </w:instrTex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8E5E75">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13</w:t>
            </w:r>
            <w:r w:rsidRPr="008B15B4">
              <w:rPr>
                <w:rFonts w:ascii="Calibri" w:eastAsia="Calibri" w:hAnsi="Calibri" w:cs="Times New Roman"/>
                <w:noProof/>
                <w:webHidde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21BE8CE0" w14:textId="77777777" w:rsidR="008B15B4" w:rsidRPr="008B15B4" w:rsidRDefault="008B15B4" w:rsidP="008B15B4">
          <w:pPr>
            <w:rPr>
              <w:rFonts w:ascii="Calibri" w:eastAsia="Calibri" w:hAnsi="Calibri" w:cs="Times New Roman"/>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B15B4">
            <w:rPr>
              <w:rFonts w:ascii="Calibri" w:eastAsia="Calibri" w:hAnsi="Calibri" w:cs="Times New Roman"/>
              <w:bCs/>
              <w:noProof/>
              <w:color w:val="000000" w:themeColor="text1"/>
              <w:kern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p>
      </w:sdtContent>
    </w:sdt>
    <w:p w14:paraId="262F37B5" w14:textId="77777777" w:rsidR="008B15B4" w:rsidRPr="008B15B4" w:rsidRDefault="008B15B4" w:rsidP="008B15B4">
      <w:pPr>
        <w:keepNext/>
        <w:keepLines/>
        <w:spacing w:before="240" w:after="0"/>
        <w:outlineLvl w:val="0"/>
        <w:rPr>
          <w:rFonts w:ascii="Arial" w:eastAsia="Times New Roman" w:hAnsi="Arial" w:cs="Arial"/>
          <w:b/>
          <w:kern w:val="0"/>
          <w:sz w:val="32"/>
          <w:szCs w:val="32"/>
          <w14:ligatures w14:val="none"/>
        </w:rPr>
      </w:pPr>
    </w:p>
    <w:p w14:paraId="7C78D56B" w14:textId="77777777" w:rsidR="008B15B4" w:rsidRPr="008B15B4" w:rsidRDefault="008B15B4" w:rsidP="008B15B4">
      <w:pPr>
        <w:keepNext/>
        <w:keepLines/>
        <w:spacing w:before="240" w:after="0"/>
        <w:outlineLvl w:val="0"/>
        <w:rPr>
          <w:rFonts w:ascii="Arial" w:eastAsia="Times New Roman" w:hAnsi="Arial" w:cs="Arial"/>
          <w:b/>
          <w:kern w:val="0"/>
          <w:sz w:val="32"/>
          <w:szCs w:val="32"/>
          <w14:ligatures w14:val="none"/>
        </w:rPr>
      </w:pPr>
    </w:p>
    <w:p w14:paraId="42A072B1" w14:textId="77777777" w:rsidR="008B15B4" w:rsidRPr="008B15B4" w:rsidRDefault="008B15B4" w:rsidP="008B15B4">
      <w:pPr>
        <w:keepNext/>
        <w:keepLines/>
        <w:spacing w:before="240" w:after="0"/>
        <w:outlineLvl w:val="0"/>
        <w:rPr>
          <w:rFonts w:ascii="Arial" w:eastAsia="Times New Roman" w:hAnsi="Arial" w:cs="Arial"/>
          <w:b/>
          <w:kern w:val="0"/>
          <w:sz w:val="32"/>
          <w:szCs w:val="32"/>
          <w14:ligatures w14:val="none"/>
        </w:rPr>
      </w:pPr>
      <w:bookmarkStart w:id="0" w:name="_Toc160553656"/>
    </w:p>
    <w:p w14:paraId="205CBDDB" w14:textId="77777777" w:rsidR="008B15B4" w:rsidRPr="008B15B4" w:rsidRDefault="008B15B4" w:rsidP="008B15B4">
      <w:pPr>
        <w:keepNext/>
        <w:keepLines/>
        <w:spacing w:before="240" w:after="0"/>
        <w:outlineLvl w:val="0"/>
        <w:rPr>
          <w:rFonts w:ascii="Arial" w:eastAsia="Times New Roman" w:hAnsi="Arial" w:cs="Arial"/>
          <w:b/>
          <w:kern w:val="0"/>
          <w:sz w:val="32"/>
          <w:szCs w:val="32"/>
          <w14:ligatures w14:val="none"/>
        </w:rPr>
      </w:pPr>
    </w:p>
    <w:p w14:paraId="20EC2DF6" w14:textId="77777777" w:rsidR="008B15B4" w:rsidRPr="008B15B4" w:rsidRDefault="008B15B4" w:rsidP="008B15B4">
      <w:pPr>
        <w:keepNext/>
        <w:keepLines/>
        <w:spacing w:before="240" w:after="0"/>
        <w:outlineLvl w:val="0"/>
        <w:rPr>
          <w:rFonts w:ascii="Arial" w:eastAsia="Times New Roman" w:hAnsi="Arial" w:cs="Arial"/>
          <w:b/>
          <w:kern w:val="0"/>
          <w:sz w:val="32"/>
          <w:szCs w:val="32"/>
          <w14:ligatures w14:val="none"/>
        </w:rPr>
      </w:pPr>
    </w:p>
    <w:p w14:paraId="1FAC0113" w14:textId="77777777" w:rsidR="008B15B4" w:rsidRPr="008B15B4" w:rsidRDefault="008B15B4" w:rsidP="008B15B4">
      <w:pPr>
        <w:keepNext/>
        <w:keepLines/>
        <w:spacing w:before="240" w:after="0"/>
        <w:outlineLvl w:val="0"/>
        <w:rPr>
          <w:rFonts w:ascii="Calibri" w:eastAsia="Calibri" w:hAnsi="Calibri" w:cs="Times New Roman"/>
          <w:kern w:val="0"/>
          <w14:ligatures w14:val="none"/>
        </w:rPr>
      </w:pPr>
    </w:p>
    <w:p w14:paraId="24B1ED0D" w14:textId="77777777" w:rsidR="008B15B4" w:rsidRPr="008B15B4" w:rsidRDefault="008B15B4" w:rsidP="008B15B4">
      <w:pPr>
        <w:rPr>
          <w:rFonts w:ascii="Calibri" w:eastAsia="Calibri" w:hAnsi="Calibri" w:cs="Times New Roman"/>
          <w:kern w:val="0"/>
          <w14:ligatures w14:val="none"/>
        </w:rPr>
      </w:pPr>
    </w:p>
    <w:p w14:paraId="58DFD992" w14:textId="77777777" w:rsidR="008B15B4" w:rsidRPr="008B15B4" w:rsidRDefault="008B15B4" w:rsidP="008B15B4">
      <w:pPr>
        <w:keepNext/>
        <w:keepLines/>
        <w:spacing w:before="240" w:after="0"/>
        <w:outlineLvl w:val="0"/>
        <w:rPr>
          <w:rFonts w:ascii="Arial" w:eastAsia="Times New Roman" w:hAnsi="Arial" w:cs="Arial"/>
          <w:b/>
          <w:kern w:val="0"/>
          <w:sz w:val="32"/>
          <w:szCs w:val="32"/>
          <w14:ligatures w14:val="none"/>
        </w:rPr>
      </w:pPr>
      <w:r w:rsidRPr="008B15B4">
        <w:rPr>
          <w:rFonts w:ascii="Arial" w:eastAsia="Times New Roman" w:hAnsi="Arial" w:cs="Arial"/>
          <w:b/>
          <w:kern w:val="0"/>
          <w:sz w:val="32"/>
          <w:szCs w:val="32"/>
          <w14:ligatures w14:val="none"/>
        </w:rPr>
        <w:t>1. Introduction</w:t>
      </w:r>
      <w:bookmarkEnd w:id="0"/>
    </w:p>
    <w:p w14:paraId="1EAAABAE" w14:textId="77777777" w:rsidR="008B15B4" w:rsidRPr="008B15B4" w:rsidRDefault="008B15B4" w:rsidP="008B15B4">
      <w:pPr>
        <w:rPr>
          <w:rFonts w:ascii="Calibri" w:eastAsia="Calibri" w:hAnsi="Calibri" w:cs="Times New Roman"/>
          <w:kern w:val="0"/>
          <w14:ligatures w14:val="none"/>
        </w:rPr>
      </w:pPr>
    </w:p>
    <w:p w14:paraId="1488EC6F"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The inception of this report underscores the pivotal role of knowledge management (KM) as a cornerstone in sculpting the strategic success of organizations. In an era where knowledge is deemed the quintessence of competitive advantage, the effective orchestration of knowledge resources emerges as a paramount concern for both scholars and business magnates alike (Velazco et al., 2021). This report aims to delve into the intricacies of knowledge management systems within two distinguished organizations, Boeing and Microsoft, each emblematic of unparalleled success in their respective domains. Boeing, a titan in the aerospace sector, and Microsoft, a behemoth in the technology industry, exemplify the vast spectrum of global reach and industry leadership. The essence of knowledge management, as explicated in various studies, lies in its capacity to foster organizational agility, enhance innovation, and streamline strategic processes, thereby ensuring organizational longevity and success in the tumultuous business landscape (Amelia et al., 2022). This report, through a meticulous examination of Boeing and Microsoft, aims to unveil how these organizations leverage their knowledge management systems to not only safeguard but also amplify their strategic assets in alignment with their overarching business strategies.</w:t>
      </w:r>
    </w:p>
    <w:p w14:paraId="63E316F8"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Through a comparative analysis, this investigation will unravel the unique and shared dimensions of Boeing and Microsoft's knowledge management practices. The forthcoming sections will engage in a TOWS analysis, critical evaluation of their KM systems, and provide cogent recommendations to bolster their knowledge management endeavours. This introduction sets the stage for a profound exploration into how knowledge, when adeptly managed, serves as the linchpin of strategic success in the contemporary business milieu.</w:t>
      </w:r>
    </w:p>
    <w:p w14:paraId="19F50E39" w14:textId="77777777" w:rsidR="008B15B4" w:rsidRPr="008B15B4" w:rsidRDefault="008B15B4" w:rsidP="008B15B4">
      <w:pPr>
        <w:keepNext/>
        <w:keepLines/>
        <w:spacing w:before="240" w:after="0"/>
        <w:jc w:val="both"/>
        <w:outlineLvl w:val="0"/>
        <w:rPr>
          <w:rFonts w:ascii="Arial" w:eastAsia="Times New Roman" w:hAnsi="Arial" w:cs="Arial"/>
          <w:b/>
          <w:kern w:val="0"/>
          <w:sz w:val="32"/>
          <w:szCs w:val="32"/>
          <w14:ligatures w14:val="none"/>
        </w:rPr>
      </w:pPr>
      <w:bookmarkStart w:id="1" w:name="_Toc160553657"/>
      <w:r w:rsidRPr="008B15B4">
        <w:rPr>
          <w:rFonts w:ascii="Arial" w:eastAsia="Times New Roman" w:hAnsi="Arial" w:cs="Arial"/>
          <w:b/>
          <w:kern w:val="0"/>
          <w:sz w:val="32"/>
          <w:szCs w:val="32"/>
          <w14:ligatures w14:val="none"/>
        </w:rPr>
        <w:lastRenderedPageBreak/>
        <w:t>2. Organisational Overview</w:t>
      </w:r>
      <w:bookmarkEnd w:id="1"/>
    </w:p>
    <w:p w14:paraId="692F6A49" w14:textId="77777777" w:rsidR="008B15B4" w:rsidRPr="008B15B4" w:rsidRDefault="008B15B4" w:rsidP="008B15B4">
      <w:pPr>
        <w:rPr>
          <w:rFonts w:ascii="Calibri" w:eastAsia="Calibri" w:hAnsi="Calibri" w:cs="Times New Roman"/>
          <w:kern w:val="0"/>
          <w14:ligatures w14:val="none"/>
        </w:rPr>
      </w:pPr>
    </w:p>
    <w:p w14:paraId="5B0D5A98"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2" w:name="_Toc160553658"/>
      <w:r w:rsidRPr="008B15B4">
        <w:rPr>
          <w:rFonts w:ascii="Arial" w:eastAsia="Times New Roman" w:hAnsi="Arial" w:cs="Arial"/>
          <w:b/>
          <w:kern w:val="0"/>
          <w:sz w:val="26"/>
          <w:szCs w:val="26"/>
          <w:lang w:val="en-GB"/>
          <w14:ligatures w14:val="none"/>
        </w:rPr>
        <w:t>2.1 Boeing Company Overview:</w:t>
      </w:r>
      <w:bookmarkEnd w:id="2"/>
    </w:p>
    <w:p w14:paraId="2A595E86" w14:textId="77777777" w:rsidR="008B15B4" w:rsidRPr="008B15B4" w:rsidRDefault="008B15B4" w:rsidP="008B15B4">
      <w:pPr>
        <w:rPr>
          <w:rFonts w:ascii="Calibri" w:eastAsia="Calibri" w:hAnsi="Calibri" w:cs="Times New Roman"/>
          <w:kern w:val="0"/>
          <w:lang w:val="en-GB"/>
          <w14:ligatures w14:val="none"/>
        </w:rPr>
      </w:pPr>
    </w:p>
    <w:p w14:paraId="418C0456"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The Boeing Company, a titan in the aerospace industry, is renowned for its pioneering role in manufacturing commercial jetliners, defense, space, and security systems. A key player on the global stage, Boeing's strategic objectives are firmly rooted in innovation, sustainability, and market expansion. With an unwavering commitment to enhancing the safety and efficiency of air travel, Boeing's main activities span across the development of new generation aircraft, leveraging cutting-edge technologies to meet the ever-evolving demands of the aerospace sector (Jing, 2024). Central to Boeing's market position is its competitiveness within the airline supply chain. By focusing on supply chain visibility, supplier selection, evaluation, inventory management, and the integration of advanced technologies, Boeing aims to mitigate risks and enhance operational efficiency. This strategic approach not only cements Boeing's leadership in the aerospace industry but also underscores its dedication to maintaining a resilient and responsive supply chain (Jing, 2024).</w:t>
      </w:r>
    </w:p>
    <w:p w14:paraId="338F1FEC"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In alignment with its strategic objectives, Boeing continually engages in comprehensive market analysis to adapt to changing market conditions, ensuring that its offer structure and business behaviour are meticulously coordinated to maintain a competitive edge. This dynamic and strategic foresight enables Boeing to not only achieve its specified objectives but also to navigate the complexities of the aerospace industry with agility and precision, thereby sustaining its leadership position and driving forward its mission of connecting, protecting, exploring, and inspiring the world (Neamtu and Neamtu, 2017)</w:t>
      </w:r>
    </w:p>
    <w:p w14:paraId="14C881EB"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3" w:name="_Toc160553659"/>
      <w:r w:rsidRPr="008B15B4">
        <w:rPr>
          <w:rFonts w:ascii="Arial" w:eastAsia="Times New Roman" w:hAnsi="Arial" w:cs="Arial"/>
          <w:b/>
          <w:kern w:val="0"/>
          <w:sz w:val="26"/>
          <w:szCs w:val="26"/>
          <w:lang w:val="en-GB"/>
          <w14:ligatures w14:val="none"/>
        </w:rPr>
        <w:t>2.2 Microsoft Overview:</w:t>
      </w:r>
      <w:bookmarkEnd w:id="3"/>
    </w:p>
    <w:p w14:paraId="6B2CDE66" w14:textId="77777777" w:rsidR="008B15B4" w:rsidRPr="008B15B4" w:rsidRDefault="008B15B4" w:rsidP="008B15B4">
      <w:pPr>
        <w:rPr>
          <w:rFonts w:ascii="Calibri" w:eastAsia="Calibri" w:hAnsi="Calibri" w:cs="Times New Roman"/>
          <w:kern w:val="0"/>
          <w:lang w:val="en-GB"/>
          <w14:ligatures w14:val="none"/>
        </w:rPr>
      </w:pPr>
    </w:p>
    <w:p w14:paraId="335CDA94"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 xml:space="preserve">Microsoft stands as a colossus in the global technology landscape, with its main activities encompassing software development, cloud computing, personal computing, and related services. Renowned for its Windows operating systems and Office productivity suite, Microsoft has strategically positioned itself as a leader in the digital era, focusing on innovation, integration, and expansion into new markets (Ma, 2023). The company's strategic objectives are keenly aligned with leveraging cloud-based solutions and artificial intelligence to maintain its dominance while exploring new technological frontiers. Despite facing challenges since 2019, Microsoft has </w:t>
      </w:r>
      <w:r w:rsidRPr="008B15B4">
        <w:rPr>
          <w:rFonts w:ascii="Arial" w:eastAsia="Calibri" w:hAnsi="Arial" w:cs="Arial"/>
          <w:kern w:val="0"/>
          <w:lang w:val="en-GB"/>
          <w14:ligatures w14:val="none"/>
        </w:rPr>
        <w:lastRenderedPageBreak/>
        <w:t>persevered, showing resilience by adapting its strategies to maintain a strong market position and drive future growth (Liu, 2023).</w:t>
      </w:r>
    </w:p>
    <w:p w14:paraId="0C3A2C6C"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Key to Microsoft's enduring success is its strategic decision-making process, which meticulously aligns its operations with market trends and conditions to safeguard and enhance its competitive edge. Through continuous market analysis, Microsoft crafts strategies that are responsive to market dynamics, enabling it to set precise business goals and implement effective actions (Neamtu and Neamtu, 2017). In summary, Microsoft's strategic focus on cloud computing, artificial intelligence, and software innovation underpins its market leadership and outlines its commitment to shaping the future of technology. By prioritizing these areas, Microsoft aims not only to maintain its market position but to expand its influence across the technology spectrum, ensuring its continued relevance and success in the digital age.</w:t>
      </w:r>
    </w:p>
    <w:p w14:paraId="2EC6D7BE" w14:textId="77777777" w:rsidR="008B15B4" w:rsidRPr="008B15B4" w:rsidRDefault="008B15B4" w:rsidP="008B15B4">
      <w:pPr>
        <w:keepNext/>
        <w:keepLines/>
        <w:spacing w:before="240" w:after="0"/>
        <w:jc w:val="both"/>
        <w:outlineLvl w:val="0"/>
        <w:rPr>
          <w:rFonts w:ascii="Arial" w:eastAsia="Times New Roman" w:hAnsi="Arial" w:cs="Arial"/>
          <w:b/>
          <w:kern w:val="0"/>
          <w:sz w:val="32"/>
          <w:szCs w:val="32"/>
          <w14:ligatures w14:val="none"/>
        </w:rPr>
      </w:pPr>
      <w:bookmarkStart w:id="4" w:name="_Toc160553660"/>
      <w:r w:rsidRPr="008B15B4">
        <w:rPr>
          <w:rFonts w:ascii="Arial" w:eastAsia="Times New Roman" w:hAnsi="Arial" w:cs="Arial"/>
          <w:b/>
          <w:kern w:val="0"/>
          <w:sz w:val="32"/>
          <w:szCs w:val="32"/>
          <w14:ligatures w14:val="none"/>
        </w:rPr>
        <w:t>3. TOWS Analysis and Comparison</w:t>
      </w:r>
      <w:bookmarkEnd w:id="4"/>
    </w:p>
    <w:p w14:paraId="1D4F69D2" w14:textId="77777777" w:rsidR="008B15B4" w:rsidRPr="008B15B4" w:rsidRDefault="008B15B4" w:rsidP="008B15B4">
      <w:pPr>
        <w:rPr>
          <w:rFonts w:ascii="Calibri" w:eastAsia="Calibri" w:hAnsi="Calibri" w:cs="Times New Roman"/>
          <w:kern w:val="0"/>
          <w14:ligatures w14:val="none"/>
        </w:rPr>
      </w:pPr>
    </w:p>
    <w:p w14:paraId="0A9B4FF2"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5" w:name="_Toc160553661"/>
      <w:r w:rsidRPr="008B15B4">
        <w:rPr>
          <w:rFonts w:ascii="Arial" w:eastAsia="Times New Roman" w:hAnsi="Arial" w:cs="Arial"/>
          <w:b/>
          <w:kern w:val="0"/>
          <w:sz w:val="26"/>
          <w:szCs w:val="26"/>
          <w:lang w:val="en-GB"/>
          <w14:ligatures w14:val="none"/>
        </w:rPr>
        <w:t>3.1 Threats:</w:t>
      </w:r>
      <w:bookmarkEnd w:id="5"/>
    </w:p>
    <w:p w14:paraId="0356A24D" w14:textId="77777777" w:rsidR="008B15B4" w:rsidRPr="008B15B4" w:rsidRDefault="008B15B4" w:rsidP="008B15B4">
      <w:pPr>
        <w:rPr>
          <w:rFonts w:ascii="Calibri" w:eastAsia="Calibri" w:hAnsi="Calibri" w:cs="Times New Roman"/>
          <w:kern w:val="0"/>
          <w:lang w:val="en-GB"/>
          <w14:ligatures w14:val="none"/>
        </w:rPr>
      </w:pPr>
    </w:p>
    <w:p w14:paraId="2D9D1DF8" w14:textId="77777777" w:rsidR="008B15B4" w:rsidRPr="008B15B4" w:rsidRDefault="008B15B4" w:rsidP="008B15B4">
      <w:pPr>
        <w:autoSpaceDE w:val="0"/>
        <w:autoSpaceDN w:val="0"/>
        <w:adjustRightInd w:val="0"/>
        <w:spacing w:after="200" w:line="360" w:lineRule="auto"/>
        <w:jc w:val="both"/>
        <w:rPr>
          <w:rFonts w:ascii="Calibri" w:eastAsia="Calibri" w:hAnsi="Calibri" w:cs="Times New Roman"/>
          <w:kern w:val="0"/>
          <w:lang w:val="en-GB"/>
          <w14:ligatures w14:val="none"/>
        </w:rPr>
      </w:pPr>
      <w:r w:rsidRPr="008B15B4">
        <w:rPr>
          <w:rFonts w:ascii="Arial" w:eastAsia="Calibri" w:hAnsi="Arial" w:cs="Arial"/>
          <w:kern w:val="0"/>
          <w:lang w:val="en-GB"/>
          <w14:ligatures w14:val="none"/>
        </w:rPr>
        <w:t xml:space="preserve">Knowledge management systems (KMS) used by Microsoft and Boeing are susceptible to outside attacks. Legislative changes, technological advancements, and competitive pressures are the main causes of these risks. Because of new businesses and advancements in space exploration and aviation, Boeing is up against increased competition in the aerospace sector. According to MiĖelsone et al. (2019), Boeing and its Knowledge Management System (KMS) are facing challenges due to regulatory modifications, namely in the areas of safety and environmental standards. To address these problems, Boeing needs to adjust to new requirements. </w:t>
      </w:r>
      <w:proofErr w:type="gramStart"/>
      <w:r w:rsidRPr="008B15B4">
        <w:rPr>
          <w:rFonts w:ascii="Arial" w:eastAsia="Calibri" w:hAnsi="Arial" w:cs="Arial"/>
          <w:kern w:val="0"/>
          <w:lang w:val="en-GB"/>
          <w14:ligatures w14:val="none"/>
        </w:rPr>
        <w:t>In order to</w:t>
      </w:r>
      <w:proofErr w:type="gramEnd"/>
      <w:r w:rsidRPr="008B15B4">
        <w:rPr>
          <w:rFonts w:ascii="Arial" w:eastAsia="Calibri" w:hAnsi="Arial" w:cs="Arial"/>
          <w:kern w:val="0"/>
          <w:lang w:val="en-GB"/>
          <w14:ligatures w14:val="none"/>
        </w:rPr>
        <w:t xml:space="preserve"> remain competitive, Boeing's Knowledge Management System (KMS) must undergo continuous improvements and integration as digital aviation technology and aerospace materials progress. For Boeing to continue leading the industry, this is an essential. In order to sustain its market leadership, Microsoft's key management system (KMS) needs to be adaptable and progressive in order to keep up with the swift advancements in technology within the software and cloud computing sectors. For Microsoft to continue leading the market, this is essential. Microsoft's hegemony in a number of technology fields is being challenged by both up-and-coming and more established rivals. In the US, this pressure is particularly intense. In addition, Microsoft's Knowledge Management System (KMS) needs to anticipate the legal and practical ramifications of cybersecurity, antitrust, and worldwide data privacy rules. This is due to the fact that the KMS needs to account for consequences and compliance.</w:t>
      </w:r>
      <w:r w:rsidRPr="008B15B4">
        <w:rPr>
          <w:rFonts w:ascii="Calibri" w:eastAsia="Calibri" w:hAnsi="Calibri" w:cs="Times New Roman"/>
          <w:kern w:val="0"/>
          <w:lang w:val="en-GB"/>
          <w14:ligatures w14:val="none"/>
        </w:rPr>
        <w:t xml:space="preserve"> </w:t>
      </w:r>
    </w:p>
    <w:p w14:paraId="7F937D32"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6" w:name="_Toc160553662"/>
      <w:r w:rsidRPr="008B15B4">
        <w:rPr>
          <w:rFonts w:ascii="Arial" w:eastAsia="Times New Roman" w:hAnsi="Arial" w:cs="Arial"/>
          <w:b/>
          <w:kern w:val="0"/>
          <w:sz w:val="26"/>
          <w:szCs w:val="26"/>
          <w:lang w:val="en-GB"/>
          <w14:ligatures w14:val="none"/>
        </w:rPr>
        <w:lastRenderedPageBreak/>
        <w:t>3.2 Opportunities:</w:t>
      </w:r>
      <w:bookmarkEnd w:id="6"/>
    </w:p>
    <w:p w14:paraId="5836D9A7" w14:textId="77777777" w:rsidR="008B15B4" w:rsidRPr="008B15B4" w:rsidRDefault="008B15B4" w:rsidP="008B15B4">
      <w:pPr>
        <w:rPr>
          <w:rFonts w:ascii="Calibri" w:eastAsia="Calibri" w:hAnsi="Calibri" w:cs="Times New Roman"/>
          <w:kern w:val="0"/>
          <w:lang w:val="en-GB"/>
          <w14:ligatures w14:val="none"/>
        </w:rPr>
      </w:pPr>
    </w:p>
    <w:p w14:paraId="4B48CA7D" w14:textId="77777777" w:rsidR="008B15B4" w:rsidRPr="008B15B4" w:rsidRDefault="008B15B4" w:rsidP="008B15B4">
      <w:pPr>
        <w:autoSpaceDE w:val="0"/>
        <w:autoSpaceDN w:val="0"/>
        <w:adjustRightInd w:val="0"/>
        <w:spacing w:after="200" w:line="360" w:lineRule="auto"/>
        <w:jc w:val="both"/>
        <w:rPr>
          <w:rFonts w:ascii="Calibri" w:eastAsia="Calibri" w:hAnsi="Calibri" w:cs="Times New Roman"/>
          <w:kern w:val="0"/>
          <w:lang w:val="en-GB"/>
          <w14:ligatures w14:val="none"/>
        </w:rPr>
      </w:pPr>
      <w:r w:rsidRPr="008B15B4">
        <w:rPr>
          <w:rFonts w:ascii="Arial" w:eastAsia="Calibri" w:hAnsi="Arial" w:cs="Arial"/>
          <w:kern w:val="0"/>
          <w:lang w:val="en-GB"/>
          <w14:ligatures w14:val="none"/>
        </w:rPr>
        <w:t xml:space="preserve">Because of these business changes, Boeing and Microsoft have multiple opportunities to enhance their knowledge management systems. Because there is a growing demand for efficient and ecologically friendly air travel worldwide, Boeing may use its Knowledge Management System (KMS) to develop greener technologies and materials. Increased global demand generates this opportunity. According to MiĖelsone et al. (2019), there are now more prospects for research and development due to the move towards space exploration and unmanned aerial vehicles (UAVs). Consequently, there is a need for a strong knowledge management system (KMS) that can handle and distribute complicated knowledge among international teams. Microsoft's knowledge management system (KMS) can analyse and utilise vast amounts of data to generate novel solutions by integrating AI and ML. Microsoft may increase the creation of innovative solutions. By utilising an advanced knowledge management system (KMS) to support and build these platforms, Microsoft has expanded both its cloud services and business. These advancements are made feasible by the growth of remote work and digital transformation initiatives across all industries. Additionally, Microsoft might leverage its market dominance to collaborate with corporations and educational institutions to build partnerships that would add a range of knowledge sources to its knowledge management system (KMS) and foster a collaborative ecosystem. Microsoft accomplishes this by controlling the market. Boeing and Microsoft may leverage their knowledge management systems (KMS) to enhance internal productivity and creativity, as well as to react to and propel technological advancements and market trends. due to the implications that these possibilities hold. </w:t>
      </w:r>
    </w:p>
    <w:p w14:paraId="428CE9B0"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7" w:name="_Toc160553663"/>
      <w:r w:rsidRPr="008B15B4">
        <w:rPr>
          <w:rFonts w:ascii="Arial" w:eastAsia="Times New Roman" w:hAnsi="Arial" w:cs="Arial"/>
          <w:b/>
          <w:kern w:val="0"/>
          <w:sz w:val="26"/>
          <w:szCs w:val="26"/>
          <w:lang w:val="en-GB"/>
          <w14:ligatures w14:val="none"/>
        </w:rPr>
        <w:t>3.3 Weaknesses:</w:t>
      </w:r>
      <w:bookmarkEnd w:id="7"/>
    </w:p>
    <w:p w14:paraId="32EDDB55" w14:textId="77777777" w:rsidR="008B15B4" w:rsidRPr="008B15B4" w:rsidRDefault="008B15B4" w:rsidP="008B15B4">
      <w:pPr>
        <w:rPr>
          <w:rFonts w:ascii="Calibri" w:eastAsia="Calibri" w:hAnsi="Calibri" w:cs="Times New Roman"/>
          <w:kern w:val="0"/>
          <w:lang w:val="en-GB"/>
          <w14:ligatures w14:val="none"/>
        </w:rPr>
      </w:pPr>
    </w:p>
    <w:p w14:paraId="6A040FE9" w14:textId="77777777" w:rsidR="008B15B4" w:rsidRPr="008B15B4" w:rsidRDefault="008B15B4" w:rsidP="008B15B4">
      <w:pPr>
        <w:autoSpaceDE w:val="0"/>
        <w:autoSpaceDN w:val="0"/>
        <w:adjustRightInd w:val="0"/>
        <w:spacing w:after="200" w:line="360" w:lineRule="auto"/>
        <w:jc w:val="both"/>
        <w:rPr>
          <w:rFonts w:ascii="Calibri" w:eastAsia="Calibri" w:hAnsi="Calibri" w:cs="Times New Roman"/>
          <w:kern w:val="0"/>
          <w:lang w:val="en-GB"/>
          <w14:ligatures w14:val="none"/>
        </w:rPr>
      </w:pPr>
      <w:r w:rsidRPr="008B15B4">
        <w:rPr>
          <w:rFonts w:ascii="Arial" w:eastAsia="Calibri" w:hAnsi="Arial" w:cs="Arial"/>
          <w:kern w:val="0"/>
          <w:lang w:val="en-GB"/>
          <w14:ligatures w14:val="none"/>
        </w:rPr>
        <w:t xml:space="preserve">It's possible that Microsoft and Boeing's KMSs have problems integrating business strategies and sharing information. Most likely, they are internal flaws. It might be difficult for Boeing to convey engineering improvements and safety to </w:t>
      </w:r>
      <w:proofErr w:type="gramStart"/>
      <w:r w:rsidRPr="008B15B4">
        <w:rPr>
          <w:rFonts w:ascii="Arial" w:eastAsia="Calibri" w:hAnsi="Arial" w:cs="Arial"/>
          <w:kern w:val="0"/>
          <w:lang w:val="en-GB"/>
          <w14:ligatures w14:val="none"/>
        </w:rPr>
        <w:t>all of</w:t>
      </w:r>
      <w:proofErr w:type="gramEnd"/>
      <w:r w:rsidRPr="008B15B4">
        <w:rPr>
          <w:rFonts w:ascii="Arial" w:eastAsia="Calibri" w:hAnsi="Arial" w:cs="Arial"/>
          <w:kern w:val="0"/>
          <w:lang w:val="en-GB"/>
          <w14:ligatures w14:val="none"/>
        </w:rPr>
        <w:t xml:space="preserve"> its international businesses. This could be essential for both operational effectiveness and safety. According to a 2020 study by Illiashenko and colleagues, this issue might point to a problem with information distribution, especially in emergency situations where quick dissemination of information is essential. The enormous amounts of user feedback and data that Microsoft has gathered globally would be difficult for its Knowledge Management System (KMS) to incorporate into its approach to product creation. Missed chances could result in rapidly expanding technology fields where user-driven innovation </w:t>
      </w:r>
      <w:r w:rsidRPr="008B15B4">
        <w:rPr>
          <w:rFonts w:ascii="Arial" w:eastAsia="Calibri" w:hAnsi="Arial" w:cs="Arial"/>
          <w:kern w:val="0"/>
          <w:lang w:val="en-GB"/>
          <w14:ligatures w14:val="none"/>
        </w:rPr>
        <w:lastRenderedPageBreak/>
        <w:t>plays a crucial role. It is possible that both businesses may struggle to align their vast knowledge bases with their strategic objectives, resulting in a misallocation of time and money. Given the vast resources of both companies, this is feasible.</w:t>
      </w:r>
      <w:r w:rsidRPr="008B15B4">
        <w:rPr>
          <w:rFonts w:ascii="Calibri" w:eastAsia="Calibri" w:hAnsi="Calibri" w:cs="Times New Roman"/>
          <w:kern w:val="0"/>
          <w:lang w:val="en-GB"/>
          <w14:ligatures w14:val="none"/>
        </w:rPr>
        <w:t xml:space="preserve"> </w:t>
      </w:r>
    </w:p>
    <w:p w14:paraId="38E35B26"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8" w:name="_Toc160553664"/>
      <w:r w:rsidRPr="008B15B4">
        <w:rPr>
          <w:rFonts w:ascii="Arial" w:eastAsia="Times New Roman" w:hAnsi="Arial" w:cs="Arial"/>
          <w:b/>
          <w:kern w:val="0"/>
          <w:sz w:val="26"/>
          <w:szCs w:val="26"/>
          <w:lang w:val="en-GB"/>
          <w14:ligatures w14:val="none"/>
        </w:rPr>
        <w:t>3.4 Strengths:</w:t>
      </w:r>
      <w:bookmarkEnd w:id="8"/>
      <w:r w:rsidRPr="008B15B4">
        <w:rPr>
          <w:rFonts w:ascii="Arial" w:eastAsia="Times New Roman" w:hAnsi="Arial" w:cs="Arial"/>
          <w:b/>
          <w:kern w:val="0"/>
          <w:sz w:val="26"/>
          <w:szCs w:val="26"/>
          <w:lang w:val="en-GB"/>
          <w14:ligatures w14:val="none"/>
        </w:rPr>
        <w:t xml:space="preserve"> </w:t>
      </w:r>
    </w:p>
    <w:p w14:paraId="052CA42A" w14:textId="77777777" w:rsidR="008B15B4" w:rsidRPr="008B15B4" w:rsidRDefault="008B15B4" w:rsidP="008B15B4">
      <w:pPr>
        <w:rPr>
          <w:rFonts w:ascii="Calibri" w:eastAsia="Calibri" w:hAnsi="Calibri" w:cs="Times New Roman"/>
          <w:kern w:val="0"/>
          <w:lang w:val="en-GB"/>
          <w14:ligatures w14:val="none"/>
        </w:rPr>
      </w:pPr>
    </w:p>
    <w:p w14:paraId="1CA28D31"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 xml:space="preserve">Nonetheless, the knowledge management systems like Microsoft and Boeing help them maintain a competitive edge. The tacit knowledge of seasoned employees is effectively captured and utilised by Boeing's Knowledge Management System (KMS). This enables the business to innovate in the safety and design of aeroplanes. Boeing's leadership in aircraft engineering and manufacturing is a result of their experience. Microsoft's Knowledge Management System (KMS) leverages cloud-based technology to support global innovation and collaboration. Microsoft leverages Teams and Azure to enhance its product development cycles and enable several enterprises globally to achieve more productivity (Illiashenko et al., 2020). Microsoft gains a tremendous deal from this. Both businesses generate, store, and retrieve information using robust processes. These tactics make sure that the organisation receives and records the most important concepts and lessons. This enhances their industry leadership by enabling them to continuously learn and adapt. </w:t>
      </w:r>
    </w:p>
    <w:p w14:paraId="230F518A"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9" w:name="_Toc160553665"/>
      <w:r w:rsidRPr="008B15B4">
        <w:rPr>
          <w:rFonts w:ascii="Arial" w:eastAsia="Times New Roman" w:hAnsi="Arial" w:cs="Arial"/>
          <w:b/>
          <w:kern w:val="0"/>
          <w:sz w:val="26"/>
          <w:szCs w:val="26"/>
          <w:lang w:val="en-GB"/>
          <w14:ligatures w14:val="none"/>
        </w:rPr>
        <w:t>3.5 Comparison:</w:t>
      </w:r>
      <w:bookmarkEnd w:id="9"/>
    </w:p>
    <w:p w14:paraId="1DB7F294" w14:textId="77777777" w:rsidR="008B15B4" w:rsidRPr="008B15B4" w:rsidRDefault="008B15B4" w:rsidP="008B15B4">
      <w:pPr>
        <w:rPr>
          <w:rFonts w:ascii="Calibri" w:eastAsia="Calibri" w:hAnsi="Calibri" w:cs="Times New Roman"/>
          <w:kern w:val="0"/>
          <w:lang w:val="en-GB"/>
          <w14:ligatures w14:val="none"/>
        </w:rPr>
      </w:pPr>
    </w:p>
    <w:p w14:paraId="34E1CA45"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 xml:space="preserve">There are similarities and differences between Microsoft and Boeing's knowledge management (KM) strategies and implementations. Each company is a significant player in the market. Knowledge is valuable to technology and software companies like Microsoft and Boeing. Both businesses value experience. Boeing is a defence and aerospace company. The fact that both businesses develop, assess, and manage ideas through web-based Idea Management Systems (IMS) suggests that they both recognise the value of collaborative platforms for innovation (MiĐelsone et al., 2019).  Nonetheless, industry-specific possibilities and problems are revealed by the context in which they employ knowledge management systems. Safety, compliance, and technical excellence are given top priority in Boeing's knowledge management system, which is integrated with engineering and manufacturing processes. Since these three qualities are essential. It can maintain high design and production standards and comply with regulations unique to the aerospace industry with the use of knowledge management. Microsoft, on the other hand, places a high importance on knowledge management in market research, customer relations, and software development. The business collaborates globally and creates new </w:t>
      </w:r>
      <w:r w:rsidRPr="008B15B4">
        <w:rPr>
          <w:rFonts w:ascii="Arial" w:eastAsia="Calibri" w:hAnsi="Arial" w:cs="Arial"/>
          <w:kern w:val="0"/>
          <w:lang w:val="en-GB"/>
          <w14:ligatures w14:val="none"/>
        </w:rPr>
        <w:lastRenderedPageBreak/>
        <w:t xml:space="preserve">products using cloud technologies. The differences between the two demonstrate how knowledge management strategies may accommodate a range of sectors and advance business objectives. </w:t>
      </w:r>
    </w:p>
    <w:p w14:paraId="55197CE0" w14:textId="77777777" w:rsidR="008B15B4" w:rsidRPr="008B15B4" w:rsidRDefault="008B15B4" w:rsidP="008B15B4">
      <w:pPr>
        <w:keepNext/>
        <w:keepLines/>
        <w:spacing w:before="240" w:after="0"/>
        <w:jc w:val="both"/>
        <w:outlineLvl w:val="0"/>
        <w:rPr>
          <w:rFonts w:ascii="Arial" w:eastAsia="Times New Roman" w:hAnsi="Arial" w:cs="Arial"/>
          <w:b/>
          <w:kern w:val="0"/>
          <w:sz w:val="32"/>
          <w:szCs w:val="32"/>
          <w14:ligatures w14:val="none"/>
        </w:rPr>
      </w:pPr>
      <w:bookmarkStart w:id="10" w:name="_Toc160553666"/>
      <w:r w:rsidRPr="008B15B4">
        <w:rPr>
          <w:rFonts w:ascii="Arial" w:eastAsia="Times New Roman" w:hAnsi="Arial" w:cs="Arial"/>
          <w:b/>
          <w:kern w:val="0"/>
          <w:sz w:val="32"/>
          <w:szCs w:val="32"/>
          <w14:ligatures w14:val="none"/>
        </w:rPr>
        <w:t>4. Critical Evaluation of Knowledge Management Systems</w:t>
      </w:r>
      <w:bookmarkEnd w:id="10"/>
    </w:p>
    <w:p w14:paraId="4DD885F9" w14:textId="77777777" w:rsidR="008B15B4" w:rsidRPr="008B15B4" w:rsidRDefault="008B15B4" w:rsidP="008B15B4">
      <w:pPr>
        <w:rPr>
          <w:rFonts w:ascii="Calibri" w:eastAsia="Calibri" w:hAnsi="Calibri" w:cs="Times New Roman"/>
          <w:kern w:val="0"/>
          <w14:ligatures w14:val="none"/>
        </w:rPr>
      </w:pPr>
    </w:p>
    <w:p w14:paraId="0698912E"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11" w:name="_Toc160553667"/>
      <w:r w:rsidRPr="008B15B4">
        <w:rPr>
          <w:rFonts w:ascii="Arial" w:eastAsia="Times New Roman" w:hAnsi="Arial" w:cs="Arial"/>
          <w:b/>
          <w:kern w:val="0"/>
          <w:sz w:val="26"/>
          <w:szCs w:val="26"/>
          <w:lang w:val="en-GB"/>
          <w14:ligatures w14:val="none"/>
        </w:rPr>
        <w:t>4.1 KM Value Chain Analysis:</w:t>
      </w:r>
      <w:bookmarkEnd w:id="11"/>
    </w:p>
    <w:p w14:paraId="26063E85" w14:textId="77777777" w:rsidR="008B15B4" w:rsidRPr="008B15B4" w:rsidRDefault="008B15B4" w:rsidP="008B15B4">
      <w:pPr>
        <w:rPr>
          <w:rFonts w:ascii="Calibri" w:eastAsia="Calibri" w:hAnsi="Calibri" w:cs="Times New Roman"/>
          <w:kern w:val="0"/>
          <w:lang w:val="en-GB"/>
          <w14:ligatures w14:val="none"/>
        </w:rPr>
      </w:pPr>
    </w:p>
    <w:p w14:paraId="58993F9E"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 xml:space="preserve">Microsoft and Boeing make advantage of the KM value chain. The steps in this value chain are knowledge development, analysis, storage, and utilisation. Technical expertise, meticulous research and development, and stringent storage practices are Boeing's top priorities for operational excellence and compliance. Boeing produces items that are vital to safety and employs complex technological processes. Microsoft gathers information, such as consumer and market trends, analyses it to produce fresh concepts, and applies its expertise to stay on the cutting edge of technology. This makes sense given the rapid advancement of technology. To improve efficiency, both companies surely use cutting-edge knowledge management systems. The application of knowledge is the primary distinction (Liu et al., 2023). Whereas Microsoft might focus knowledge application to innovate and keep up with market changes, Boeing might prioritise knowledge application to increase product safety and efficiency. It is likely that both businesses will prosper. Their knowledge management campaigns are focused on the </w:t>
      </w:r>
      <w:proofErr w:type="gramStart"/>
      <w:r w:rsidRPr="008B15B4">
        <w:rPr>
          <w:rFonts w:ascii="Arial" w:eastAsia="Calibri" w:hAnsi="Arial" w:cs="Arial"/>
          <w:kern w:val="0"/>
          <w:lang w:val="en-GB"/>
          <w14:ligatures w14:val="none"/>
        </w:rPr>
        <w:t>particular challenges</w:t>
      </w:r>
      <w:proofErr w:type="gramEnd"/>
      <w:r w:rsidRPr="008B15B4">
        <w:rPr>
          <w:rFonts w:ascii="Arial" w:eastAsia="Calibri" w:hAnsi="Arial" w:cs="Arial"/>
          <w:kern w:val="0"/>
          <w:lang w:val="en-GB"/>
          <w14:ligatures w14:val="none"/>
        </w:rPr>
        <w:t xml:space="preserve"> and opportunities that their businesses present. They need to properly incorporate knowledge management and business strategy into their daily operations. </w:t>
      </w:r>
    </w:p>
    <w:p w14:paraId="0A2A7F4C"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12" w:name="_Toc160553668"/>
      <w:r w:rsidRPr="008B15B4">
        <w:rPr>
          <w:rFonts w:ascii="Arial" w:eastAsia="Times New Roman" w:hAnsi="Arial" w:cs="Arial"/>
          <w:b/>
          <w:kern w:val="0"/>
          <w:sz w:val="26"/>
          <w:szCs w:val="26"/>
          <w:lang w:val="en-GB"/>
          <w14:ligatures w14:val="none"/>
        </w:rPr>
        <w:t>4.2 Supporting IT Systems:</w:t>
      </w:r>
      <w:bookmarkEnd w:id="12"/>
    </w:p>
    <w:p w14:paraId="1B62337E" w14:textId="77777777" w:rsidR="008B15B4" w:rsidRPr="008B15B4" w:rsidRDefault="008B15B4" w:rsidP="008B15B4">
      <w:pPr>
        <w:rPr>
          <w:rFonts w:ascii="Calibri" w:eastAsia="Calibri" w:hAnsi="Calibri" w:cs="Times New Roman"/>
          <w:kern w:val="0"/>
          <w:lang w:val="en-GB"/>
          <w14:ligatures w14:val="none"/>
        </w:rPr>
      </w:pPr>
    </w:p>
    <w:p w14:paraId="215E3B0C"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 xml:space="preserve">Knowledge management systems (KMS) are backed by IT systems at Microsoft and Boeing, but they are used in different ways to satisfy different operational requirements. It is probable that Boeing use specialised software to replicate design and production procedures, project management tools to enable worldwide collaboration, and safe databases to preserve confidential technical and compliance data. Boeing makes use of such instruments. Boeing's requirements for accuracy, safety, and compliance are met by these IT systems. Nonetheless, Dynamics 365 for CRM, Microsoft Teams for messaging, and Azure for cloud processing and storage are all available to Microsoft. Microsoft gains greatly from these technologies. According to Fait et al. (2023), this demonstrates that Microsoft can enhance knowledge management and collaborative environments. These solutions highlight Microsoft's capabilities and aid in managing internal knowledge. The knowledge management system from Microsoft is enhanced by AI and machine </w:t>
      </w:r>
      <w:r w:rsidRPr="008B15B4">
        <w:rPr>
          <w:rFonts w:ascii="Arial" w:eastAsia="Calibri" w:hAnsi="Arial" w:cs="Arial"/>
          <w:kern w:val="0"/>
          <w:lang w:val="en-GB"/>
          <w14:ligatures w14:val="none"/>
        </w:rPr>
        <w:lastRenderedPageBreak/>
        <w:t xml:space="preserve">learning. Accurate insights and more complex data analysis are made possible by these technologies. Systems for information technology support the value chain of knowledge management. Knowledge acquisition is the first link in this chain, and application is the last. An examination of the knowledge management (KM) systems of Microsoft and Boeing reveals that both businesses use cutting-edge technology tailored to their specific operating environments. </w:t>
      </w:r>
    </w:p>
    <w:p w14:paraId="370BFFC5"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13" w:name="_Toc160553669"/>
      <w:r w:rsidRPr="008B15B4">
        <w:rPr>
          <w:rFonts w:ascii="Arial" w:eastAsia="Times New Roman" w:hAnsi="Arial" w:cs="Arial"/>
          <w:b/>
          <w:kern w:val="0"/>
          <w:sz w:val="26"/>
          <w:szCs w:val="26"/>
          <w:lang w:val="en-GB"/>
          <w14:ligatures w14:val="none"/>
        </w:rPr>
        <w:t>4.3 Deployment and Integration:</w:t>
      </w:r>
      <w:bookmarkEnd w:id="13"/>
    </w:p>
    <w:p w14:paraId="625FFC2F" w14:textId="77777777" w:rsidR="008B15B4" w:rsidRPr="008B15B4" w:rsidRDefault="008B15B4" w:rsidP="008B15B4">
      <w:pPr>
        <w:rPr>
          <w:rFonts w:ascii="Calibri" w:eastAsia="Calibri" w:hAnsi="Calibri" w:cs="Times New Roman"/>
          <w:kern w:val="0"/>
          <w:lang w:val="en-GB"/>
          <w14:ligatures w14:val="none"/>
        </w:rPr>
      </w:pPr>
    </w:p>
    <w:p w14:paraId="175A8C31"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 xml:space="preserve">For Boeing and Microsoft to increase innovation, operational effectiveness, and competitive advantage, Knowledge Management Systems (KMS) must be successfully incorporated into their business plans and day-to-day activities. Although both businesses are renowned for leveraging knowledge to achieve business outcomes, different operational contexts and strategic objectives are probably reflected in the way they implement and incorporate knowledge management systems (KMS) into their business plans. Boeing is aware that </w:t>
      </w:r>
      <w:proofErr w:type="gramStart"/>
      <w:r w:rsidRPr="008B15B4">
        <w:rPr>
          <w:rFonts w:ascii="Arial" w:eastAsia="Calibri" w:hAnsi="Arial" w:cs="Arial"/>
          <w:kern w:val="0"/>
          <w:lang w:val="en-GB"/>
          <w14:ligatures w14:val="none"/>
        </w:rPr>
        <w:t>in order to</w:t>
      </w:r>
      <w:proofErr w:type="gramEnd"/>
      <w:r w:rsidRPr="008B15B4">
        <w:rPr>
          <w:rFonts w:ascii="Arial" w:eastAsia="Calibri" w:hAnsi="Arial" w:cs="Arial"/>
          <w:kern w:val="0"/>
          <w:lang w:val="en-GB"/>
          <w14:ligatures w14:val="none"/>
        </w:rPr>
        <w:t xml:space="preserve"> guarantee safety, manage intricate aeronautical engineering procedures, and cooperate on projects with partners around the world, it must integrate and apply knowledge management systems (KMS). Boeing effectively incorporates its knowledge management system (KMS) to meet stringent safety and quality standards, improve design and production processes, and gather and disseminate tacit information. One method to get better is to exchange and analyse more data in real time. This enhancement enhances the decision-making support for dynamic operating scenarios. </w:t>
      </w:r>
      <w:r w:rsidRPr="008B15B4">
        <w:rPr>
          <w:rFonts w:ascii="Arial" w:eastAsia="Calibri" w:hAnsi="Arial" w:cs="Arial"/>
          <w:kern w:val="0"/>
          <w:lang w:val="en-GB"/>
          <w14:ligatures w14:val="none"/>
        </w:rPr>
        <w:br/>
        <w:t xml:space="preserve">Microsoft fosters innovation, product development, and customer relationships by incorporating knowledge management systems (KMS) into their business strategy. the three most important things. Its knowledge management system would prioritise cloud-based collaborative tools, data analytics platforms, and AI insights to expedite software development and service delivery. Microsoft's technology prowess enables it to react swiftly to changes in the market and in consumer preferences, which includes Knowledge Management System (KMS) integration. Tri Pujadi and Wahyu Sardjono (2018) recommend incorporating user feedback into product development and customising client experiences. It is possible to improve both problems. </w:t>
      </w:r>
    </w:p>
    <w:p w14:paraId="07C0E39C"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 xml:space="preserve">Microsoft and Boeing have also effectively integrated and deployed knowledge management systems. Both businesses have been successful in leveraging technology to enhance communication and creativity and matching KMS initiatives with organisational objectives. They must continuously modify KMS to new technology and market demands if they are to preserve their operational excellence and competitive edge. This needs to take place. This study integrates learnings from strategic integration approaches and general knowledge management </w:t>
      </w:r>
      <w:r w:rsidRPr="008B15B4">
        <w:rPr>
          <w:rFonts w:ascii="Arial" w:eastAsia="Calibri" w:hAnsi="Arial" w:cs="Arial"/>
          <w:kern w:val="0"/>
          <w:lang w:val="en-GB"/>
          <w14:ligatures w14:val="none"/>
        </w:rPr>
        <w:lastRenderedPageBreak/>
        <w:t xml:space="preserve">methodologies in global technology-driven sectors. More thorough explanations of Boeing and Microsoft's KMS integration and implementation procedures can be found in case studies and corporate publications. </w:t>
      </w:r>
    </w:p>
    <w:p w14:paraId="0DE886CE" w14:textId="77777777" w:rsidR="008B15B4" w:rsidRPr="008B15B4" w:rsidRDefault="008B15B4" w:rsidP="008B15B4">
      <w:pPr>
        <w:keepNext/>
        <w:keepLines/>
        <w:spacing w:before="240" w:after="0"/>
        <w:jc w:val="both"/>
        <w:outlineLvl w:val="0"/>
        <w:rPr>
          <w:rFonts w:ascii="Arial" w:eastAsia="Times New Roman" w:hAnsi="Arial" w:cs="Arial"/>
          <w:b/>
          <w:kern w:val="0"/>
          <w:sz w:val="32"/>
          <w:szCs w:val="32"/>
          <w14:ligatures w14:val="none"/>
        </w:rPr>
      </w:pPr>
      <w:bookmarkStart w:id="14" w:name="_Toc160553670"/>
      <w:r w:rsidRPr="008B15B4">
        <w:rPr>
          <w:rFonts w:ascii="Arial" w:eastAsia="Times New Roman" w:hAnsi="Arial" w:cs="Arial"/>
          <w:b/>
          <w:kern w:val="0"/>
          <w:sz w:val="32"/>
          <w:szCs w:val="32"/>
          <w14:ligatures w14:val="none"/>
        </w:rPr>
        <w:t>5. Recommendations</w:t>
      </w:r>
      <w:bookmarkEnd w:id="14"/>
    </w:p>
    <w:p w14:paraId="2C8849FB" w14:textId="77777777" w:rsidR="008B15B4" w:rsidRPr="008B15B4" w:rsidRDefault="008B15B4" w:rsidP="008B15B4">
      <w:pPr>
        <w:rPr>
          <w:rFonts w:ascii="Calibri" w:eastAsia="Calibri" w:hAnsi="Calibri" w:cs="Times New Roman"/>
          <w:kern w:val="0"/>
          <w14:ligatures w14:val="none"/>
        </w:rPr>
      </w:pPr>
    </w:p>
    <w:p w14:paraId="038ADE0E" w14:textId="6838947C"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15" w:name="_Toc160553671"/>
      <w:r w:rsidRPr="008B15B4">
        <w:rPr>
          <w:rFonts w:ascii="Arial" w:eastAsia="Times New Roman" w:hAnsi="Arial" w:cs="Arial"/>
          <w:b/>
          <w:kern w:val="0"/>
          <w:sz w:val="26"/>
          <w:szCs w:val="26"/>
          <w:lang w:val="en-GB"/>
          <w14:ligatures w14:val="none"/>
        </w:rPr>
        <w:t>5.1 Recommendations for KM Development (</w:t>
      </w:r>
      <w:r w:rsidR="00EC4232" w:rsidRPr="008B15B4">
        <w:rPr>
          <w:rFonts w:ascii="Arial" w:eastAsia="Times New Roman" w:hAnsi="Arial" w:cs="Arial"/>
          <w:b/>
          <w:kern w:val="0"/>
          <w:sz w:val="26"/>
          <w:szCs w:val="26"/>
          <w:lang w:val="en-GB"/>
          <w14:ligatures w14:val="none"/>
        </w:rPr>
        <w:t>Boeing</w:t>
      </w:r>
      <w:r w:rsidRPr="008B15B4">
        <w:rPr>
          <w:rFonts w:ascii="Arial" w:eastAsia="Times New Roman" w:hAnsi="Arial" w:cs="Arial"/>
          <w:b/>
          <w:kern w:val="0"/>
          <w:sz w:val="26"/>
          <w:szCs w:val="26"/>
          <w:lang w:val="en-GB"/>
          <w14:ligatures w14:val="none"/>
        </w:rPr>
        <w:t>):</w:t>
      </w:r>
      <w:bookmarkEnd w:id="15"/>
    </w:p>
    <w:p w14:paraId="01757796" w14:textId="77777777" w:rsidR="008B15B4" w:rsidRPr="008B15B4" w:rsidRDefault="008B15B4" w:rsidP="008B15B4">
      <w:pPr>
        <w:rPr>
          <w:rFonts w:ascii="Calibri" w:eastAsia="Calibri" w:hAnsi="Calibri" w:cs="Times New Roman"/>
          <w:kern w:val="0"/>
          <w:lang w:val="en-GB"/>
          <w14:ligatures w14:val="none"/>
        </w:rPr>
      </w:pPr>
    </w:p>
    <w:p w14:paraId="12796753" w14:textId="77777777" w:rsidR="008B15B4" w:rsidRPr="008B15B4" w:rsidRDefault="008B15B4" w:rsidP="008B15B4">
      <w:pPr>
        <w:autoSpaceDE w:val="0"/>
        <w:autoSpaceDN w:val="0"/>
        <w:adjustRightInd w:val="0"/>
        <w:spacing w:after="200"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To future-proof the organization and enhance its Knowledge Management (KM) capabilities, the following strategic recommendations are proposed:</w:t>
      </w:r>
    </w:p>
    <w:p w14:paraId="567D869C" w14:textId="77777777" w:rsidR="008B15B4" w:rsidRPr="008B15B4" w:rsidRDefault="008B15B4" w:rsidP="008B15B4">
      <w:pPr>
        <w:numPr>
          <w:ilvl w:val="0"/>
          <w:numId w:val="1"/>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Virtual Collaborative Tools Enhancement: </w:t>
      </w:r>
      <w:r w:rsidRPr="008B15B4">
        <w:rPr>
          <w:rFonts w:ascii="Arial" w:eastAsia="Calibri" w:hAnsi="Arial" w:cs="Arial"/>
          <w:kern w:val="0"/>
          <w:lang w:val="en-GB"/>
          <w14:ligatures w14:val="none"/>
        </w:rPr>
        <w:t>Leverage virtual collaborative tools to foster a culture of continuous learning and knowledge sharing. The integration of electronic knowledge databases with agile KM techniques can expedite access to information and foster teamwork (Tanpoco and Cordova, 2023).</w:t>
      </w:r>
    </w:p>
    <w:p w14:paraId="28A20180" w14:textId="7EEC7305" w:rsidR="008B15B4" w:rsidRPr="008B15B4" w:rsidRDefault="008B15B4" w:rsidP="008B15B4">
      <w:pPr>
        <w:numPr>
          <w:ilvl w:val="0"/>
          <w:numId w:val="1"/>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Communities of Practice: </w:t>
      </w:r>
      <w:r w:rsidRPr="008B15B4">
        <w:rPr>
          <w:rFonts w:ascii="Arial" w:eastAsia="Calibri" w:hAnsi="Arial" w:cs="Arial"/>
          <w:kern w:val="0"/>
          <w:lang w:val="en-GB"/>
          <w14:ligatures w14:val="none"/>
        </w:rPr>
        <w:t>Establish communities of practice to facilitate the exchange of knowledge among employees. This initiative can promote a collaborative environment where knowledge is not only shared but also enriched (Menkhoff</w:t>
      </w:r>
      <w:r w:rsidR="000B2026">
        <w:rPr>
          <w:rFonts w:ascii="Arial" w:eastAsia="Calibri" w:hAnsi="Arial" w:cs="Arial"/>
          <w:kern w:val="0"/>
          <w:lang w:val="en-GB"/>
          <w14:ligatures w14:val="none"/>
        </w:rPr>
        <w:t xml:space="preserve"> </w:t>
      </w:r>
      <w:r w:rsidRPr="008B15B4">
        <w:rPr>
          <w:rFonts w:ascii="Arial" w:eastAsia="Calibri" w:hAnsi="Arial" w:cs="Arial"/>
          <w:kern w:val="0"/>
          <w:lang w:val="en-GB"/>
          <w14:ligatures w14:val="none"/>
        </w:rPr>
        <w:t xml:space="preserve"> et al., 2022).</w:t>
      </w:r>
    </w:p>
    <w:p w14:paraId="6A20602B" w14:textId="77777777" w:rsidR="008B15B4" w:rsidRPr="008B15B4" w:rsidRDefault="008B15B4" w:rsidP="008B15B4">
      <w:pPr>
        <w:numPr>
          <w:ilvl w:val="0"/>
          <w:numId w:val="1"/>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Hybrid Working Patterns: </w:t>
      </w:r>
      <w:r w:rsidRPr="008B15B4">
        <w:rPr>
          <w:rFonts w:ascii="Arial" w:eastAsia="Calibri" w:hAnsi="Arial" w:cs="Arial"/>
          <w:kern w:val="0"/>
          <w:lang w:val="en-GB"/>
          <w14:ligatures w14:val="none"/>
        </w:rPr>
        <w:t>Adopt hybrid working patterns that accommodate both remote and in-person work environments. This flexibility can increase resilience and employee satisfaction, leading to enhanced organizational success (Tanpoco and Cordova, 2023).</w:t>
      </w:r>
    </w:p>
    <w:p w14:paraId="77163533" w14:textId="77777777" w:rsidR="008B15B4" w:rsidRPr="008B15B4" w:rsidRDefault="008B15B4" w:rsidP="008B15B4">
      <w:pPr>
        <w:numPr>
          <w:ilvl w:val="0"/>
          <w:numId w:val="1"/>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Knowledge Transition Strategies: </w:t>
      </w:r>
      <w:r w:rsidRPr="008B15B4">
        <w:rPr>
          <w:rFonts w:ascii="Arial" w:eastAsia="Calibri" w:hAnsi="Arial" w:cs="Arial"/>
          <w:kern w:val="0"/>
          <w:lang w:val="en-GB"/>
          <w14:ligatures w14:val="none"/>
        </w:rPr>
        <w:t>Implement strategies for effective knowledge transition to ensure critical knowledge is not lost due to employee turnover. Programs promoting mental health and work-life balance should be prioritized to retain key personnel (Tanpoco and Cordova, 2023).</w:t>
      </w:r>
    </w:p>
    <w:p w14:paraId="2A03CEBA" w14:textId="77777777" w:rsidR="008B15B4" w:rsidRPr="008B15B4" w:rsidRDefault="008B15B4" w:rsidP="008B15B4">
      <w:pPr>
        <w:numPr>
          <w:ilvl w:val="0"/>
          <w:numId w:val="1"/>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Ecological Knowledge Management Strategies: </w:t>
      </w:r>
      <w:r w:rsidRPr="008B15B4">
        <w:rPr>
          <w:rFonts w:ascii="Arial" w:eastAsia="Calibri" w:hAnsi="Arial" w:cs="Arial"/>
          <w:kern w:val="0"/>
          <w:lang w:val="en-GB"/>
          <w14:ligatures w14:val="none"/>
        </w:rPr>
        <w:t>Prioritize ecological KM strategies that emphasize sustainability and resilience. These strategies should focus on leveraging knowledge as a strategic resource to boost organizational resilience and competitiveness, particularly in industries like automotive parts in Guadalajara, Mexico (José Sánchez-Gutiérrez and Elsa Georgina González-Uribe, 2023)</w:t>
      </w:r>
    </w:p>
    <w:p w14:paraId="6F1E904E" w14:textId="77777777" w:rsidR="008B15B4" w:rsidRPr="008B15B4" w:rsidRDefault="008B15B4" w:rsidP="008B15B4">
      <w:pPr>
        <w:numPr>
          <w:ilvl w:val="0"/>
          <w:numId w:val="1"/>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lastRenderedPageBreak/>
        <w:t xml:space="preserve">Enhancing Human Resources Management: </w:t>
      </w:r>
      <w:r w:rsidRPr="008B15B4">
        <w:rPr>
          <w:rFonts w:ascii="Arial" w:eastAsia="Calibri" w:hAnsi="Arial" w:cs="Arial"/>
          <w:kern w:val="0"/>
          <w:lang w:val="en-GB"/>
          <w14:ligatures w14:val="none"/>
        </w:rPr>
        <w:t>Focus on improving the quality of human resources management and adapting to the dynamics of a learning organization open to innovation (Frâncu et al., 2022).</w:t>
      </w:r>
    </w:p>
    <w:p w14:paraId="0292FF45" w14:textId="77777777" w:rsidR="008B15B4" w:rsidRPr="008B15B4" w:rsidRDefault="008B15B4" w:rsidP="008B15B4">
      <w:pPr>
        <w:numPr>
          <w:ilvl w:val="0"/>
          <w:numId w:val="1"/>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Documentation and Preservation of Legacy: </w:t>
      </w:r>
      <w:r w:rsidRPr="008B15B4">
        <w:rPr>
          <w:rFonts w:ascii="Arial" w:eastAsia="Calibri" w:hAnsi="Arial" w:cs="Arial"/>
          <w:kern w:val="0"/>
          <w:lang w:val="en-GB"/>
          <w14:ligatures w14:val="none"/>
        </w:rPr>
        <w:t>For professional sports clubs and similar organizations, leveraging historical legacy through documentation, preservation, availability, and sharing of experiences can provide a competitive advantage and added value (2023).</w:t>
      </w:r>
    </w:p>
    <w:p w14:paraId="5C57A227" w14:textId="77777777" w:rsidR="008B15B4" w:rsidRPr="008B15B4" w:rsidRDefault="008B15B4" w:rsidP="008B15B4">
      <w:pPr>
        <w:numPr>
          <w:ilvl w:val="0"/>
          <w:numId w:val="1"/>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Incorporating Futures Research Techniques: </w:t>
      </w:r>
      <w:r w:rsidRPr="008B15B4">
        <w:rPr>
          <w:rFonts w:ascii="Arial" w:eastAsia="Calibri" w:hAnsi="Arial" w:cs="Arial"/>
          <w:kern w:val="0"/>
          <w:lang w:val="en-GB"/>
          <w14:ligatures w14:val="none"/>
        </w:rPr>
        <w:t>Integrate Futures Research techniques, such as Scenarios, Brainstorming, and Delphi, within the SECI knowledge creation and conversion model. This integration can enhance decision-making processes and competitive advantages by addressing limitations in producing unconventional knowledge (Augusto et al., 2023)</w:t>
      </w:r>
    </w:p>
    <w:p w14:paraId="28F492D4" w14:textId="77777777" w:rsidR="008B15B4" w:rsidRPr="008B15B4" w:rsidRDefault="008B15B4" w:rsidP="008B15B4">
      <w:pPr>
        <w:numPr>
          <w:ilvl w:val="0"/>
          <w:numId w:val="1"/>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Strategic Orientation and Analysis: </w:t>
      </w:r>
      <w:r w:rsidRPr="008B15B4">
        <w:rPr>
          <w:rFonts w:ascii="Arial" w:eastAsia="Calibri" w:hAnsi="Arial" w:cs="Arial"/>
          <w:kern w:val="0"/>
          <w:lang w:val="en-GB"/>
          <w14:ligatures w14:val="none"/>
        </w:rPr>
        <w:t>Focus on strategic orientation and thorough analysis of organizational knowledge and expertise. Effective utilization of these assets in a cross-administrative and multi-professional approach is crucial for integrated health and social care organizations (Hujala and Laihonen, 2022)</w:t>
      </w:r>
    </w:p>
    <w:p w14:paraId="49B1A5A2" w14:textId="77777777" w:rsidR="008B15B4" w:rsidRPr="008B15B4" w:rsidRDefault="008B15B4" w:rsidP="008B15B4">
      <w:pPr>
        <w:keepNext/>
        <w:keepLines/>
        <w:spacing w:before="40" w:after="0"/>
        <w:jc w:val="both"/>
        <w:outlineLvl w:val="1"/>
        <w:rPr>
          <w:rFonts w:ascii="Arial" w:eastAsia="Times New Roman" w:hAnsi="Arial" w:cs="Arial"/>
          <w:b/>
          <w:kern w:val="0"/>
          <w:sz w:val="26"/>
          <w:szCs w:val="26"/>
          <w:lang w:val="en-GB"/>
          <w14:ligatures w14:val="none"/>
        </w:rPr>
      </w:pPr>
      <w:bookmarkStart w:id="16" w:name="_Toc160553672"/>
      <w:r w:rsidRPr="008B15B4">
        <w:rPr>
          <w:rFonts w:ascii="Arial" w:eastAsia="Times New Roman" w:hAnsi="Arial" w:cs="Arial"/>
          <w:b/>
          <w:kern w:val="0"/>
          <w:sz w:val="26"/>
          <w:szCs w:val="26"/>
          <w:lang w:val="en-GB"/>
          <w14:ligatures w14:val="none"/>
        </w:rPr>
        <w:t>5.2 Recommendations for KM Development (Microsoft):</w:t>
      </w:r>
      <w:bookmarkEnd w:id="16"/>
    </w:p>
    <w:p w14:paraId="3F2C10CB" w14:textId="77777777" w:rsidR="008B15B4" w:rsidRPr="008B15B4" w:rsidRDefault="008B15B4" w:rsidP="008B15B4">
      <w:pPr>
        <w:rPr>
          <w:rFonts w:ascii="Calibri" w:eastAsia="Calibri" w:hAnsi="Calibri" w:cs="Times New Roman"/>
          <w:kern w:val="0"/>
          <w:lang w:val="en-GB"/>
          <w14:ligatures w14:val="none"/>
        </w:rPr>
      </w:pPr>
    </w:p>
    <w:p w14:paraId="188D0687" w14:textId="77777777" w:rsidR="008B15B4" w:rsidRPr="008B15B4" w:rsidRDefault="008B15B4" w:rsidP="008B15B4">
      <w:pPr>
        <w:numPr>
          <w:ilvl w:val="0"/>
          <w:numId w:val="2"/>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People, Process, and Technology Strategies: </w:t>
      </w:r>
      <w:r w:rsidRPr="008B15B4">
        <w:rPr>
          <w:rFonts w:ascii="Arial" w:eastAsia="Calibri" w:hAnsi="Arial" w:cs="Arial"/>
          <w:kern w:val="0"/>
          <w:lang w:val="en-GB"/>
          <w14:ligatures w14:val="none"/>
        </w:rPr>
        <w:t>Success requires a complete plan that considers people, procedures, and technology. Cahyaningsih et al. (2016) recommend including category-specific risk assessments to provide comprehensive knowledge management.</w:t>
      </w:r>
      <w:r w:rsidRPr="008B15B4">
        <w:rPr>
          <w:rFonts w:ascii="Calibri" w:eastAsia="Calibri" w:hAnsi="Calibri" w:cs="Times New Roman"/>
          <w:kern w:val="0"/>
          <w:lang w:val="en-GB"/>
          <w14:ligatures w14:val="none"/>
        </w:rPr>
        <w:t xml:space="preserve"> </w:t>
      </w:r>
    </w:p>
    <w:p w14:paraId="75402728" w14:textId="77777777" w:rsidR="008B15B4" w:rsidRPr="008B15B4" w:rsidRDefault="008B15B4" w:rsidP="008B15B4">
      <w:pPr>
        <w:numPr>
          <w:ilvl w:val="0"/>
          <w:numId w:val="2"/>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Intellectual Property and Intangible Assets: </w:t>
      </w:r>
      <w:r w:rsidRPr="008B15B4">
        <w:rPr>
          <w:rFonts w:ascii="Arial" w:eastAsia="Calibri" w:hAnsi="Arial" w:cs="Arial"/>
          <w:kern w:val="0"/>
          <w:lang w:val="en-GB"/>
          <w14:ligatures w14:val="none"/>
        </w:rPr>
        <w:t>To gain long-term competitive advantages, IP and intangible assets must be assessed. OECD Guidelines, corporate governance rules, and EU best practises can boost intangible asset value and technical leadership (Chiladze). Maintaining technology leadership does both.</w:t>
      </w:r>
    </w:p>
    <w:p w14:paraId="392B19A0" w14:textId="2849B923" w:rsidR="008B15B4" w:rsidRPr="008B15B4" w:rsidRDefault="008B15B4" w:rsidP="008B15B4">
      <w:pPr>
        <w:numPr>
          <w:ilvl w:val="0"/>
          <w:numId w:val="2"/>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Internal Communication and Coordination: </w:t>
      </w:r>
      <w:r w:rsidRPr="008B15B4">
        <w:rPr>
          <w:rFonts w:ascii="Arial" w:eastAsia="Calibri" w:hAnsi="Arial" w:cs="Arial"/>
          <w:kern w:val="0"/>
          <w:lang w:val="en-GB"/>
          <w14:ligatures w14:val="none"/>
        </w:rPr>
        <w:t xml:space="preserve">Enhance internal communication and coordination to achieve optimal financial results. Strategic managers should align individual teams internally to </w:t>
      </w:r>
      <w:r w:rsidRPr="008B15B4">
        <w:rPr>
          <w:rFonts w:ascii="Arial" w:eastAsia="Calibri" w:hAnsi="Arial" w:cs="Arial"/>
          <w:kern w:val="0"/>
          <w:lang w:val="en-GB"/>
          <w14:ligatures w14:val="none"/>
        </w:rPr>
        <w:t>fulfil</w:t>
      </w:r>
      <w:r w:rsidRPr="008B15B4">
        <w:rPr>
          <w:rFonts w:ascii="Arial" w:eastAsia="Calibri" w:hAnsi="Arial" w:cs="Arial"/>
          <w:kern w:val="0"/>
          <w:lang w:val="en-GB"/>
          <w14:ligatures w14:val="none"/>
        </w:rPr>
        <w:t xml:space="preserve"> the organization's vision, mission, and strategic goals (Rabrenović et al.).</w:t>
      </w:r>
    </w:p>
    <w:p w14:paraId="4582DEC6" w14:textId="77777777" w:rsidR="008B15B4" w:rsidRPr="008B15B4" w:rsidRDefault="008B15B4" w:rsidP="008B15B4">
      <w:pPr>
        <w:numPr>
          <w:ilvl w:val="0"/>
          <w:numId w:val="2"/>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lastRenderedPageBreak/>
        <w:t xml:space="preserve">Address Knowledge Worker Shortages: </w:t>
      </w:r>
      <w:r w:rsidRPr="008B15B4">
        <w:rPr>
          <w:rFonts w:ascii="Arial" w:eastAsia="Calibri" w:hAnsi="Arial" w:cs="Arial"/>
          <w:kern w:val="0"/>
          <w:lang w:val="en-GB"/>
          <w14:ligatures w14:val="none"/>
        </w:rPr>
        <w:t>Implement strategic talent management focusing on the retention, development, and training of Human Resource Organization Development (HROD) professionals (Pobst, 2014).</w:t>
      </w:r>
    </w:p>
    <w:p w14:paraId="48A92EFE" w14:textId="77777777" w:rsidR="008B15B4" w:rsidRPr="008B15B4" w:rsidRDefault="008B15B4" w:rsidP="008B15B4">
      <w:pPr>
        <w:numPr>
          <w:ilvl w:val="0"/>
          <w:numId w:val="2"/>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Personalized Online Course Recommendations: </w:t>
      </w:r>
      <w:r w:rsidRPr="008B15B4">
        <w:rPr>
          <w:rFonts w:ascii="Arial" w:eastAsia="Calibri" w:hAnsi="Arial" w:cs="Arial"/>
          <w:kern w:val="0"/>
          <w:lang w:val="en-GB"/>
          <w14:ligatures w14:val="none"/>
        </w:rPr>
        <w:t>Develop personalized and explainable online course recommendations to enhance employee training and development through a Bayesian Variational Approach, considering employees' current competencies and career development preferences (Wang et al., 2021).</w:t>
      </w:r>
    </w:p>
    <w:p w14:paraId="1D7C90AE" w14:textId="77777777" w:rsidR="008B15B4" w:rsidRPr="008B15B4" w:rsidRDefault="008B15B4" w:rsidP="008B15B4">
      <w:pPr>
        <w:numPr>
          <w:ilvl w:val="0"/>
          <w:numId w:val="2"/>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Strategic Management Implementation: </w:t>
      </w:r>
      <w:r w:rsidRPr="008B15B4">
        <w:rPr>
          <w:rFonts w:ascii="Arial" w:eastAsia="Calibri" w:hAnsi="Arial" w:cs="Arial"/>
          <w:kern w:val="0"/>
          <w:lang w:val="en-GB"/>
          <w14:ligatures w14:val="none"/>
        </w:rPr>
        <w:t>Implement all stages of strategic management, including setting annual targets, policy development, stimulating employees, resource allocation, and developing human capital skills and knowledge, particularly in sectors like banking to enhance organizational performance (Obaid and Karthingesu, 2019).</w:t>
      </w:r>
    </w:p>
    <w:p w14:paraId="4EC724D9" w14:textId="77777777" w:rsidR="008B15B4" w:rsidRPr="008B15B4" w:rsidRDefault="008B15B4" w:rsidP="008B15B4">
      <w:pPr>
        <w:numPr>
          <w:ilvl w:val="0"/>
          <w:numId w:val="2"/>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Investing in HR Strategy and IS/IT Alignment: </w:t>
      </w:r>
      <w:r w:rsidRPr="008B15B4">
        <w:rPr>
          <w:rFonts w:ascii="Arial" w:eastAsia="Calibri" w:hAnsi="Arial" w:cs="Arial"/>
          <w:kern w:val="0"/>
          <w:lang w:val="en-GB"/>
          <w14:ligatures w14:val="none"/>
        </w:rPr>
        <w:t>Invest in employees' knowledge of HR strategy alongside prioritizing IS/IT issues to ensure alignment between human resource strategy and technology (Mshana).</w:t>
      </w:r>
    </w:p>
    <w:p w14:paraId="48DD772B" w14:textId="77777777" w:rsidR="008B15B4" w:rsidRPr="008B15B4" w:rsidRDefault="008B15B4" w:rsidP="008B15B4">
      <w:pPr>
        <w:numPr>
          <w:ilvl w:val="0"/>
          <w:numId w:val="2"/>
        </w:numPr>
        <w:autoSpaceDE w:val="0"/>
        <w:autoSpaceDN w:val="0"/>
        <w:adjustRightInd w:val="0"/>
        <w:spacing w:after="200" w:line="360" w:lineRule="auto"/>
        <w:ind w:left="720" w:hanging="360"/>
        <w:jc w:val="both"/>
        <w:rPr>
          <w:rFonts w:ascii="Arial" w:eastAsia="Calibri" w:hAnsi="Arial" w:cs="Arial"/>
          <w:kern w:val="0"/>
          <w:lang w:val="en-GB"/>
          <w14:ligatures w14:val="none"/>
        </w:rPr>
      </w:pPr>
      <w:r w:rsidRPr="008B15B4">
        <w:rPr>
          <w:rFonts w:ascii="Arial" w:eastAsia="Calibri" w:hAnsi="Arial" w:cs="Arial"/>
          <w:b/>
          <w:bCs/>
          <w:kern w:val="0"/>
          <w:lang w:val="en-GB"/>
          <w14:ligatures w14:val="none"/>
        </w:rPr>
        <w:t xml:space="preserve">Comprehensive Action Plans for Career Pipeline: </w:t>
      </w:r>
      <w:r w:rsidRPr="008B15B4">
        <w:rPr>
          <w:rFonts w:ascii="Arial" w:eastAsia="Calibri" w:hAnsi="Arial" w:cs="Arial"/>
          <w:kern w:val="0"/>
          <w:lang w:val="en-GB"/>
          <w14:ligatures w14:val="none"/>
        </w:rPr>
        <w:t>Develop comprehensive action plans targeting various stages of the career pipeline in specific sectors such as transportation system operations and management (SOM) to attract, recruit, develop, and retain staff effectively (Cook et al., 2012).</w:t>
      </w:r>
    </w:p>
    <w:p w14:paraId="73317A65" w14:textId="77777777" w:rsidR="008B15B4" w:rsidRPr="008B15B4" w:rsidRDefault="008B15B4" w:rsidP="008B15B4">
      <w:pPr>
        <w:keepNext/>
        <w:keepLines/>
        <w:spacing w:before="240" w:after="0"/>
        <w:jc w:val="both"/>
        <w:outlineLvl w:val="0"/>
        <w:rPr>
          <w:rFonts w:ascii="Arial" w:eastAsia="Times New Roman" w:hAnsi="Arial" w:cs="Arial"/>
          <w:b/>
          <w:kern w:val="0"/>
          <w:sz w:val="32"/>
          <w:szCs w:val="32"/>
          <w14:ligatures w14:val="none"/>
        </w:rPr>
      </w:pPr>
      <w:bookmarkStart w:id="17" w:name="_Toc160553673"/>
      <w:r w:rsidRPr="008B15B4">
        <w:rPr>
          <w:rFonts w:ascii="Arial" w:eastAsia="Times New Roman" w:hAnsi="Arial" w:cs="Arial"/>
          <w:b/>
          <w:kern w:val="0"/>
          <w:sz w:val="32"/>
          <w:szCs w:val="32"/>
          <w14:ligatures w14:val="none"/>
        </w:rPr>
        <w:t>6. Conclusion</w:t>
      </w:r>
      <w:bookmarkEnd w:id="17"/>
    </w:p>
    <w:p w14:paraId="4C31635C" w14:textId="77777777" w:rsidR="008B15B4" w:rsidRPr="008B15B4" w:rsidRDefault="008B15B4" w:rsidP="008B15B4">
      <w:pPr>
        <w:rPr>
          <w:rFonts w:ascii="Calibri" w:eastAsia="Calibri" w:hAnsi="Calibri" w:cs="Times New Roman"/>
          <w:kern w:val="0"/>
          <w14:ligatures w14:val="none"/>
        </w:rPr>
      </w:pPr>
    </w:p>
    <w:p w14:paraId="1DBDA534" w14:textId="77777777" w:rsidR="008B15B4" w:rsidRPr="008B15B4" w:rsidRDefault="008B15B4" w:rsidP="008B15B4">
      <w:pPr>
        <w:spacing w:line="360" w:lineRule="auto"/>
        <w:jc w:val="both"/>
        <w:rPr>
          <w:rFonts w:ascii="Arial" w:eastAsia="Calibri" w:hAnsi="Arial" w:cs="Arial"/>
          <w:kern w:val="0"/>
          <w:lang w:val="en-GB"/>
          <w14:ligatures w14:val="none"/>
        </w:rPr>
      </w:pPr>
      <w:r w:rsidRPr="008B15B4">
        <w:rPr>
          <w:rFonts w:ascii="Arial" w:eastAsia="Calibri" w:hAnsi="Arial" w:cs="Arial"/>
          <w:kern w:val="0"/>
          <w:lang w:val="en-GB"/>
          <w14:ligatures w14:val="none"/>
        </w:rPr>
        <w:t xml:space="preserve">The strategic significance of knowledge management (KM) in obtaining a competitive edge in the dynamic business world is examined in this study. To achieve this, it examined the knowledge management (KM) systems of two of the most well-known businesses. By aligning their knowledge management strategies with their corporate objectives, both businesses hope to achieve long-term success. This is what both organisations strive for. This is shown by the thorough TOWS analysis, critical evaluations, and tactical recommendations. Each company faces different knowledge management obstacles and benefits. </w:t>
      </w:r>
      <w:proofErr w:type="gramStart"/>
      <w:r w:rsidRPr="008B15B4">
        <w:rPr>
          <w:rFonts w:ascii="Arial" w:eastAsia="Calibri" w:hAnsi="Arial" w:cs="Arial"/>
          <w:kern w:val="0"/>
          <w:lang w:val="en-GB"/>
          <w14:ligatures w14:val="none"/>
        </w:rPr>
        <w:t>In order to</w:t>
      </w:r>
      <w:proofErr w:type="gramEnd"/>
      <w:r w:rsidRPr="008B15B4">
        <w:rPr>
          <w:rFonts w:ascii="Arial" w:eastAsia="Calibri" w:hAnsi="Arial" w:cs="Arial"/>
          <w:kern w:val="0"/>
          <w:lang w:val="en-GB"/>
          <w14:ligatures w14:val="none"/>
        </w:rPr>
        <w:t xml:space="preserve"> secure knowledge management's future in dynamic business contexts, companies need to foster an atmosphere that rewards innovation and incorporates knowledge management practices into business strategy. To ensure quality management in dynamic market conditions and combine knowledge management with business strategy, businesses use SWOT-TOWS analysis. Quality 4.0 is very </w:t>
      </w:r>
      <w:r w:rsidRPr="008B15B4">
        <w:rPr>
          <w:rFonts w:ascii="Arial" w:eastAsia="Calibri" w:hAnsi="Arial" w:cs="Arial"/>
          <w:kern w:val="0"/>
          <w:lang w:val="en-GB"/>
          <w14:ligatures w14:val="none"/>
        </w:rPr>
        <w:lastRenderedPageBreak/>
        <w:t xml:space="preserve">advantageous. Gaining a competitive edge comes from increased creativity, effectiveness, and quality. </w:t>
      </w:r>
      <w:r w:rsidRPr="008B15B4">
        <w:rPr>
          <w:rFonts w:ascii="Arial" w:eastAsia="Calibri" w:hAnsi="Arial" w:cs="Arial"/>
          <w:kern w:val="0"/>
          <w:lang w:val="en-GB"/>
          <w14:ligatures w14:val="none"/>
        </w:rPr>
        <w:br/>
        <w:t xml:space="preserve">It is imperative that knowledge management strategies align with firm strategies. This relationship guarantees a sustained competitive advantage, streamlines innovation, and boosts performance. Enterprises need to cultivate a climate of education, collaboration, and strategic vision while modifying their knowledge management strategies to align with the evolving business landscape. They will be capable of managing the complexities of a contemporary business and creating strategies for sustained success. </w:t>
      </w:r>
    </w:p>
    <w:p w14:paraId="0F777B22" w14:textId="77777777" w:rsidR="008B15B4" w:rsidRPr="008B15B4" w:rsidRDefault="008B15B4" w:rsidP="008B15B4">
      <w:pPr>
        <w:spacing w:line="360" w:lineRule="auto"/>
        <w:jc w:val="both"/>
        <w:rPr>
          <w:rFonts w:ascii="Arial" w:eastAsia="Calibri" w:hAnsi="Arial" w:cs="Arial"/>
          <w:kern w:val="0"/>
          <w:lang w:val="en-GB"/>
          <w14:ligatures w14:val="none"/>
        </w:rPr>
      </w:pPr>
    </w:p>
    <w:bookmarkStart w:id="18" w:name="_Toc160553674" w:displacedByCustomXml="next"/>
    <w:sdt>
      <w:sdtPr>
        <w:rPr>
          <w:rFonts w:ascii="Calibri" w:eastAsia="Calibri" w:hAnsi="Calibri" w:cs="Times New Roman"/>
          <w:kern w:val="0"/>
          <w:lang w:val="en-GB"/>
          <w14:ligatures w14:val="none"/>
        </w:rPr>
        <w:id w:val="1342818014"/>
        <w:docPartObj>
          <w:docPartGallery w:val="Bibliographies"/>
          <w:docPartUnique/>
        </w:docPartObj>
      </w:sdtPr>
      <w:sdtContent>
        <w:p w14:paraId="75BB8683" w14:textId="77777777" w:rsidR="008B15B4" w:rsidRPr="008B15B4" w:rsidRDefault="008B15B4" w:rsidP="008B15B4">
          <w:pPr>
            <w:keepNext/>
            <w:keepLines/>
            <w:spacing w:before="240" w:after="0"/>
            <w:jc w:val="both"/>
            <w:outlineLvl w:val="0"/>
            <w:rPr>
              <w:rFonts w:ascii="Arial" w:eastAsia="Times New Roman" w:hAnsi="Arial" w:cs="Arial"/>
              <w:b/>
              <w:kern w:val="0"/>
              <w:sz w:val="32"/>
              <w:szCs w:val="32"/>
              <w14:ligatures w14:val="none"/>
            </w:rPr>
          </w:pPr>
          <w:r w:rsidRPr="008B15B4">
            <w:rPr>
              <w:rFonts w:ascii="Arial" w:eastAsia="Times New Roman" w:hAnsi="Arial" w:cs="Arial"/>
              <w:b/>
              <w:kern w:val="0"/>
              <w:sz w:val="32"/>
              <w:szCs w:val="32"/>
              <w14:ligatures w14:val="none"/>
            </w:rPr>
            <w:t>References</w:t>
          </w:r>
          <w:bookmarkEnd w:id="18"/>
        </w:p>
        <w:p w14:paraId="36245483" w14:textId="77777777" w:rsidR="008B15B4" w:rsidRPr="008B15B4" w:rsidRDefault="008B15B4" w:rsidP="008B15B4">
          <w:pPr>
            <w:rPr>
              <w:rFonts w:ascii="Calibri" w:eastAsia="Calibri" w:hAnsi="Calibri" w:cs="Times New Roman"/>
              <w:kern w:val="0"/>
              <w:lang w:val="en-GB"/>
              <w14:ligatures w14:val="none"/>
            </w:rPr>
          </w:pPr>
        </w:p>
        <w:sdt>
          <w:sdtPr>
            <w:rPr>
              <w:rFonts w:ascii="Calibri" w:eastAsia="Calibri" w:hAnsi="Calibri" w:cs="Times New Roman"/>
              <w:kern w:val="0"/>
              <w:lang w:val="en-GB"/>
              <w14:ligatures w14:val="none"/>
            </w:rPr>
            <w:id w:val="-573587230"/>
            <w:bibliography/>
          </w:sdtPr>
          <w:sdtContent>
            <w:p w14:paraId="2ACB086C"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Velazco, J.J.H.G., Ripoll, R.R., Hernandez, A.C.C., &amp; Pesantez, L.B.T. (2021). Examining knowledge management and its critical role in 21st-century organizational success. </w:t>
              </w:r>
              <w:proofErr w:type="spellStart"/>
              <w:r w:rsidRPr="008B15B4">
                <w:rPr>
                  <w:rFonts w:ascii="Calibri" w:eastAsia="Calibri" w:hAnsi="Calibri" w:cs="Calibri"/>
                  <w:kern w:val="0"/>
                  <w:lang w:val="en-GB"/>
                  <w14:ligatures w14:val="none"/>
                </w:rPr>
                <w:t>Revista</w:t>
              </w:r>
              <w:proofErr w:type="spellEnd"/>
              <w:r w:rsidRPr="008B15B4">
                <w:rPr>
                  <w:rFonts w:ascii="Calibri" w:eastAsia="Calibri" w:hAnsi="Calibri" w:cs="Calibri"/>
                  <w:kern w:val="0"/>
                  <w:lang w:val="en-GB"/>
                  <w14:ligatures w14:val="none"/>
                </w:rPr>
                <w:t xml:space="preserve"> Venezolana de </w:t>
              </w:r>
              <w:proofErr w:type="spellStart"/>
              <w:r w:rsidRPr="008B15B4">
                <w:rPr>
                  <w:rFonts w:ascii="Calibri" w:eastAsia="Calibri" w:hAnsi="Calibri" w:cs="Calibri"/>
                  <w:kern w:val="0"/>
                  <w:lang w:val="en-GB"/>
                  <w14:ligatures w14:val="none"/>
                </w:rPr>
                <w:t>Gerencia</w:t>
              </w:r>
              <w:proofErr w:type="spellEnd"/>
              <w:r w:rsidRPr="008B15B4">
                <w:rPr>
                  <w:rFonts w:ascii="Calibri" w:eastAsia="Calibri" w:hAnsi="Calibri" w:cs="Calibri"/>
                  <w:kern w:val="0"/>
                  <w:lang w:val="en-GB"/>
                  <w14:ligatures w14:val="none"/>
                </w:rPr>
                <w:t xml:space="preserve">, 26(6), 65–81. </w:t>
              </w:r>
              <w:hyperlink r:id="rId9" w:history="1">
                <w:r w:rsidRPr="008B15B4">
                  <w:rPr>
                    <w:rFonts w:ascii="Calibri" w:eastAsia="Calibri" w:hAnsi="Calibri" w:cs="Calibri"/>
                    <w:kern w:val="0"/>
                    <w:lang w:val="en-GB"/>
                    <w14:ligatures w14:val="none"/>
                  </w:rPr>
                  <w:t>https://doi.org/10.52080/rvgluz.26.e6.5</w:t>
                </w:r>
              </w:hyperlink>
              <w:r w:rsidRPr="008B15B4">
                <w:rPr>
                  <w:rFonts w:ascii="Calibri" w:eastAsia="Calibri" w:hAnsi="Calibri" w:cs="Calibri"/>
                  <w:kern w:val="0"/>
                  <w:lang w:val="en-GB"/>
                  <w14:ligatures w14:val="none"/>
                </w:rPr>
                <w:t>.</w:t>
              </w:r>
            </w:p>
            <w:p w14:paraId="4A0EE11D"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Amelia, R., </w:t>
              </w:r>
              <w:proofErr w:type="spellStart"/>
              <w:r w:rsidRPr="008B15B4">
                <w:rPr>
                  <w:rFonts w:ascii="Calibri" w:eastAsia="Calibri" w:hAnsi="Calibri" w:cs="Calibri"/>
                  <w:kern w:val="0"/>
                  <w:lang w:val="en-GB"/>
                  <w14:ligatures w14:val="none"/>
                </w:rPr>
                <w:t>Endrastaty</w:t>
              </w:r>
              <w:proofErr w:type="spellEnd"/>
              <w:r w:rsidRPr="008B15B4">
                <w:rPr>
                  <w:rFonts w:ascii="Calibri" w:eastAsia="Calibri" w:hAnsi="Calibri" w:cs="Calibri"/>
                  <w:kern w:val="0"/>
                  <w:lang w:val="en-GB"/>
                  <w14:ligatures w14:val="none"/>
                </w:rPr>
                <w:t xml:space="preserve">, A., &amp; </w:t>
              </w:r>
              <w:proofErr w:type="spellStart"/>
              <w:r w:rsidRPr="008B15B4">
                <w:rPr>
                  <w:rFonts w:ascii="Calibri" w:eastAsia="Calibri" w:hAnsi="Calibri" w:cs="Calibri"/>
                  <w:kern w:val="0"/>
                  <w:lang w:val="en-GB"/>
                  <w14:ligatures w14:val="none"/>
                </w:rPr>
                <w:t>Sensuse</w:t>
              </w:r>
              <w:proofErr w:type="spellEnd"/>
              <w:r w:rsidRPr="008B15B4">
                <w:rPr>
                  <w:rFonts w:ascii="Calibri" w:eastAsia="Calibri" w:hAnsi="Calibri" w:cs="Calibri"/>
                  <w:kern w:val="0"/>
                  <w:lang w:val="en-GB"/>
                  <w14:ligatures w14:val="none"/>
                </w:rPr>
                <w:t xml:space="preserve">, D.I. (2022). Exploring critical success factors in knowledge management implementation at BPKP. </w:t>
              </w:r>
              <w:hyperlink r:id="rId10" w:history="1">
                <w:r w:rsidRPr="008B15B4">
                  <w:rPr>
                    <w:rFonts w:ascii="Calibri" w:eastAsia="Calibri" w:hAnsi="Calibri" w:cs="Calibri"/>
                    <w:kern w:val="0"/>
                    <w:lang w:val="en-GB"/>
                    <w14:ligatures w14:val="none"/>
                  </w:rPr>
                  <w:t>https://doi.org/10.1109/icisit54091.2022.9872767</w:t>
                </w:r>
              </w:hyperlink>
              <w:r w:rsidRPr="008B15B4">
                <w:rPr>
                  <w:rFonts w:ascii="Calibri" w:eastAsia="Calibri" w:hAnsi="Calibri" w:cs="Calibri"/>
                  <w:kern w:val="0"/>
                  <w:lang w:val="en-GB"/>
                  <w14:ligatures w14:val="none"/>
                </w:rPr>
                <w:t>.</w:t>
              </w:r>
            </w:p>
            <w:p w14:paraId="37DEF31F"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Jing, Y. (2024). </w:t>
              </w:r>
              <w:proofErr w:type="spellStart"/>
              <w:r w:rsidRPr="008B15B4">
                <w:rPr>
                  <w:rFonts w:ascii="Calibri" w:eastAsia="Calibri" w:hAnsi="Calibri" w:cs="Calibri"/>
                  <w:kern w:val="0"/>
                  <w:lang w:val="en-GB"/>
                  <w14:ligatures w14:val="none"/>
                </w:rPr>
                <w:t>Analyzing</w:t>
              </w:r>
              <w:proofErr w:type="spellEnd"/>
              <w:r w:rsidRPr="008B15B4">
                <w:rPr>
                  <w:rFonts w:ascii="Calibri" w:eastAsia="Calibri" w:hAnsi="Calibri" w:cs="Calibri"/>
                  <w:kern w:val="0"/>
                  <w:lang w:val="en-GB"/>
                  <w14:ligatures w14:val="none"/>
                </w:rPr>
                <w:t xml:space="preserve"> risk management in the airline supply chain: A case study of Boeing Company. Interdisciplinary Humanities and Communication Studies, 1(5). </w:t>
              </w:r>
              <w:hyperlink r:id="rId11" w:history="1">
                <w:r w:rsidRPr="008B15B4">
                  <w:rPr>
                    <w:rFonts w:ascii="Calibri" w:eastAsia="Calibri" w:hAnsi="Calibri" w:cs="Calibri"/>
                    <w:kern w:val="0"/>
                    <w:lang w:val="en-GB"/>
                    <w14:ligatures w14:val="none"/>
                  </w:rPr>
                  <w:t>https://doi.org/10.61173/grg8sa04</w:t>
                </w:r>
              </w:hyperlink>
              <w:r w:rsidRPr="008B15B4">
                <w:rPr>
                  <w:rFonts w:ascii="Calibri" w:eastAsia="Calibri" w:hAnsi="Calibri" w:cs="Calibri"/>
                  <w:kern w:val="0"/>
                  <w:lang w:val="en-GB"/>
                  <w14:ligatures w14:val="none"/>
                </w:rPr>
                <w:t>.</w:t>
              </w:r>
            </w:p>
            <w:p w14:paraId="7F21C114" w14:textId="0DE690D1"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Neamtu, L. &amp; Neamtu, A.C. (2017). A complex market analysis model for strategic business decisions. Management Strategies Journal, 35(1), 311-319.</w:t>
              </w:r>
              <w:r w:rsidR="004C7179">
                <w:rPr>
                  <w:rFonts w:ascii="Calibri" w:eastAsia="Calibri" w:hAnsi="Calibri" w:cs="Calibri"/>
                  <w:kern w:val="0"/>
                  <w:lang w:val="en-GB"/>
                  <w14:ligatures w14:val="none"/>
                </w:rPr>
                <w:t xml:space="preserve"> </w:t>
              </w:r>
            </w:p>
            <w:p w14:paraId="4CF90DC8"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Liu, Y. (2023). Digital evolution and strategy of Microsoft: A financial and Porter's model analysis. Highlights in Business Economics and Management, 23, 1171–1179. </w:t>
              </w:r>
              <w:hyperlink r:id="rId12" w:history="1">
                <w:r w:rsidRPr="008B15B4">
                  <w:rPr>
                    <w:rFonts w:ascii="Calibri" w:eastAsia="Calibri" w:hAnsi="Calibri" w:cs="Calibri"/>
                    <w:kern w:val="0"/>
                    <w:lang w:val="en-GB"/>
                    <w14:ligatures w14:val="none"/>
                  </w:rPr>
                  <w:t>https://doi.org/10.54097/7q5nes25</w:t>
                </w:r>
              </w:hyperlink>
              <w:r w:rsidRPr="008B15B4">
                <w:rPr>
                  <w:rFonts w:ascii="Calibri" w:eastAsia="Calibri" w:hAnsi="Calibri" w:cs="Calibri"/>
                  <w:kern w:val="0"/>
                  <w:lang w:val="en-GB"/>
                  <w14:ligatures w14:val="none"/>
                </w:rPr>
                <w:t>.</w:t>
              </w:r>
            </w:p>
            <w:p w14:paraId="099292B1"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Ma, Y. (2023). Comparative investment value analysis of Amazon, Microsoft, and Apple. Highlights in Business, Economics and Management, 13, 231–235. </w:t>
              </w:r>
              <w:hyperlink r:id="rId13" w:history="1">
                <w:r w:rsidRPr="008B15B4">
                  <w:rPr>
                    <w:rFonts w:ascii="Calibri" w:eastAsia="Calibri" w:hAnsi="Calibri" w:cs="Calibri"/>
                    <w:kern w:val="0"/>
                    <w:lang w:val="en-GB"/>
                    <w14:ligatures w14:val="none"/>
                  </w:rPr>
                  <w:t>https://doi.org/10.54097/hbem.v13i.8825</w:t>
                </w:r>
              </w:hyperlink>
              <w:r w:rsidRPr="008B15B4">
                <w:rPr>
                  <w:rFonts w:ascii="Calibri" w:eastAsia="Calibri" w:hAnsi="Calibri" w:cs="Calibri"/>
                  <w:kern w:val="0"/>
                  <w:lang w:val="en-GB"/>
                  <w14:ligatures w14:val="none"/>
                </w:rPr>
                <w:t>.</w:t>
              </w:r>
            </w:p>
            <w:p w14:paraId="57124C64"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proofErr w:type="spellStart"/>
              <w:r w:rsidRPr="008B15B4">
                <w:rPr>
                  <w:rFonts w:ascii="Calibri" w:eastAsia="Calibri" w:hAnsi="Calibri" w:cs="Calibri"/>
                  <w:kern w:val="0"/>
                  <w:lang w:val="en-GB"/>
                  <w14:ligatures w14:val="none"/>
                </w:rPr>
                <w:t>Miļelsone</w:t>
              </w:r>
              <w:proofErr w:type="spellEnd"/>
              <w:r w:rsidRPr="008B15B4">
                <w:rPr>
                  <w:rFonts w:ascii="Calibri" w:eastAsia="Calibri" w:hAnsi="Calibri" w:cs="Calibri"/>
                  <w:kern w:val="0"/>
                  <w:lang w:val="en-GB"/>
                  <w14:ligatures w14:val="none"/>
                </w:rPr>
                <w:t xml:space="preserve">, E., Volkova, T., &amp; Liela, E. (2019). Web-based idea management systems: Potential benefits based on practical evidence. </w:t>
              </w:r>
              <w:hyperlink r:id="rId14" w:history="1">
                <w:r w:rsidRPr="008B15B4">
                  <w:rPr>
                    <w:rFonts w:ascii="Calibri" w:eastAsia="Calibri" w:hAnsi="Calibri" w:cs="Calibri"/>
                    <w:kern w:val="0"/>
                    <w:lang w:val="en-GB"/>
                    <w14:ligatures w14:val="none"/>
                  </w:rPr>
                  <w:t>https://dx.doi.org/10.17770/etr2019vol2.4166</w:t>
                </w:r>
              </w:hyperlink>
              <w:r w:rsidRPr="008B15B4">
                <w:rPr>
                  <w:rFonts w:ascii="Calibri" w:eastAsia="Calibri" w:hAnsi="Calibri" w:cs="Calibri"/>
                  <w:kern w:val="0"/>
                  <w:lang w:val="en-GB"/>
                  <w14:ligatures w14:val="none"/>
                </w:rPr>
                <w:t>.</w:t>
              </w:r>
            </w:p>
            <w:p w14:paraId="74098C17"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lastRenderedPageBreak/>
                <w:t xml:space="preserve">Illiashenko, S., </w:t>
              </w:r>
              <w:proofErr w:type="spellStart"/>
              <w:r w:rsidRPr="008B15B4">
                <w:rPr>
                  <w:rFonts w:ascii="Calibri" w:eastAsia="Calibri" w:hAnsi="Calibri" w:cs="Calibri"/>
                  <w:kern w:val="0"/>
                  <w:lang w:val="en-GB"/>
                  <w14:ligatures w14:val="none"/>
                </w:rPr>
                <w:t>Shypulina</w:t>
              </w:r>
              <w:proofErr w:type="spellEnd"/>
              <w:r w:rsidRPr="008B15B4">
                <w:rPr>
                  <w:rFonts w:ascii="Calibri" w:eastAsia="Calibri" w:hAnsi="Calibri" w:cs="Calibri"/>
                  <w:kern w:val="0"/>
                  <w:lang w:val="en-GB"/>
                  <w14:ligatures w14:val="none"/>
                </w:rPr>
                <w:t xml:space="preserve">, Y.S., Illiashenko, N., </w:t>
              </w:r>
              <w:proofErr w:type="spellStart"/>
              <w:r w:rsidRPr="008B15B4">
                <w:rPr>
                  <w:rFonts w:ascii="Calibri" w:eastAsia="Calibri" w:hAnsi="Calibri" w:cs="Calibri"/>
                  <w:kern w:val="0"/>
                  <w:lang w:val="en-GB"/>
                  <w14:ligatures w14:val="none"/>
                </w:rPr>
                <w:t>Gryshchenko</w:t>
              </w:r>
              <w:proofErr w:type="spellEnd"/>
              <w:r w:rsidRPr="008B15B4">
                <w:rPr>
                  <w:rFonts w:ascii="Calibri" w:eastAsia="Calibri" w:hAnsi="Calibri" w:cs="Calibri"/>
                  <w:kern w:val="0"/>
                  <w:lang w:val="en-GB"/>
                  <w14:ligatures w14:val="none"/>
                </w:rPr>
                <w:t xml:space="preserve">, O., &amp; </w:t>
              </w:r>
              <w:proofErr w:type="spellStart"/>
              <w:r w:rsidRPr="008B15B4">
                <w:rPr>
                  <w:rFonts w:ascii="Calibri" w:eastAsia="Calibri" w:hAnsi="Calibri" w:cs="Calibri"/>
                  <w:kern w:val="0"/>
                  <w:lang w:val="en-GB"/>
                  <w14:ligatures w14:val="none"/>
                </w:rPr>
                <w:t>Derykolenko</w:t>
              </w:r>
              <w:proofErr w:type="spellEnd"/>
              <w:r w:rsidRPr="008B15B4">
                <w:rPr>
                  <w:rFonts w:ascii="Calibri" w:eastAsia="Calibri" w:hAnsi="Calibri" w:cs="Calibri"/>
                  <w:kern w:val="0"/>
                  <w:lang w:val="en-GB"/>
                  <w14:ligatures w14:val="none"/>
                </w:rPr>
                <w:t xml:space="preserve">, A. (2020). Knowledge management in Ukrainian industrial enterprises for innovative development. Emerging Markets Journal, 10(1). </w:t>
              </w:r>
              <w:hyperlink r:id="rId15" w:history="1">
                <w:r w:rsidRPr="008B15B4">
                  <w:rPr>
                    <w:rFonts w:ascii="Calibri" w:eastAsia="Calibri" w:hAnsi="Calibri" w:cs="Calibri"/>
                    <w:kern w:val="0"/>
                    <w:lang w:val="en-GB"/>
                    <w14:ligatures w14:val="none"/>
                  </w:rPr>
                  <w:t>https://dx.doi.org/10.2478/emj-2020-0018</w:t>
                </w:r>
              </w:hyperlink>
              <w:r w:rsidRPr="008B15B4">
                <w:rPr>
                  <w:rFonts w:ascii="Calibri" w:eastAsia="Calibri" w:hAnsi="Calibri" w:cs="Calibri"/>
                  <w:kern w:val="0"/>
                  <w:lang w:val="en-GB"/>
                  <w14:ligatures w14:val="none"/>
                </w:rPr>
                <w:t>.</w:t>
              </w:r>
            </w:p>
            <w:p w14:paraId="2D50408C"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Liu, G.-S., Zheng, T.-T., Yi, H.-G., &amp; Ding, T.-X. (2023). Integrating and evaluating cloud knowledge capabilities using a maturity model. IEEE Engineering Management Review, 51(3), 93–108. </w:t>
              </w:r>
              <w:hyperlink r:id="rId16" w:history="1">
                <w:r w:rsidRPr="008B15B4">
                  <w:rPr>
                    <w:rFonts w:ascii="Calibri" w:eastAsia="Calibri" w:hAnsi="Calibri" w:cs="Calibri"/>
                    <w:kern w:val="0"/>
                    <w:lang w:val="en-GB"/>
                    <w14:ligatures w14:val="none"/>
                  </w:rPr>
                  <w:t>https://doi.org/10.1109/emr.2023.3280311</w:t>
                </w:r>
              </w:hyperlink>
              <w:r w:rsidRPr="008B15B4">
                <w:rPr>
                  <w:rFonts w:ascii="Calibri" w:eastAsia="Calibri" w:hAnsi="Calibri" w:cs="Calibri"/>
                  <w:kern w:val="0"/>
                  <w:lang w:val="en-GB"/>
                  <w14:ligatures w14:val="none"/>
                </w:rPr>
                <w:t>.</w:t>
              </w:r>
            </w:p>
            <w:p w14:paraId="7AC90DCD"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proofErr w:type="spellStart"/>
              <w:r w:rsidRPr="008B15B4">
                <w:rPr>
                  <w:rFonts w:ascii="Calibri" w:eastAsia="Calibri" w:hAnsi="Calibri" w:cs="Calibri"/>
                  <w:kern w:val="0"/>
                  <w:lang w:val="en-GB"/>
                  <w14:ligatures w14:val="none"/>
                </w:rPr>
                <w:t>Wiesneth</w:t>
              </w:r>
              <w:proofErr w:type="spellEnd"/>
              <w:r w:rsidRPr="008B15B4">
                <w:rPr>
                  <w:rFonts w:ascii="Calibri" w:eastAsia="Calibri" w:hAnsi="Calibri" w:cs="Calibri"/>
                  <w:kern w:val="0"/>
                  <w:lang w:val="en-GB"/>
                  <w14:ligatures w14:val="none"/>
                </w:rPr>
                <w:t>, K. (2017). Contributions of enterprise social networks to knowledge management research: Actor roles, formal hierarchies, and network evolution.</w:t>
              </w:r>
            </w:p>
            <w:p w14:paraId="0E23749A"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proofErr w:type="spellStart"/>
              <w:r w:rsidRPr="008B15B4">
                <w:rPr>
                  <w:rFonts w:ascii="Calibri" w:eastAsia="Calibri" w:hAnsi="Calibri" w:cs="Calibri"/>
                  <w:kern w:val="0"/>
                  <w:lang w:val="en-GB"/>
                  <w14:ligatures w14:val="none"/>
                </w:rPr>
                <w:t>Fait</w:t>
              </w:r>
              <w:proofErr w:type="spellEnd"/>
              <w:r w:rsidRPr="008B15B4">
                <w:rPr>
                  <w:rFonts w:ascii="Calibri" w:eastAsia="Calibri" w:hAnsi="Calibri" w:cs="Calibri"/>
                  <w:kern w:val="0"/>
                  <w:lang w:val="en-GB"/>
                  <w14:ligatures w14:val="none"/>
                </w:rPr>
                <w:t xml:space="preserve">, M., Palladino, R., </w:t>
              </w:r>
              <w:proofErr w:type="spellStart"/>
              <w:r w:rsidRPr="008B15B4">
                <w:rPr>
                  <w:rFonts w:ascii="Calibri" w:eastAsia="Calibri" w:hAnsi="Calibri" w:cs="Calibri"/>
                  <w:kern w:val="0"/>
                  <w:lang w:val="en-GB"/>
                  <w14:ligatures w14:val="none"/>
                </w:rPr>
                <w:t>Mennini</w:t>
              </w:r>
              <w:proofErr w:type="spellEnd"/>
              <w:r w:rsidRPr="008B15B4">
                <w:rPr>
                  <w:rFonts w:ascii="Calibri" w:eastAsia="Calibri" w:hAnsi="Calibri" w:cs="Calibri"/>
                  <w:kern w:val="0"/>
                  <w:lang w:val="en-GB"/>
                  <w14:ligatures w14:val="none"/>
                </w:rPr>
                <w:t xml:space="preserve">, F.S., Graziano, D., &amp; Manzo, M. (2023). Driving knowledge brokerage for dynamic capabilities in sustainable supply chains. Journal of Knowledge Management. </w:t>
              </w:r>
              <w:hyperlink r:id="rId17" w:history="1">
                <w:r w:rsidRPr="008B15B4">
                  <w:rPr>
                    <w:rFonts w:ascii="Calibri" w:eastAsia="Calibri" w:hAnsi="Calibri" w:cs="Calibri"/>
                    <w:kern w:val="0"/>
                    <w:lang w:val="en-GB"/>
                    <w14:ligatures w14:val="none"/>
                  </w:rPr>
                  <w:t>https://doi.org/10.1108/jkm-07-2022-0601</w:t>
                </w:r>
              </w:hyperlink>
              <w:r w:rsidRPr="008B15B4">
                <w:rPr>
                  <w:rFonts w:ascii="Calibri" w:eastAsia="Calibri" w:hAnsi="Calibri" w:cs="Calibri"/>
                  <w:kern w:val="0"/>
                  <w:lang w:val="en-GB"/>
                  <w14:ligatures w14:val="none"/>
                </w:rPr>
                <w:t>.</w:t>
              </w:r>
            </w:p>
            <w:p w14:paraId="013CE6A1"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Pujadi, T. &amp; Sardjono, W. (2018). Assessing a knowledge management system for disaster management through factor analysis. </w:t>
              </w:r>
              <w:hyperlink r:id="rId18" w:history="1">
                <w:r w:rsidRPr="008B15B4">
                  <w:rPr>
                    <w:rFonts w:ascii="Calibri" w:eastAsia="Calibri" w:hAnsi="Calibri" w:cs="Calibri"/>
                    <w:kern w:val="0"/>
                    <w:lang w:val="en-GB"/>
                    <w14:ligatures w14:val="none"/>
                  </w:rPr>
                  <w:t>https://doi.org/10.1109/icimtech.2018.8528129</w:t>
                </w:r>
              </w:hyperlink>
              <w:r w:rsidRPr="008B15B4">
                <w:rPr>
                  <w:rFonts w:ascii="Calibri" w:eastAsia="Calibri" w:hAnsi="Calibri" w:cs="Calibri"/>
                  <w:kern w:val="0"/>
                  <w:lang w:val="en-GB"/>
                  <w14:ligatures w14:val="none"/>
                </w:rPr>
                <w:t>.</w:t>
              </w:r>
            </w:p>
            <w:p w14:paraId="18686830"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Tanpoco, M. &amp; Cordova, W. (2023). Ecological knowledge management in the workplace: Pandemic lessons. E3S Web of Conferences, 460, 05026. </w:t>
              </w:r>
              <w:hyperlink r:id="rId19" w:history="1">
                <w:r w:rsidRPr="008B15B4">
                  <w:rPr>
                    <w:rFonts w:ascii="Calibri" w:eastAsia="Calibri" w:hAnsi="Calibri" w:cs="Calibri"/>
                    <w:kern w:val="0"/>
                    <w:lang w:val="en-GB"/>
                    <w14:ligatures w14:val="none"/>
                  </w:rPr>
                  <w:t>https://doi.org/10.1051/e3sconf/202346005026</w:t>
                </w:r>
              </w:hyperlink>
              <w:r w:rsidRPr="008B15B4">
                <w:rPr>
                  <w:rFonts w:ascii="Calibri" w:eastAsia="Calibri" w:hAnsi="Calibri" w:cs="Calibri"/>
                  <w:kern w:val="0"/>
                  <w:lang w:val="en-GB"/>
                  <w14:ligatures w14:val="none"/>
                </w:rPr>
                <w:t>.</w:t>
              </w:r>
            </w:p>
            <w:p w14:paraId="7871A7AB"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Menkhoff, T., Kan, S.N., &amp; Tan, E. (2022). UAV technology in higher education: A knowledge management case study. </w:t>
              </w:r>
              <w:hyperlink r:id="rId20" w:history="1">
                <w:r w:rsidRPr="008B15B4">
                  <w:rPr>
                    <w:rFonts w:ascii="Calibri" w:eastAsia="Calibri" w:hAnsi="Calibri" w:cs="Calibri"/>
                    <w:kern w:val="0"/>
                    <w:lang w:val="en-GB"/>
                    <w14:ligatures w14:val="none"/>
                  </w:rPr>
                  <w:t>https://dx.doi.org/10.34105/j.kmel.2022.14.013</w:t>
                </w:r>
              </w:hyperlink>
              <w:r w:rsidRPr="008B15B4">
                <w:rPr>
                  <w:rFonts w:ascii="Calibri" w:eastAsia="Calibri" w:hAnsi="Calibri" w:cs="Calibri"/>
                  <w:kern w:val="0"/>
                  <w:lang w:val="en-GB"/>
                  <w14:ligatures w14:val="none"/>
                </w:rPr>
                <w:t>.</w:t>
              </w:r>
            </w:p>
            <w:p w14:paraId="3B3A333C"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Sánchez-Gutiérrez, J. &amp; González-Uribe, E.G. (2023). Knowledge management's critical factors for SME competitiveness in the automotive parts sector in Guadalajara, Mexico. Skyline Business Journal, 19(01), 44–60. </w:t>
              </w:r>
              <w:hyperlink r:id="rId21" w:history="1">
                <w:r w:rsidRPr="008B15B4">
                  <w:rPr>
                    <w:rFonts w:ascii="Calibri" w:eastAsia="Calibri" w:hAnsi="Calibri" w:cs="Calibri"/>
                    <w:kern w:val="0"/>
                    <w:lang w:val="en-GB"/>
                    <w14:ligatures w14:val="none"/>
                  </w:rPr>
                  <w:t>https://doi.org/10.37383/sbj190103</w:t>
                </w:r>
              </w:hyperlink>
              <w:r w:rsidRPr="008B15B4">
                <w:rPr>
                  <w:rFonts w:ascii="Calibri" w:eastAsia="Calibri" w:hAnsi="Calibri" w:cs="Calibri"/>
                  <w:kern w:val="0"/>
                  <w:lang w:val="en-GB"/>
                  <w14:ligatures w14:val="none"/>
                </w:rPr>
                <w:t>.</w:t>
              </w:r>
            </w:p>
            <w:p w14:paraId="42CC5A71"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Frâncu, L., et al. (2022). Future organizational HR management. </w:t>
              </w:r>
              <w:hyperlink r:id="rId22" w:history="1">
                <w:r w:rsidRPr="008B15B4">
                  <w:rPr>
                    <w:rFonts w:ascii="Calibri" w:eastAsia="Calibri" w:hAnsi="Calibri" w:cs="Calibri"/>
                    <w:kern w:val="0"/>
                    <w:lang w:val="en-GB"/>
                    <w14:ligatures w14:val="none"/>
                  </w:rPr>
                  <w:t>https://dx.doi.org/10.24818/imc/2021/02.12</w:t>
                </w:r>
              </w:hyperlink>
              <w:r w:rsidRPr="008B15B4">
                <w:rPr>
                  <w:rFonts w:ascii="Calibri" w:eastAsia="Calibri" w:hAnsi="Calibri" w:cs="Calibri"/>
                  <w:kern w:val="0"/>
                  <w:lang w:val="en-GB"/>
                  <w14:ligatures w14:val="none"/>
                </w:rPr>
                <w:t>.</w:t>
              </w:r>
            </w:p>
            <w:p w14:paraId="34B66C21"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Hujala, T. &amp; Laihonen, H. (2022). Knowledge management in integrated health and social care: </w:t>
              </w:r>
              <w:proofErr w:type="spellStart"/>
              <w:r w:rsidRPr="008B15B4">
                <w:rPr>
                  <w:rFonts w:ascii="Calibri" w:eastAsia="Calibri" w:hAnsi="Calibri" w:cs="Calibri"/>
                  <w:kern w:val="0"/>
                  <w:lang w:val="en-GB"/>
                  <w14:ligatures w14:val="none"/>
                </w:rPr>
                <w:t>Keusote's</w:t>
              </w:r>
              <w:proofErr w:type="spellEnd"/>
              <w:r w:rsidRPr="008B15B4">
                <w:rPr>
                  <w:rFonts w:ascii="Calibri" w:eastAsia="Calibri" w:hAnsi="Calibri" w:cs="Calibri"/>
                  <w:kern w:val="0"/>
                  <w:lang w:val="en-GB"/>
                  <w14:ligatures w14:val="none"/>
                </w:rPr>
                <w:t xml:space="preserve"> case study. European Conference on Knowledge Management, 23(2), 1321–1328. </w:t>
              </w:r>
              <w:hyperlink r:id="rId23" w:history="1">
                <w:r w:rsidRPr="008B15B4">
                  <w:rPr>
                    <w:rFonts w:ascii="Calibri" w:eastAsia="Calibri" w:hAnsi="Calibri" w:cs="Calibri"/>
                    <w:kern w:val="0"/>
                    <w:lang w:val="en-GB"/>
                    <w14:ligatures w14:val="none"/>
                  </w:rPr>
                  <w:t>https://doi.org/10.34190/eckm.23.2.616</w:t>
                </w:r>
              </w:hyperlink>
              <w:r w:rsidRPr="008B15B4">
                <w:rPr>
                  <w:rFonts w:ascii="Calibri" w:eastAsia="Calibri" w:hAnsi="Calibri" w:cs="Calibri"/>
                  <w:kern w:val="0"/>
                  <w:lang w:val="en-GB"/>
                  <w14:ligatures w14:val="none"/>
                </w:rPr>
                <w:t>.</w:t>
              </w:r>
            </w:p>
            <w:p w14:paraId="555F07FA"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Augusto, J., </w:t>
              </w:r>
              <w:proofErr w:type="spellStart"/>
              <w:r w:rsidRPr="008B15B4">
                <w:rPr>
                  <w:rFonts w:ascii="Calibri" w:eastAsia="Calibri" w:hAnsi="Calibri" w:cs="Calibri"/>
                  <w:kern w:val="0"/>
                  <w:lang w:val="en-GB"/>
                  <w14:ligatures w14:val="none"/>
                </w:rPr>
                <w:t>Argôlo</w:t>
              </w:r>
              <w:proofErr w:type="spellEnd"/>
              <w:r w:rsidRPr="008B15B4">
                <w:rPr>
                  <w:rFonts w:ascii="Calibri" w:eastAsia="Calibri" w:hAnsi="Calibri" w:cs="Calibri"/>
                  <w:kern w:val="0"/>
                  <w:lang w:val="en-GB"/>
                  <w14:ligatures w14:val="none"/>
                </w:rPr>
                <w:t xml:space="preserve">, M., Barbosa, C.E., Oliveira, Y., Dos Santos, H., Lyra, A., &amp; De Souza, J. (2023). Identifying knowledge management processes in futures research. European Conference on Knowledge Management, 24(1), 275–283. </w:t>
              </w:r>
              <w:hyperlink r:id="rId24" w:history="1">
                <w:r w:rsidRPr="008B15B4">
                  <w:rPr>
                    <w:rFonts w:ascii="Calibri" w:eastAsia="Calibri" w:hAnsi="Calibri" w:cs="Calibri"/>
                    <w:kern w:val="0"/>
                    <w:lang w:val="en-GB"/>
                    <w14:ligatures w14:val="none"/>
                  </w:rPr>
                  <w:t>https://doi.org/10.34190/eckm.24.1.1476</w:t>
                </w:r>
              </w:hyperlink>
              <w:r w:rsidRPr="008B15B4">
                <w:rPr>
                  <w:rFonts w:ascii="Calibri" w:eastAsia="Calibri" w:hAnsi="Calibri" w:cs="Calibri"/>
                  <w:kern w:val="0"/>
                  <w:lang w:val="en-GB"/>
                  <w14:ligatures w14:val="none"/>
                </w:rPr>
                <w:t>.</w:t>
              </w:r>
            </w:p>
            <w:p w14:paraId="39C1E16E"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 xml:space="preserve">Cahyaningsih, E., </w:t>
              </w:r>
              <w:proofErr w:type="spellStart"/>
              <w:r w:rsidRPr="008B15B4">
                <w:rPr>
                  <w:rFonts w:ascii="Calibri" w:eastAsia="Calibri" w:hAnsi="Calibri" w:cs="Calibri"/>
                  <w:kern w:val="0"/>
                  <w:lang w:val="en-GB"/>
                  <w14:ligatures w14:val="none"/>
                </w:rPr>
                <w:t>Sensuse</w:t>
              </w:r>
              <w:proofErr w:type="spellEnd"/>
              <w:r w:rsidRPr="008B15B4">
                <w:rPr>
                  <w:rFonts w:ascii="Calibri" w:eastAsia="Calibri" w:hAnsi="Calibri" w:cs="Calibri"/>
                  <w:kern w:val="0"/>
                  <w:lang w:val="en-GB"/>
                  <w14:ligatures w14:val="none"/>
                </w:rPr>
                <w:t xml:space="preserve">, D.I., </w:t>
              </w:r>
              <w:proofErr w:type="spellStart"/>
              <w:r w:rsidRPr="008B15B4">
                <w:rPr>
                  <w:rFonts w:ascii="Calibri" w:eastAsia="Calibri" w:hAnsi="Calibri" w:cs="Calibri"/>
                  <w:kern w:val="0"/>
                  <w:lang w:val="en-GB"/>
                  <w14:ligatures w14:val="none"/>
                </w:rPr>
                <w:t>Arymurthi</w:t>
              </w:r>
              <w:proofErr w:type="spellEnd"/>
              <w:r w:rsidRPr="008B15B4">
                <w:rPr>
                  <w:rFonts w:ascii="Calibri" w:eastAsia="Calibri" w:hAnsi="Calibri" w:cs="Calibri"/>
                  <w:kern w:val="0"/>
                  <w:lang w:val="en-GB"/>
                  <w14:ligatures w14:val="none"/>
                </w:rPr>
                <w:t xml:space="preserve">, A.M., &amp; Wibowo, W.C. (2016). Government human capital management: A knowledge management strategy. </w:t>
              </w:r>
              <w:hyperlink r:id="rId25" w:history="1">
                <w:r w:rsidRPr="008B15B4">
                  <w:rPr>
                    <w:rFonts w:ascii="Calibri" w:eastAsia="Calibri" w:hAnsi="Calibri" w:cs="Calibri"/>
                    <w:kern w:val="0"/>
                    <w:lang w:val="en-GB"/>
                    <w14:ligatures w14:val="none"/>
                  </w:rPr>
                  <w:t>https://doi.org/10.1109/scored.2016.7810038</w:t>
                </w:r>
              </w:hyperlink>
              <w:r w:rsidRPr="008B15B4">
                <w:rPr>
                  <w:rFonts w:ascii="Calibri" w:eastAsia="Calibri" w:hAnsi="Calibri" w:cs="Calibri"/>
                  <w:kern w:val="0"/>
                  <w:lang w:val="en-GB"/>
                  <w14:ligatures w14:val="none"/>
                </w:rPr>
                <w:t>.</w:t>
              </w:r>
            </w:p>
            <w:p w14:paraId="5DF20A1B"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lastRenderedPageBreak/>
                <w:t>Chiladze, G. Strategic and innovative aspects of intellectual property management in Georgian state-owned enterprises.</w:t>
              </w:r>
            </w:p>
            <w:p w14:paraId="297AA326"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Rabrenović, D., Mitrović, R., &amp; Kovačević, B. Exploring the relationship between strategic management, public relations, and financial performance.</w:t>
              </w:r>
            </w:p>
            <w:p w14:paraId="60D1AD83"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Pobst, G.F. (2014). Addressing knowledge worker shortages through strategic talent management.</w:t>
              </w:r>
            </w:p>
            <w:p w14:paraId="66FA6A15"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Wang, C., Zhu, H., Wang, P., Zhu, C., Zhang, X., Chen, E., &amp; Xiong, H. (2021). Personalized employee training course recommendations using a Bayesian variational approach.</w:t>
              </w:r>
            </w:p>
            <w:p w14:paraId="2FC48C42"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Calibri"/>
                  <w:kern w:val="0"/>
                  <w:lang w:val="en-GB"/>
                  <w14:ligatures w14:val="none"/>
                </w:rPr>
              </w:pPr>
              <w:r w:rsidRPr="008B15B4">
                <w:rPr>
                  <w:rFonts w:ascii="Calibri" w:eastAsia="Calibri" w:hAnsi="Calibri" w:cs="Calibri"/>
                  <w:kern w:val="0"/>
                  <w:lang w:val="en-GB"/>
                  <w14:ligatures w14:val="none"/>
                </w:rPr>
                <w:t>Obaid, A.F.M., &amp; Karthingesu, I.T. (2019). The impact of strategic management on organizational performance in Palestinian banks.</w:t>
              </w:r>
            </w:p>
            <w:p w14:paraId="224597A5" w14:textId="77777777" w:rsidR="008B15B4" w:rsidRPr="008B15B4" w:rsidRDefault="008B15B4" w:rsidP="008B15B4">
              <w:pPr>
                <w:numPr>
                  <w:ilvl w:val="0"/>
                  <w:numId w:val="3"/>
                </w:numPr>
                <w:autoSpaceDE w:val="0"/>
                <w:autoSpaceDN w:val="0"/>
                <w:adjustRightInd w:val="0"/>
                <w:spacing w:after="200" w:line="360" w:lineRule="auto"/>
                <w:contextualSpacing/>
                <w:jc w:val="both"/>
                <w:rPr>
                  <w:rFonts w:ascii="Calibri" w:eastAsia="Calibri" w:hAnsi="Calibri" w:cs="Times New Roman"/>
                  <w:kern w:val="0"/>
                  <w:lang w:val="en-GB"/>
                  <w14:ligatures w14:val="none"/>
                </w:rPr>
              </w:pPr>
              <w:r w:rsidRPr="008B15B4">
                <w:rPr>
                  <w:rFonts w:ascii="Calibri" w:eastAsia="Calibri" w:hAnsi="Calibri" w:cs="Calibri"/>
                  <w:kern w:val="0"/>
                  <w:lang w:val="en-GB"/>
                  <w14:ligatures w14:val="none"/>
                </w:rPr>
                <w:t xml:space="preserve">Cook, A., Anderson, L., Cronin, B., &amp; </w:t>
              </w:r>
              <w:proofErr w:type="spellStart"/>
              <w:r w:rsidRPr="008B15B4">
                <w:rPr>
                  <w:rFonts w:ascii="Calibri" w:eastAsia="Calibri" w:hAnsi="Calibri" w:cs="Calibri"/>
                  <w:kern w:val="0"/>
                  <w:lang w:val="en-GB"/>
                  <w14:ligatures w14:val="none"/>
                </w:rPr>
                <w:t>Fien</w:t>
              </w:r>
              <w:proofErr w:type="spellEnd"/>
              <w:r w:rsidRPr="008B15B4">
                <w:rPr>
                  <w:rFonts w:ascii="Calibri" w:eastAsia="Calibri" w:hAnsi="Calibri" w:cs="Calibri"/>
                  <w:kern w:val="0"/>
                  <w:lang w:val="en-GB"/>
                  <w14:ligatures w14:val="none"/>
                </w:rPr>
                <w:t>-Helfman, D. (2012). Strategies for workforce development in system operations and management.</w:t>
              </w:r>
            </w:p>
          </w:sdtContent>
        </w:sdt>
      </w:sdtContent>
    </w:sdt>
    <w:p w14:paraId="62D75C59" w14:textId="77777777" w:rsidR="008B15B4" w:rsidRPr="008B15B4" w:rsidRDefault="008B15B4" w:rsidP="008B15B4">
      <w:pPr>
        <w:spacing w:line="360" w:lineRule="auto"/>
        <w:rPr>
          <w:rFonts w:ascii="Arial" w:eastAsia="Calibri" w:hAnsi="Arial" w:cs="Arial"/>
          <w:kern w:val="0"/>
          <w:lang w:val="en-GB"/>
          <w14:ligatures w14:val="none"/>
        </w:rPr>
      </w:pPr>
    </w:p>
    <w:p w14:paraId="0D77E126" w14:textId="77777777" w:rsidR="00006492" w:rsidRDefault="00006492"/>
    <w:sectPr w:rsidR="00006492" w:rsidSect="00313444">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pgNumType w:chapStyle="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240D9" w14:textId="77777777" w:rsidR="00313444" w:rsidRDefault="00313444" w:rsidP="008B15B4">
      <w:pPr>
        <w:spacing w:after="0" w:line="240" w:lineRule="auto"/>
      </w:pPr>
      <w:r>
        <w:separator/>
      </w:r>
    </w:p>
  </w:endnote>
  <w:endnote w:type="continuationSeparator" w:id="0">
    <w:p w14:paraId="243C660D" w14:textId="77777777" w:rsidR="00313444" w:rsidRDefault="00313444" w:rsidP="008B1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8E7E6" w14:textId="77777777" w:rsidR="008E5E75" w:rsidRDefault="008E5E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2268541"/>
      <w:docPartObj>
        <w:docPartGallery w:val="Page Numbers (Bottom of Page)"/>
        <w:docPartUnique/>
      </w:docPartObj>
    </w:sdtPr>
    <w:sdtContent>
      <w:p w14:paraId="50C5CF61" w14:textId="4C2AD005" w:rsidR="00EC4232" w:rsidRDefault="00EC4232">
        <w:pPr>
          <w:pStyle w:val="Footer"/>
          <w:jc w:val="right"/>
        </w:pPr>
        <w:r>
          <w:ptab w:relativeTo="margin" w:alignment="right" w:leader="none"/>
        </w:r>
        <w:r>
          <w:fldChar w:fldCharType="begin"/>
        </w:r>
        <w:r>
          <w:instrText>PAGE   \* MERGEFORMAT</w:instrText>
        </w:r>
        <w:r>
          <w:fldChar w:fldCharType="separate"/>
        </w:r>
        <w:r>
          <w:rPr>
            <w:lang w:val="en-GB"/>
          </w:rPr>
          <w:t>2</w:t>
        </w:r>
        <w:r>
          <w:fldChar w:fldCharType="end"/>
        </w:r>
      </w:p>
    </w:sdtContent>
  </w:sdt>
  <w:p w14:paraId="058EA3E5" w14:textId="003F2282" w:rsidR="00EC4232" w:rsidRDefault="00EC42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479F1" w14:textId="77777777" w:rsidR="008E5E75" w:rsidRDefault="008E5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56397" w14:textId="77777777" w:rsidR="00313444" w:rsidRDefault="00313444" w:rsidP="008B15B4">
      <w:pPr>
        <w:spacing w:after="0" w:line="240" w:lineRule="auto"/>
      </w:pPr>
      <w:r>
        <w:separator/>
      </w:r>
    </w:p>
  </w:footnote>
  <w:footnote w:type="continuationSeparator" w:id="0">
    <w:p w14:paraId="6EFDA330" w14:textId="77777777" w:rsidR="00313444" w:rsidRDefault="00313444" w:rsidP="008B1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6560A" w14:textId="77777777" w:rsidR="008E5E75" w:rsidRDefault="008E5E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B2DED" w14:textId="77777777" w:rsidR="008E5E75" w:rsidRDefault="008E5E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ACCAB" w14:textId="77777777" w:rsidR="008E5E75" w:rsidRDefault="008E5E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40410"/>
    <w:multiLevelType w:val="singleLevel"/>
    <w:tmpl w:val="FED01864"/>
    <w:lvl w:ilvl="0">
      <w:start w:val="1"/>
      <w:numFmt w:val="decimal"/>
      <w:lvlText w:val="%1."/>
      <w:legacy w:legacy="1" w:legacySpace="0" w:legacyIndent="0"/>
      <w:lvlJc w:val="left"/>
      <w:rPr>
        <w:rFonts w:ascii="Calibri" w:hAnsi="Calibri" w:cs="Calibri" w:hint="default"/>
      </w:rPr>
    </w:lvl>
  </w:abstractNum>
  <w:abstractNum w:abstractNumId="1" w15:restartNumberingAfterBreak="0">
    <w:nsid w:val="60875B37"/>
    <w:multiLevelType w:val="singleLevel"/>
    <w:tmpl w:val="FED01864"/>
    <w:lvl w:ilvl="0">
      <w:start w:val="1"/>
      <w:numFmt w:val="decimal"/>
      <w:lvlText w:val="%1."/>
      <w:legacy w:legacy="1" w:legacySpace="0" w:legacyIndent="0"/>
      <w:lvlJc w:val="left"/>
      <w:rPr>
        <w:rFonts w:ascii="Calibri" w:hAnsi="Calibri" w:cs="Calibri" w:hint="default"/>
      </w:rPr>
    </w:lvl>
  </w:abstractNum>
  <w:abstractNum w:abstractNumId="2" w15:restartNumberingAfterBreak="0">
    <w:nsid w:val="79C4333F"/>
    <w:multiLevelType w:val="hybridMultilevel"/>
    <w:tmpl w:val="756AC1D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2557369">
    <w:abstractNumId w:val="1"/>
  </w:num>
  <w:num w:numId="2" w16cid:durableId="26562171">
    <w:abstractNumId w:val="0"/>
  </w:num>
  <w:num w:numId="3" w16cid:durableId="909116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5B4"/>
    <w:rsid w:val="00006492"/>
    <w:rsid w:val="000B2026"/>
    <w:rsid w:val="00313444"/>
    <w:rsid w:val="004C7179"/>
    <w:rsid w:val="00870F06"/>
    <w:rsid w:val="008B15B4"/>
    <w:rsid w:val="008E5E75"/>
    <w:rsid w:val="00AB5621"/>
    <w:rsid w:val="00EC4232"/>
    <w:rsid w:val="00FC3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FC79"/>
  <w15:chartTrackingRefBased/>
  <w15:docId w15:val="{6E806497-72CF-4305-85FD-484CA86C2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5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15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15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15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15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15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5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5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5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5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15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15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15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15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15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5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5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5B4"/>
    <w:rPr>
      <w:rFonts w:eastAsiaTheme="majorEastAsia" w:cstheme="majorBidi"/>
      <w:color w:val="272727" w:themeColor="text1" w:themeTint="D8"/>
    </w:rPr>
  </w:style>
  <w:style w:type="paragraph" w:styleId="Title">
    <w:name w:val="Title"/>
    <w:basedOn w:val="Normal"/>
    <w:next w:val="Normal"/>
    <w:link w:val="TitleChar"/>
    <w:uiPriority w:val="10"/>
    <w:qFormat/>
    <w:rsid w:val="008B15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5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5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5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5B4"/>
    <w:pPr>
      <w:spacing w:before="160"/>
      <w:jc w:val="center"/>
    </w:pPr>
    <w:rPr>
      <w:i/>
      <w:iCs/>
      <w:color w:val="404040" w:themeColor="text1" w:themeTint="BF"/>
    </w:rPr>
  </w:style>
  <w:style w:type="character" w:customStyle="1" w:styleId="QuoteChar">
    <w:name w:val="Quote Char"/>
    <w:basedOn w:val="DefaultParagraphFont"/>
    <w:link w:val="Quote"/>
    <w:uiPriority w:val="29"/>
    <w:rsid w:val="008B15B4"/>
    <w:rPr>
      <w:i/>
      <w:iCs/>
      <w:color w:val="404040" w:themeColor="text1" w:themeTint="BF"/>
    </w:rPr>
  </w:style>
  <w:style w:type="paragraph" w:styleId="ListParagraph">
    <w:name w:val="List Paragraph"/>
    <w:basedOn w:val="Normal"/>
    <w:uiPriority w:val="34"/>
    <w:qFormat/>
    <w:rsid w:val="008B15B4"/>
    <w:pPr>
      <w:ind w:left="720"/>
      <w:contextualSpacing/>
    </w:pPr>
  </w:style>
  <w:style w:type="character" w:styleId="IntenseEmphasis">
    <w:name w:val="Intense Emphasis"/>
    <w:basedOn w:val="DefaultParagraphFont"/>
    <w:uiPriority w:val="21"/>
    <w:qFormat/>
    <w:rsid w:val="008B15B4"/>
    <w:rPr>
      <w:i/>
      <w:iCs/>
      <w:color w:val="0F4761" w:themeColor="accent1" w:themeShade="BF"/>
    </w:rPr>
  </w:style>
  <w:style w:type="paragraph" w:styleId="IntenseQuote">
    <w:name w:val="Intense Quote"/>
    <w:basedOn w:val="Normal"/>
    <w:next w:val="Normal"/>
    <w:link w:val="IntenseQuoteChar"/>
    <w:uiPriority w:val="30"/>
    <w:qFormat/>
    <w:rsid w:val="008B15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15B4"/>
    <w:rPr>
      <w:i/>
      <w:iCs/>
      <w:color w:val="0F4761" w:themeColor="accent1" w:themeShade="BF"/>
    </w:rPr>
  </w:style>
  <w:style w:type="character" w:styleId="IntenseReference">
    <w:name w:val="Intense Reference"/>
    <w:basedOn w:val="DefaultParagraphFont"/>
    <w:uiPriority w:val="32"/>
    <w:qFormat/>
    <w:rsid w:val="008B15B4"/>
    <w:rPr>
      <w:b/>
      <w:bCs/>
      <w:smallCaps/>
      <w:color w:val="0F4761" w:themeColor="accent1" w:themeShade="BF"/>
      <w:spacing w:val="5"/>
    </w:rPr>
  </w:style>
  <w:style w:type="paragraph" w:styleId="Header">
    <w:name w:val="header"/>
    <w:basedOn w:val="Normal"/>
    <w:link w:val="HeaderChar"/>
    <w:uiPriority w:val="99"/>
    <w:unhideWhenUsed/>
    <w:rsid w:val="008B15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5B4"/>
  </w:style>
  <w:style w:type="paragraph" w:styleId="Footer">
    <w:name w:val="footer"/>
    <w:basedOn w:val="Normal"/>
    <w:link w:val="FooterChar"/>
    <w:uiPriority w:val="99"/>
    <w:unhideWhenUsed/>
    <w:rsid w:val="008B15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5B4"/>
  </w:style>
  <w:style w:type="paragraph" w:styleId="TOC1">
    <w:name w:val="toc 1"/>
    <w:basedOn w:val="Normal"/>
    <w:next w:val="Normal"/>
    <w:autoRedefine/>
    <w:uiPriority w:val="39"/>
    <w:unhideWhenUsed/>
    <w:rsid w:val="00EC4232"/>
    <w:pPr>
      <w:spacing w:after="100"/>
    </w:pPr>
  </w:style>
  <w:style w:type="paragraph" w:styleId="TOC2">
    <w:name w:val="toc 2"/>
    <w:basedOn w:val="Normal"/>
    <w:next w:val="Normal"/>
    <w:autoRedefine/>
    <w:uiPriority w:val="39"/>
    <w:unhideWhenUsed/>
    <w:rsid w:val="00EC4232"/>
    <w:pPr>
      <w:spacing w:after="100"/>
      <w:ind w:left="220"/>
    </w:pPr>
  </w:style>
  <w:style w:type="character" w:styleId="Hyperlink">
    <w:name w:val="Hyperlink"/>
    <w:basedOn w:val="DefaultParagraphFont"/>
    <w:uiPriority w:val="99"/>
    <w:unhideWhenUsed/>
    <w:rsid w:val="00EC423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4097/hbem.v13i.8825" TargetMode="External"/><Relationship Id="rId18" Type="http://schemas.openxmlformats.org/officeDocument/2006/relationships/hyperlink" Target="https://doi.org/10.1109/icimtech.2018.8528129"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37383/sbj190103" TargetMode="External"/><Relationship Id="rId7" Type="http://schemas.openxmlformats.org/officeDocument/2006/relationships/endnotes" Target="endnotes.xml"/><Relationship Id="rId12" Type="http://schemas.openxmlformats.org/officeDocument/2006/relationships/hyperlink" Target="https://doi.org/10.54097/7q5nes25" TargetMode="External"/><Relationship Id="rId17" Type="http://schemas.openxmlformats.org/officeDocument/2006/relationships/hyperlink" Target="https://doi.org/10.1108/jkm-07-2022-0601" TargetMode="External"/><Relationship Id="rId25" Type="http://schemas.openxmlformats.org/officeDocument/2006/relationships/hyperlink" Target="https://doi.org/10.1109/scored.2016.781003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09/emr.2023.3280311" TargetMode="External"/><Relationship Id="rId20" Type="http://schemas.openxmlformats.org/officeDocument/2006/relationships/hyperlink" Target="https://dx.doi.org/10.34105/j.kmel.2022.14.013"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61173/grg8sa04" TargetMode="External"/><Relationship Id="rId24" Type="http://schemas.openxmlformats.org/officeDocument/2006/relationships/hyperlink" Target="https://doi.org/10.34190/eckm.24.1.147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x.doi.org/10.2478/emj-2020-0018" TargetMode="External"/><Relationship Id="rId23" Type="http://schemas.openxmlformats.org/officeDocument/2006/relationships/hyperlink" Target="https://doi.org/10.34190/eckm.23.2.616" TargetMode="External"/><Relationship Id="rId28" Type="http://schemas.openxmlformats.org/officeDocument/2006/relationships/footer" Target="footer1.xml"/><Relationship Id="rId10" Type="http://schemas.openxmlformats.org/officeDocument/2006/relationships/hyperlink" Target="https://doi.org/10.1109/icisit54091.2022.9872767" TargetMode="External"/><Relationship Id="rId19" Type="http://schemas.openxmlformats.org/officeDocument/2006/relationships/hyperlink" Target="https://doi.org/10.1051/e3sconf/202346005026"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i.org/10.52080/rvgluz.26.e6.5" TargetMode="External"/><Relationship Id="rId14" Type="http://schemas.openxmlformats.org/officeDocument/2006/relationships/hyperlink" Target="https://dx.doi.org/10.17770/etr2019vol2.4166" TargetMode="External"/><Relationship Id="rId22" Type="http://schemas.openxmlformats.org/officeDocument/2006/relationships/hyperlink" Target="https://dx.doi.org/10.24818/imc/2021/02.12"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60BB132-BFF7-44D6-B92F-33F5FC203FE1}">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4E29D-4433-4685-ADF2-F8F23F745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15</Pages>
  <Words>4785</Words>
  <Characters>27280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c:creator>
  <cp:keywords/>
  <dc:description/>
  <cp:lastModifiedBy>nick .</cp:lastModifiedBy>
  <cp:revision>1</cp:revision>
  <dcterms:created xsi:type="dcterms:W3CDTF">2024-03-07T13:43:00Z</dcterms:created>
  <dcterms:modified xsi:type="dcterms:W3CDTF">2024-03-08T15:09:00Z</dcterms:modified>
</cp:coreProperties>
</file>