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75CB056" w:rsidR="00986B43" w:rsidRPr="00B51EAE"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B51EAE">
              <w:rPr>
                <w:rFonts w:ascii="Times New Roman" w:hAnsi="Times New Roman" w:cs="Times New Roman"/>
                <w:b/>
                <w:color w:val="auto"/>
                <w:sz w:val="44"/>
                <w:szCs w:val="18"/>
              </w:rPr>
              <w:t>Learner’s name:</w:t>
            </w:r>
            <w:r w:rsidR="00247265" w:rsidRPr="00B51EAE">
              <w:rPr>
                <w:rFonts w:ascii="Times New Roman" w:hAnsi="Times New Roman" w:cs="Times New Roman"/>
                <w:b/>
                <w:color w:val="auto"/>
                <w:sz w:val="44"/>
                <w:szCs w:val="18"/>
              </w:rPr>
              <w:t xml:space="preserve"> </w:t>
            </w:r>
            <w:r w:rsidR="003D03EB" w:rsidRPr="00B51EAE">
              <w:rPr>
                <w:rFonts w:ascii="Times New Roman" w:hAnsi="Times New Roman" w:cs="Times New Roman"/>
                <w:b/>
                <w:color w:val="auto"/>
                <w:sz w:val="44"/>
                <w:szCs w:val="18"/>
              </w:rPr>
              <w:t>Naomi Griffiths</w:t>
            </w:r>
          </w:p>
          <w:p w14:paraId="0B6CD0DB" w14:textId="689515B5" w:rsidR="009C337F" w:rsidRPr="00B51EAE"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6BA73C6A" w:rsidR="009C337F" w:rsidRPr="00B51EAE"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B51EAE">
              <w:rPr>
                <w:rFonts w:ascii="Times New Roman" w:hAnsi="Times New Roman" w:cs="Times New Roman"/>
                <w:b/>
                <w:color w:val="auto"/>
                <w:sz w:val="44"/>
                <w:szCs w:val="18"/>
              </w:rPr>
              <w:t>Email address:</w:t>
            </w:r>
            <w:r w:rsidR="00701FB7" w:rsidRPr="00B51EAE">
              <w:rPr>
                <w:rFonts w:ascii="Times New Roman" w:hAnsi="Times New Roman" w:cs="Times New Roman"/>
                <w:b/>
                <w:color w:val="auto"/>
                <w:sz w:val="44"/>
                <w:szCs w:val="18"/>
              </w:rPr>
              <w:t xml:space="preserve"> 1100133@student.uwtsd.ac.uk</w:t>
            </w:r>
          </w:p>
          <w:p w14:paraId="22E38809" w14:textId="77777777" w:rsidR="00986B43" w:rsidRPr="00B51EAE"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5B546D53" w:rsidR="00F927A1" w:rsidRPr="00B51EAE"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B51EAE">
              <w:rPr>
                <w:rFonts w:ascii="Times New Roman" w:hAnsi="Times New Roman" w:cs="Times New Roman"/>
                <w:b/>
                <w:color w:val="auto"/>
                <w:sz w:val="44"/>
                <w:szCs w:val="18"/>
              </w:rPr>
              <w:t>Learner’s University Registration</w:t>
            </w:r>
            <w:r w:rsidR="00F927A1" w:rsidRPr="00B51EAE">
              <w:rPr>
                <w:rFonts w:ascii="Times New Roman" w:hAnsi="Times New Roman" w:cs="Times New Roman"/>
                <w:b/>
                <w:color w:val="auto"/>
                <w:sz w:val="44"/>
                <w:szCs w:val="18"/>
              </w:rPr>
              <w:t xml:space="preserve"> Number:</w:t>
            </w:r>
            <w:r w:rsidR="00B51EAE" w:rsidRPr="00B51EAE">
              <w:rPr>
                <w:rFonts w:ascii="Times New Roman" w:hAnsi="Times New Roman" w:cs="Times New Roman"/>
                <w:b/>
                <w:color w:val="auto"/>
                <w:sz w:val="44"/>
                <w:szCs w:val="18"/>
              </w:rPr>
              <w:t>1100133</w:t>
            </w:r>
          </w:p>
          <w:p w14:paraId="622FD17A" w14:textId="77777777" w:rsidR="0085230E" w:rsidRPr="00B51EAE"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B51EAE">
              <w:rPr>
                <w:rFonts w:ascii="Times New Roman" w:hAnsi="Times New Roman" w:cs="Times New Roman"/>
                <w:b/>
                <w:color w:val="auto"/>
                <w:sz w:val="44"/>
                <w:szCs w:val="18"/>
              </w:rPr>
              <w:t xml:space="preserve">Cohort: </w:t>
            </w:r>
            <w:r w:rsidR="00B037B0" w:rsidRPr="00B51EAE">
              <w:rPr>
                <w:rFonts w:ascii="Times New Roman" w:hAnsi="Times New Roman" w:cs="Times New Roman"/>
                <w:b/>
                <w:color w:val="auto"/>
                <w:sz w:val="44"/>
                <w:szCs w:val="18"/>
              </w:rPr>
              <w:t>21</w:t>
            </w:r>
            <w:r w:rsidR="00AE6231" w:rsidRPr="00B51EAE">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182"/>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C73B14" w:rsidRDefault="000A584A">
            <w:pPr>
              <w:jc w:val="both"/>
              <w:rPr>
                <w:b/>
                <w:bCs/>
                <w:sz w:val="24"/>
                <w:szCs w:val="24"/>
              </w:rPr>
            </w:pPr>
            <w:r w:rsidRPr="00C73B14">
              <w:rPr>
                <w:b/>
                <w:bCs/>
                <w:sz w:val="24"/>
                <w:szCs w:val="24"/>
              </w:rPr>
              <w:t xml:space="preserve">Complete a critically reflective case study </w:t>
            </w:r>
            <w:r w:rsidR="00D0503D" w:rsidRPr="00C73B14">
              <w:rPr>
                <w:b/>
                <w:bCs/>
                <w:sz w:val="24"/>
                <w:szCs w:val="24"/>
              </w:rPr>
              <w:t>based</w:t>
            </w:r>
            <w:r w:rsidRPr="00C73B14">
              <w:rPr>
                <w:b/>
                <w:bCs/>
                <w:sz w:val="24"/>
                <w:szCs w:val="24"/>
              </w:rPr>
              <w:t xml:space="preserve"> on</w:t>
            </w:r>
            <w:r w:rsidR="00696A88" w:rsidRPr="00C73B14">
              <w:rPr>
                <w:b/>
                <w:bCs/>
                <w:sz w:val="24"/>
                <w:szCs w:val="24"/>
              </w:rPr>
              <w:t xml:space="preserve"> </w:t>
            </w:r>
            <w:r w:rsidR="00411EF7" w:rsidRPr="00C73B14">
              <w:rPr>
                <w:b/>
                <w:bCs/>
                <w:sz w:val="24"/>
                <w:szCs w:val="24"/>
              </w:rPr>
              <w:t>an assessment</w:t>
            </w:r>
            <w:r w:rsidR="007F312E" w:rsidRPr="00C73B14">
              <w:rPr>
                <w:b/>
                <w:bCs/>
                <w:sz w:val="24"/>
                <w:szCs w:val="24"/>
              </w:rPr>
              <w:t xml:space="preserve"> </w:t>
            </w:r>
            <w:r w:rsidR="007C5ABE" w:rsidRPr="00C73B14">
              <w:rPr>
                <w:b/>
                <w:bCs/>
                <w:sz w:val="24"/>
                <w:szCs w:val="24"/>
              </w:rPr>
              <w:t xml:space="preserve">that you have </w:t>
            </w:r>
            <w:r w:rsidRPr="00C73B14">
              <w:rPr>
                <w:b/>
                <w:bCs/>
                <w:sz w:val="24"/>
                <w:szCs w:val="24"/>
              </w:rPr>
              <w:t xml:space="preserve">undertaken with </w:t>
            </w:r>
            <w:r w:rsidR="00D0503D" w:rsidRPr="00C73B14">
              <w:rPr>
                <w:b/>
                <w:bCs/>
                <w:sz w:val="24"/>
                <w:szCs w:val="24"/>
              </w:rPr>
              <w:t>others, in</w:t>
            </w:r>
            <w:r w:rsidR="0002440E" w:rsidRPr="00C73B14">
              <w:rPr>
                <w:b/>
                <w:bCs/>
                <w:sz w:val="24"/>
                <w:szCs w:val="24"/>
              </w:rPr>
              <w:t xml:space="preserve"> your own area of work</w:t>
            </w:r>
            <w:r w:rsidR="00D0503D" w:rsidRPr="00C73B14">
              <w:rPr>
                <w:b/>
                <w:bCs/>
                <w:sz w:val="24"/>
                <w:szCs w:val="24"/>
              </w:rPr>
              <w:t xml:space="preserve">, </w:t>
            </w:r>
            <w:r w:rsidR="00587923" w:rsidRPr="00C73B14">
              <w:rPr>
                <w:b/>
                <w:bCs/>
                <w:sz w:val="24"/>
                <w:szCs w:val="24"/>
              </w:rPr>
              <w:t>c</w:t>
            </w:r>
            <w:r w:rsidR="008B28E7" w:rsidRPr="00C73B14">
              <w:rPr>
                <w:b/>
                <w:bCs/>
                <w:sz w:val="24"/>
                <w:szCs w:val="24"/>
              </w:rPr>
              <w:t>oncerning the safeguarding of either an adult or a child</w:t>
            </w:r>
            <w:r w:rsidRPr="00C73B14">
              <w:rPr>
                <w:b/>
                <w:bCs/>
                <w:sz w:val="24"/>
                <w:szCs w:val="24"/>
              </w:rPr>
              <w:t xml:space="preserve">. </w:t>
            </w:r>
            <w:r w:rsidR="00216563" w:rsidRPr="00C73B14">
              <w:rPr>
                <w:b/>
                <w:bCs/>
                <w:sz w:val="24"/>
                <w:szCs w:val="24"/>
              </w:rPr>
              <w:t xml:space="preserve">You must demonstrate how </w:t>
            </w:r>
            <w:r w:rsidR="00F34C86" w:rsidRPr="00C73B14">
              <w:rPr>
                <w:b/>
                <w:bCs/>
                <w:sz w:val="24"/>
                <w:szCs w:val="24"/>
              </w:rPr>
              <w:t xml:space="preserve">the case relates to or could relate to safeguarding </w:t>
            </w:r>
            <w:r w:rsidR="00216563" w:rsidRPr="00C73B14">
              <w:rPr>
                <w:b/>
                <w:bCs/>
                <w:sz w:val="24"/>
                <w:szCs w:val="24"/>
              </w:rPr>
              <w:t>legislation, policies</w:t>
            </w:r>
            <w:r w:rsidR="00F34C86" w:rsidRPr="00C73B14">
              <w:rPr>
                <w:b/>
                <w:bCs/>
                <w:sz w:val="24"/>
                <w:szCs w:val="24"/>
              </w:rPr>
              <w:t>, strategies and procedures</w:t>
            </w:r>
            <w:r w:rsidR="7AAB400D" w:rsidRPr="00C73B14">
              <w:rPr>
                <w:b/>
                <w:bCs/>
                <w:sz w:val="24"/>
                <w:szCs w:val="24"/>
              </w:rPr>
              <w:t xml:space="preserve"> </w:t>
            </w:r>
            <w:r w:rsidR="623F2A43" w:rsidRPr="00C73B14">
              <w:rPr>
                <w:b/>
                <w:bCs/>
                <w:sz w:val="24"/>
                <w:szCs w:val="24"/>
              </w:rPr>
              <w:t>(</w:t>
            </w:r>
            <w:r w:rsidR="7AAB400D" w:rsidRPr="00C73B14">
              <w:rPr>
                <w:b/>
                <w:bCs/>
                <w:sz w:val="24"/>
                <w:szCs w:val="24"/>
              </w:rPr>
              <w:t>i</w:t>
            </w:r>
            <w:r w:rsidR="623F2A43" w:rsidRPr="00C73B14">
              <w:rPr>
                <w:b/>
                <w:bCs/>
                <w:sz w:val="24"/>
                <w:szCs w:val="24"/>
              </w:rPr>
              <w:t xml:space="preserve">ncluding </w:t>
            </w:r>
            <w:r w:rsidR="322513AD" w:rsidRPr="00C73B14">
              <w:rPr>
                <w:b/>
                <w:bCs/>
                <w:sz w:val="24"/>
                <w:szCs w:val="24"/>
              </w:rPr>
              <w:t>d</w:t>
            </w:r>
            <w:r w:rsidR="7E97696C" w:rsidRPr="00C73B14">
              <w:rPr>
                <w:b/>
                <w:bCs/>
                <w:sz w:val="24"/>
                <w:szCs w:val="24"/>
              </w:rPr>
              <w:t xml:space="preserve">emonstrating an understanding of </w:t>
            </w:r>
            <w:r w:rsidR="623F2A43" w:rsidRPr="00C73B14">
              <w:rPr>
                <w:b/>
                <w:bCs/>
                <w:sz w:val="24"/>
                <w:szCs w:val="24"/>
              </w:rPr>
              <w:t>the</w:t>
            </w:r>
            <w:r w:rsidR="350F702B" w:rsidRPr="00C73B14">
              <w:rPr>
                <w:b/>
                <w:bCs/>
                <w:sz w:val="24"/>
                <w:szCs w:val="24"/>
              </w:rPr>
              <w:t xml:space="preserve"> </w:t>
            </w:r>
            <w:r w:rsidR="3B2446CA" w:rsidRPr="00C73B14">
              <w:rPr>
                <w:rFonts w:eastAsia="Arial"/>
                <w:b/>
                <w:bCs/>
                <w:color w:val="000000" w:themeColor="text1"/>
                <w:sz w:val="24"/>
                <w:szCs w:val="24"/>
              </w:rPr>
              <w:t xml:space="preserve">interface </w:t>
            </w:r>
            <w:r w:rsidR="534A9052" w:rsidRPr="00C73B14">
              <w:rPr>
                <w:rFonts w:eastAsia="Arial"/>
                <w:b/>
                <w:bCs/>
                <w:color w:val="000000" w:themeColor="text1"/>
                <w:sz w:val="24"/>
                <w:szCs w:val="24"/>
              </w:rPr>
              <w:t>between social services provision in Wales with the United Kingdom, the European Union</w:t>
            </w:r>
            <w:r w:rsidR="007A628F" w:rsidRPr="00C73B14">
              <w:rPr>
                <w:rFonts w:eastAsia="Arial"/>
                <w:b/>
                <w:bCs/>
                <w:color w:val="000000" w:themeColor="text1"/>
                <w:sz w:val="24"/>
                <w:szCs w:val="24"/>
              </w:rPr>
              <w:t xml:space="preserve"> (EU)</w:t>
            </w:r>
            <w:r w:rsidR="534A9052" w:rsidRPr="00C73B14">
              <w:rPr>
                <w:rFonts w:eastAsia="Arial"/>
                <w:b/>
                <w:bCs/>
                <w:color w:val="000000" w:themeColor="text1"/>
                <w:sz w:val="24"/>
                <w:szCs w:val="24"/>
              </w:rPr>
              <w:t xml:space="preserve"> and outside the EU</w:t>
            </w:r>
            <w:r w:rsidR="623F2A43" w:rsidRPr="00C73B14">
              <w:rPr>
                <w:rFonts w:eastAsia="Arial"/>
                <w:b/>
                <w:bCs/>
                <w:color w:val="000000" w:themeColor="text1"/>
                <w:sz w:val="24"/>
                <w:szCs w:val="24"/>
              </w:rPr>
              <w:t>)</w:t>
            </w:r>
            <w:r w:rsidR="00411EF7" w:rsidRPr="00C73B14">
              <w:rPr>
                <w:b/>
                <w:bCs/>
                <w:sz w:val="24"/>
                <w:szCs w:val="24"/>
              </w:rPr>
              <w:t>.</w:t>
            </w:r>
            <w:r w:rsidR="00354B6D" w:rsidRPr="00C73B14">
              <w:rPr>
                <w:b/>
                <w:bCs/>
                <w:sz w:val="24"/>
                <w:szCs w:val="24"/>
              </w:rPr>
              <w:t xml:space="preserve"> </w:t>
            </w:r>
            <w:r w:rsidR="102A3950" w:rsidRPr="00C73B14">
              <w:rPr>
                <w:b/>
                <w:bCs/>
                <w:sz w:val="24"/>
                <w:szCs w:val="24"/>
              </w:rPr>
              <w:t>You</w:t>
            </w:r>
            <w:r w:rsidR="00354B6D" w:rsidRPr="00C73B14">
              <w:rPr>
                <w:b/>
                <w:bCs/>
                <w:sz w:val="24"/>
                <w:szCs w:val="24"/>
              </w:rPr>
              <w:t xml:space="preserve"> must</w:t>
            </w:r>
            <w:r w:rsidR="00411EF7" w:rsidRPr="00C73B14">
              <w:rPr>
                <w:b/>
                <w:bCs/>
                <w:sz w:val="24"/>
                <w:szCs w:val="24"/>
              </w:rPr>
              <w:t xml:space="preserve"> </w:t>
            </w:r>
            <w:r w:rsidR="00354B6D" w:rsidRPr="00C73B14">
              <w:rPr>
                <w:b/>
                <w:bCs/>
                <w:sz w:val="24"/>
                <w:szCs w:val="24"/>
              </w:rPr>
              <w:t>demonstrate your understanding of</w:t>
            </w:r>
            <w:r w:rsidR="00F34C86" w:rsidRPr="00C73B14">
              <w:rPr>
                <w:b/>
                <w:bCs/>
                <w:sz w:val="24"/>
                <w:szCs w:val="24"/>
              </w:rPr>
              <w:t xml:space="preserve"> </w:t>
            </w:r>
            <w:r w:rsidR="00411EF7" w:rsidRPr="00C73B14">
              <w:rPr>
                <w:b/>
                <w:bCs/>
                <w:sz w:val="24"/>
                <w:szCs w:val="24"/>
              </w:rPr>
              <w:t xml:space="preserve">the </w:t>
            </w:r>
            <w:r w:rsidR="00216563" w:rsidRPr="00C73B14">
              <w:rPr>
                <w:b/>
                <w:bCs/>
                <w:sz w:val="24"/>
                <w:szCs w:val="24"/>
              </w:rPr>
              <w:t xml:space="preserve">integration of </w:t>
            </w:r>
            <w:r w:rsidR="6A854C79" w:rsidRPr="00C73B14">
              <w:rPr>
                <w:b/>
                <w:bCs/>
                <w:sz w:val="24"/>
                <w:szCs w:val="24"/>
              </w:rPr>
              <w:t>analysis in asses</w:t>
            </w:r>
            <w:r w:rsidR="0F77E214" w:rsidRPr="00C73B14">
              <w:rPr>
                <w:b/>
                <w:bCs/>
                <w:sz w:val="24"/>
                <w:szCs w:val="24"/>
              </w:rPr>
              <w:t>sment, collabo</w:t>
            </w:r>
            <w:r w:rsidR="6A854C79" w:rsidRPr="00C73B14">
              <w:rPr>
                <w:b/>
                <w:bCs/>
                <w:sz w:val="24"/>
                <w:szCs w:val="24"/>
              </w:rPr>
              <w:t>rative work</w:t>
            </w:r>
            <w:r w:rsidR="0F77E214" w:rsidRPr="00C73B14">
              <w:rPr>
                <w:b/>
                <w:bCs/>
                <w:sz w:val="24"/>
                <w:szCs w:val="24"/>
              </w:rPr>
              <w:t>ing</w:t>
            </w:r>
            <w:r w:rsidR="6A854C79" w:rsidRPr="00C73B14">
              <w:rPr>
                <w:b/>
                <w:bCs/>
                <w:sz w:val="24"/>
                <w:szCs w:val="24"/>
              </w:rPr>
              <w:t xml:space="preserve"> a</w:t>
            </w:r>
            <w:r w:rsidR="0F77E214" w:rsidRPr="00C73B14">
              <w:rPr>
                <w:b/>
                <w:bCs/>
                <w:sz w:val="24"/>
                <w:szCs w:val="24"/>
              </w:rPr>
              <w:t xml:space="preserve">nd </w:t>
            </w:r>
            <w:r w:rsidR="6A854C79" w:rsidRPr="00C73B14">
              <w:rPr>
                <w:b/>
                <w:bCs/>
                <w:sz w:val="24"/>
                <w:szCs w:val="24"/>
              </w:rPr>
              <w:t>professional</w:t>
            </w:r>
            <w:r w:rsidR="00F34C86" w:rsidRPr="00C73B14">
              <w:rPr>
                <w:b/>
                <w:bCs/>
                <w:sz w:val="24"/>
                <w:szCs w:val="24"/>
              </w:rPr>
              <w:t xml:space="preserve"> </w:t>
            </w:r>
            <w:r w:rsidR="00216563" w:rsidRPr="00C73B14">
              <w:rPr>
                <w:b/>
                <w:bCs/>
                <w:sz w:val="24"/>
                <w:szCs w:val="24"/>
              </w:rPr>
              <w:t>judgements</w:t>
            </w:r>
            <w:r w:rsidR="0F77E214" w:rsidRPr="00C73B14">
              <w:rPr>
                <w:b/>
                <w:bCs/>
                <w:sz w:val="24"/>
                <w:szCs w:val="24"/>
              </w:rPr>
              <w:t xml:space="preserve"> in increasingly complex situations </w:t>
            </w:r>
            <w:r w:rsidR="00E5498A" w:rsidRPr="00C73B14">
              <w:rPr>
                <w:b/>
                <w:bCs/>
                <w:sz w:val="24"/>
                <w:szCs w:val="24"/>
              </w:rPr>
              <w:t>and</w:t>
            </w:r>
            <w:r w:rsidR="1D6670C0" w:rsidRPr="00C73B14">
              <w:rPr>
                <w:b/>
                <w:bCs/>
                <w:sz w:val="24"/>
                <w:szCs w:val="24"/>
              </w:rPr>
              <w:t xml:space="preserve"> </w:t>
            </w:r>
            <w:r w:rsidR="39C47EB7" w:rsidRPr="00C73B14">
              <w:rPr>
                <w:b/>
                <w:bCs/>
                <w:sz w:val="24"/>
                <w:szCs w:val="24"/>
              </w:rPr>
              <w:t>the</w:t>
            </w:r>
            <w:r w:rsidR="25F327FB" w:rsidRPr="00C73B14">
              <w:rPr>
                <w:b/>
                <w:bCs/>
                <w:sz w:val="24"/>
                <w:szCs w:val="24"/>
              </w:rPr>
              <w:t xml:space="preserve"> </w:t>
            </w:r>
            <w:r w:rsidR="00F34C86" w:rsidRPr="00C73B14">
              <w:rPr>
                <w:b/>
                <w:bCs/>
                <w:sz w:val="24"/>
                <w:szCs w:val="24"/>
              </w:rPr>
              <w:t>use of social work theories</w:t>
            </w:r>
            <w:r w:rsidR="756EEE2D" w:rsidRPr="00C73B14">
              <w:rPr>
                <w:b/>
                <w:bCs/>
                <w:sz w:val="24"/>
                <w:szCs w:val="24"/>
              </w:rPr>
              <w:t>.</w:t>
            </w:r>
            <w:r w:rsidR="00216563" w:rsidRPr="00C73B14">
              <w:rPr>
                <w:b/>
                <w:bCs/>
                <w:sz w:val="24"/>
                <w:szCs w:val="24"/>
              </w:rPr>
              <w:t xml:space="preserve"> </w:t>
            </w:r>
            <w:r w:rsidR="756EEE2D" w:rsidRPr="00C73B14">
              <w:rPr>
                <w:b/>
                <w:bCs/>
                <w:sz w:val="24"/>
                <w:szCs w:val="24"/>
              </w:rPr>
              <w:t>You</w:t>
            </w:r>
            <w:r w:rsidR="00216563" w:rsidRPr="00C73B14">
              <w:rPr>
                <w:b/>
                <w:bCs/>
                <w:sz w:val="24"/>
                <w:szCs w:val="24"/>
              </w:rPr>
              <w:t xml:space="preserve"> </w:t>
            </w:r>
            <w:r w:rsidR="00E5498A" w:rsidRPr="00C73B14">
              <w:rPr>
                <w:b/>
                <w:bCs/>
                <w:sz w:val="24"/>
                <w:szCs w:val="24"/>
              </w:rPr>
              <w:t xml:space="preserve">must </w:t>
            </w:r>
            <w:r w:rsidR="00F030D4" w:rsidRPr="00C73B14">
              <w:rPr>
                <w:b/>
                <w:bCs/>
                <w:sz w:val="24"/>
                <w:szCs w:val="24"/>
              </w:rPr>
              <w:t>refer to</w:t>
            </w:r>
            <w:r w:rsidR="00216563" w:rsidRPr="00C73B14">
              <w:rPr>
                <w:b/>
                <w:bCs/>
                <w:sz w:val="24"/>
                <w:szCs w:val="24"/>
              </w:rPr>
              <w:t xml:space="preserve"> </w:t>
            </w:r>
            <w:r w:rsidR="00F34C86" w:rsidRPr="00C73B14">
              <w:rPr>
                <w:b/>
                <w:bCs/>
                <w:sz w:val="24"/>
                <w:szCs w:val="24"/>
              </w:rPr>
              <w:t>the specific dimensions of working in Wales</w:t>
            </w:r>
            <w:r w:rsidR="00411EF7" w:rsidRPr="00C73B14">
              <w:rPr>
                <w:b/>
                <w:bCs/>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5E920829" w:rsidR="00D3203C" w:rsidRPr="00E569A1" w:rsidRDefault="00E569A1" w:rsidP="00FF7EBB">
            <w:pPr>
              <w:jc w:val="both"/>
              <w:rPr>
                <w:b/>
                <w:bCs/>
                <w:i/>
                <w:sz w:val="24"/>
                <w:szCs w:val="24"/>
              </w:rPr>
            </w:pPr>
            <w:r w:rsidRPr="00E569A1">
              <w:rPr>
                <w:b/>
                <w:bCs/>
                <w:i/>
                <w:sz w:val="24"/>
                <w:szCs w:val="24"/>
              </w:rPr>
              <w:t>WORD COUNT - 4396</w:t>
            </w:r>
          </w:p>
          <w:p w14:paraId="12DC2F24" w14:textId="24094196" w:rsidR="00D3203C" w:rsidRDefault="00D3203C" w:rsidP="00FF7EBB">
            <w:pPr>
              <w:jc w:val="both"/>
              <w:rPr>
                <w:i/>
                <w:sz w:val="24"/>
                <w:szCs w:val="24"/>
              </w:rPr>
            </w:pPr>
          </w:p>
          <w:p w14:paraId="37029E2E" w14:textId="42EAAE99" w:rsidR="00C46861" w:rsidRPr="002D1D7A" w:rsidRDefault="00C46861" w:rsidP="002D1D7A">
            <w:pPr>
              <w:spacing w:line="360" w:lineRule="auto"/>
              <w:rPr>
                <w:sz w:val="28"/>
                <w:szCs w:val="28"/>
              </w:rPr>
            </w:pPr>
            <w:r w:rsidRPr="002D1D7A">
              <w:rPr>
                <w:sz w:val="28"/>
                <w:szCs w:val="28"/>
              </w:rPr>
              <w:t xml:space="preserve">This essay explores my role as the allocated social worker in the safeguarding of an adult at risk, referred to here as </w:t>
            </w:r>
            <w:r w:rsidRPr="002D1D7A">
              <w:rPr>
                <w:i/>
                <w:iCs/>
                <w:sz w:val="28"/>
                <w:szCs w:val="28"/>
              </w:rPr>
              <w:t xml:space="preserve">Adult </w:t>
            </w:r>
            <w:r w:rsidR="00747064">
              <w:rPr>
                <w:i/>
                <w:iCs/>
                <w:sz w:val="28"/>
                <w:szCs w:val="28"/>
              </w:rPr>
              <w:t>A</w:t>
            </w:r>
            <w:r w:rsidRPr="002D1D7A">
              <w:rPr>
                <w:sz w:val="28"/>
                <w:szCs w:val="28"/>
              </w:rPr>
              <w:t>, a woman in her seventies living alone in a council-owned bungalow in South Wales. The case was characterised by repeated concerns regarding financial exploitation, mental ill-health, self-neglect and fluctuating capacity, and presented as an increasingly complex safeguarding situation over an extended period of social work involvement.</w:t>
            </w:r>
          </w:p>
          <w:p w14:paraId="7A7B2CDD" w14:textId="77777777" w:rsidR="00C46861" w:rsidRPr="002D1D7A" w:rsidRDefault="00C46861" w:rsidP="002D1D7A">
            <w:pPr>
              <w:spacing w:line="360" w:lineRule="auto"/>
              <w:rPr>
                <w:sz w:val="28"/>
                <w:szCs w:val="28"/>
              </w:rPr>
            </w:pPr>
          </w:p>
          <w:p w14:paraId="6275188A" w14:textId="77777777" w:rsidR="00C46861" w:rsidRPr="002D1D7A" w:rsidRDefault="00C46861" w:rsidP="002D1D7A">
            <w:pPr>
              <w:spacing w:line="360" w:lineRule="auto"/>
              <w:rPr>
                <w:sz w:val="28"/>
                <w:szCs w:val="28"/>
              </w:rPr>
            </w:pPr>
            <w:r w:rsidRPr="002D1D7A">
              <w:rPr>
                <w:sz w:val="28"/>
                <w:szCs w:val="28"/>
              </w:rPr>
              <w:t xml:space="preserve">This essay will demonstrate how assessment, professional judgement and intervention is informed by legislative frameworks, policy, theory and ethical considerations within the specific context of social services provision in Wales. In doing so, the case highlights the tensions in </w:t>
            </w:r>
            <w:r w:rsidRPr="002D1D7A">
              <w:rPr>
                <w:sz w:val="28"/>
                <w:szCs w:val="28"/>
              </w:rPr>
              <w:lastRenderedPageBreak/>
              <w:t>safeguarding practice, particularly the balance between respecting autonomy and responding to risk, where an adult’s expressed wishes may conflict with professional concerns about harm.</w:t>
            </w:r>
          </w:p>
          <w:p w14:paraId="413B4285" w14:textId="77777777" w:rsidR="00C46861" w:rsidRPr="002D1D7A" w:rsidRDefault="00C46861" w:rsidP="002D1D7A">
            <w:pPr>
              <w:spacing w:line="360" w:lineRule="auto"/>
              <w:rPr>
                <w:sz w:val="28"/>
                <w:szCs w:val="28"/>
              </w:rPr>
            </w:pPr>
          </w:p>
          <w:p w14:paraId="1973C0BC" w14:textId="04FEFBF6" w:rsidR="00C46861" w:rsidRPr="002D1D7A" w:rsidRDefault="00C46861" w:rsidP="002D1D7A">
            <w:pPr>
              <w:spacing w:line="360" w:lineRule="auto"/>
              <w:rPr>
                <w:sz w:val="28"/>
                <w:szCs w:val="28"/>
              </w:rPr>
            </w:pPr>
            <w:r w:rsidRPr="002D1D7A">
              <w:rPr>
                <w:sz w:val="28"/>
                <w:szCs w:val="28"/>
              </w:rPr>
              <w:t xml:space="preserve">I will be discussing one of my current cases referred to as Adult </w:t>
            </w:r>
            <w:r w:rsidR="001F3D41">
              <w:rPr>
                <w:sz w:val="28"/>
                <w:szCs w:val="28"/>
              </w:rPr>
              <w:t>A</w:t>
            </w:r>
            <w:r w:rsidRPr="002D1D7A">
              <w:rPr>
                <w:sz w:val="28"/>
                <w:szCs w:val="28"/>
              </w:rPr>
              <w:t xml:space="preserve">. She has multiple vulnerabilities including bipolar disorder, personality disorder, unmanaged diabetes, memory difficulties, increasing self-neglect, experiences hallucinations and being subjected to romance fraud. This case was selected as it demonstrates the realities </w:t>
            </w:r>
            <w:r w:rsidR="003F39D6" w:rsidRPr="002D1D7A">
              <w:rPr>
                <w:sz w:val="28"/>
                <w:szCs w:val="28"/>
              </w:rPr>
              <w:t>of social</w:t>
            </w:r>
            <w:r w:rsidRPr="002D1D7A">
              <w:rPr>
                <w:sz w:val="28"/>
                <w:szCs w:val="28"/>
              </w:rPr>
              <w:t xml:space="preserve"> work practice in adult safeguarding, where risk cannot always be eliminated, capacity may fluctuate, and legal thresholds may not permit intervention despite clear evidence of harm. The case required multi-agency working, repeated reassessment, and critical reflection on the limits of safeguarding powers under Welsh legislation. The study will critically analyse the safeguarding process undertaken, referencing The Social Services and Well-being (Wales) Act 2014 (SSWBWA 2014), the Mental Capacity Act 2005 (MCA 2005), the Human Rights Act 1998, and relevant international frameworks. It will also reflect on my professional judgement, ethical decision-making and use of supervision in managing complexity, uncertainty and emotional impact in line with the Code of Professional Practice for Social Care in Wales.</w:t>
            </w:r>
          </w:p>
          <w:p w14:paraId="08B5ACAA" w14:textId="77777777" w:rsidR="00C46861" w:rsidRPr="002D1D7A" w:rsidRDefault="00C46861" w:rsidP="002D1D7A">
            <w:pPr>
              <w:spacing w:line="360" w:lineRule="auto"/>
              <w:rPr>
                <w:sz w:val="28"/>
                <w:szCs w:val="28"/>
              </w:rPr>
            </w:pPr>
          </w:p>
          <w:p w14:paraId="3CADAA5C" w14:textId="0B7A3F60" w:rsidR="00C46861" w:rsidRPr="002D1D7A" w:rsidRDefault="00C46861" w:rsidP="002D1D7A">
            <w:pPr>
              <w:spacing w:line="360" w:lineRule="auto"/>
              <w:rPr>
                <w:b/>
                <w:bCs/>
                <w:sz w:val="28"/>
                <w:szCs w:val="28"/>
              </w:rPr>
            </w:pPr>
            <w:r w:rsidRPr="002D1D7A">
              <w:rPr>
                <w:sz w:val="28"/>
                <w:szCs w:val="28"/>
              </w:rPr>
              <w:t xml:space="preserve">Adult </w:t>
            </w:r>
            <w:r w:rsidR="001F3D41">
              <w:rPr>
                <w:sz w:val="28"/>
                <w:szCs w:val="28"/>
              </w:rPr>
              <w:t>A</w:t>
            </w:r>
            <w:r w:rsidRPr="002D1D7A">
              <w:rPr>
                <w:sz w:val="28"/>
                <w:szCs w:val="28"/>
              </w:rPr>
              <w:t xml:space="preserve"> was referred to social services by her cleaner, who raised concerns about poor living conditions, hoarding behaviours and suspected financial exploitation by an online partner. Prior to meeting Adult </w:t>
            </w:r>
            <w:r w:rsidR="002E47C1">
              <w:rPr>
                <w:sz w:val="28"/>
                <w:szCs w:val="28"/>
              </w:rPr>
              <w:t>A</w:t>
            </w:r>
            <w:r w:rsidRPr="002D1D7A">
              <w:rPr>
                <w:sz w:val="28"/>
                <w:szCs w:val="28"/>
              </w:rPr>
              <w:t xml:space="preserve">, I ensured that the active offer was made in line with the </w:t>
            </w:r>
            <w:r w:rsidRPr="002D1D7A">
              <w:rPr>
                <w:i/>
                <w:iCs/>
                <w:sz w:val="28"/>
                <w:szCs w:val="28"/>
              </w:rPr>
              <w:t>More Than Just Words</w:t>
            </w:r>
            <w:r w:rsidRPr="002D1D7A">
              <w:rPr>
                <w:sz w:val="28"/>
                <w:szCs w:val="28"/>
              </w:rPr>
              <w:t xml:space="preserve"> framework and the Welsh Language (Wales) Measure 2011. Adult </w:t>
            </w:r>
            <w:r w:rsidR="00F47D86">
              <w:rPr>
                <w:sz w:val="28"/>
                <w:szCs w:val="28"/>
              </w:rPr>
              <w:t>A</w:t>
            </w:r>
            <w:r w:rsidRPr="002D1D7A">
              <w:rPr>
                <w:sz w:val="28"/>
                <w:szCs w:val="28"/>
              </w:rPr>
              <w:t xml:space="preserve"> does not speak Welsh; therefore, all communication took </w:t>
            </w:r>
            <w:r w:rsidRPr="002D1D7A">
              <w:rPr>
                <w:sz w:val="28"/>
                <w:szCs w:val="28"/>
              </w:rPr>
              <w:lastRenderedPageBreak/>
              <w:t xml:space="preserve">place in English. During my first visit, Adult </w:t>
            </w:r>
            <w:r w:rsidR="00A221D4">
              <w:rPr>
                <w:sz w:val="28"/>
                <w:szCs w:val="28"/>
              </w:rPr>
              <w:t>A</w:t>
            </w:r>
            <w:r w:rsidRPr="002D1D7A">
              <w:rPr>
                <w:sz w:val="28"/>
                <w:szCs w:val="28"/>
              </w:rPr>
              <w:t xml:space="preserve"> disclosed repeated engagement in online romantic relationships, resulting in substantial financial losses, including a previous loss of £10,000 and ongoing payments of £100 per week in gift vouchers to a man she believed to be a multimillionaire on an oilrig. Despite clear indicators of romance fraud, Adult </w:t>
            </w:r>
            <w:r w:rsidR="00A221D4">
              <w:rPr>
                <w:sz w:val="28"/>
                <w:szCs w:val="28"/>
              </w:rPr>
              <w:t>A</w:t>
            </w:r>
            <w:r w:rsidRPr="002D1D7A">
              <w:rPr>
                <w:sz w:val="28"/>
                <w:szCs w:val="28"/>
              </w:rPr>
              <w:t xml:space="preserve"> maintained the legitimacy of these relationships and rejected professional advice. </w:t>
            </w:r>
          </w:p>
          <w:p w14:paraId="6D6D5287" w14:textId="77777777" w:rsidR="00C46861" w:rsidRPr="002D1D7A" w:rsidRDefault="00C46861" w:rsidP="002D1D7A">
            <w:pPr>
              <w:spacing w:line="360" w:lineRule="auto"/>
              <w:rPr>
                <w:sz w:val="28"/>
                <w:szCs w:val="28"/>
              </w:rPr>
            </w:pPr>
          </w:p>
          <w:p w14:paraId="1603ED59" w14:textId="77777777" w:rsidR="00C46861" w:rsidRPr="002D1D7A" w:rsidRDefault="00C46861" w:rsidP="002D1D7A">
            <w:pPr>
              <w:spacing w:line="360" w:lineRule="auto"/>
              <w:rPr>
                <w:sz w:val="28"/>
                <w:szCs w:val="28"/>
              </w:rPr>
            </w:pPr>
            <w:r w:rsidRPr="002D1D7A">
              <w:rPr>
                <w:sz w:val="28"/>
                <w:szCs w:val="28"/>
              </w:rPr>
              <w:t xml:space="preserve">The SSWBWA (2014) puts a duty on local authorities to promote and focus on the wellbeing of individuals who may need care and support. The term ‘wellbeing’ is at the central to the SSWBWA (2014). Wellbeing reflects the importance of prevention and early intervention in supporting well-being, highlighting how individuals can be empowered through access to information, advice and assistance. It emphasises involving people in shaping and delivering the services they use, and the Code of Practice establishes a framework in which individuals are recognised as equal partners in the process. One of the key principles in the SSWBWA (2014) is voice and control, which puts a duty on social workers to ensure they actively involve individuals in decisions about their lives, even when risks are present (Social Care Wales, 2017). </w:t>
            </w:r>
          </w:p>
          <w:p w14:paraId="2FB51CD1" w14:textId="77777777" w:rsidR="00C46861" w:rsidRPr="002D1D7A" w:rsidRDefault="00C46861" w:rsidP="002D1D7A">
            <w:pPr>
              <w:spacing w:line="360" w:lineRule="auto"/>
              <w:rPr>
                <w:sz w:val="28"/>
                <w:szCs w:val="28"/>
              </w:rPr>
            </w:pPr>
          </w:p>
          <w:p w14:paraId="521F3B37" w14:textId="233F90D9" w:rsidR="00C46861" w:rsidRPr="002D1D7A" w:rsidRDefault="00C46861" w:rsidP="002D1D7A">
            <w:pPr>
              <w:spacing w:line="360" w:lineRule="auto"/>
              <w:rPr>
                <w:sz w:val="28"/>
                <w:szCs w:val="28"/>
              </w:rPr>
            </w:pPr>
            <w:r w:rsidRPr="002D1D7A">
              <w:rPr>
                <w:sz w:val="28"/>
                <w:szCs w:val="28"/>
              </w:rPr>
              <w:t xml:space="preserve">Part 7 Section 126 of The SSWBWA (2014) provides the statutory basis for adult safeguarding enquiries where an adult has care and support needs, is experiencing or at risk of abuse or neglect, and is unable to protect themselves because of those needs. In Adult </w:t>
            </w:r>
            <w:r w:rsidR="00F973C7">
              <w:rPr>
                <w:sz w:val="28"/>
                <w:szCs w:val="28"/>
              </w:rPr>
              <w:t>A</w:t>
            </w:r>
            <w:r w:rsidRPr="002D1D7A">
              <w:rPr>
                <w:sz w:val="28"/>
                <w:szCs w:val="28"/>
              </w:rPr>
              <w:t>’s case, repeated safeguarding referrals were made under Section 126 due to clear indicators of financial abuse, as defined within statutory guidance, alongside self</w:t>
            </w:r>
            <w:r w:rsidRPr="002D1D7A">
              <w:rPr>
                <w:sz w:val="28"/>
                <w:szCs w:val="28"/>
              </w:rPr>
              <w:noBreakHyphen/>
              <w:t>neglect and mental ill</w:t>
            </w:r>
            <w:r w:rsidRPr="002D1D7A">
              <w:rPr>
                <w:sz w:val="28"/>
                <w:szCs w:val="28"/>
              </w:rPr>
              <w:noBreakHyphen/>
              <w:t xml:space="preserve">health. The SSWBWA (2014) </w:t>
            </w:r>
            <w:r w:rsidRPr="002D1D7A">
              <w:rPr>
                <w:sz w:val="28"/>
                <w:szCs w:val="28"/>
              </w:rPr>
              <w:lastRenderedPageBreak/>
              <w:t>requires safeguarding responses to be proportionate, person</w:t>
            </w:r>
            <w:r w:rsidRPr="002D1D7A">
              <w:rPr>
                <w:sz w:val="28"/>
                <w:szCs w:val="28"/>
              </w:rPr>
              <w:noBreakHyphen/>
              <w:t>centred and outcome</w:t>
            </w:r>
            <w:r w:rsidRPr="002D1D7A">
              <w:rPr>
                <w:sz w:val="28"/>
                <w:szCs w:val="28"/>
              </w:rPr>
              <w:noBreakHyphen/>
              <w:t>focused rather than risk</w:t>
            </w:r>
            <w:r w:rsidRPr="002D1D7A">
              <w:rPr>
                <w:sz w:val="28"/>
                <w:szCs w:val="28"/>
              </w:rPr>
              <w:noBreakHyphen/>
              <w:t xml:space="preserve">averse, which was particularly relevant where Adult </w:t>
            </w:r>
            <w:r w:rsidR="00F973C7">
              <w:rPr>
                <w:sz w:val="28"/>
                <w:szCs w:val="28"/>
              </w:rPr>
              <w:t>A</w:t>
            </w:r>
            <w:r w:rsidRPr="002D1D7A">
              <w:rPr>
                <w:sz w:val="28"/>
                <w:szCs w:val="28"/>
              </w:rPr>
              <w:t xml:space="preserve"> consistently expressed outcomes that conflicted with professional assessments of risk.</w:t>
            </w:r>
          </w:p>
          <w:p w14:paraId="132F9D27" w14:textId="77777777" w:rsidR="00C46861" w:rsidRPr="002D1D7A" w:rsidRDefault="00C46861" w:rsidP="002D1D7A">
            <w:pPr>
              <w:spacing w:line="360" w:lineRule="auto"/>
              <w:rPr>
                <w:sz w:val="28"/>
                <w:szCs w:val="28"/>
              </w:rPr>
            </w:pPr>
          </w:p>
          <w:p w14:paraId="24AC916C" w14:textId="77777777" w:rsidR="00C46861" w:rsidRPr="002D1D7A" w:rsidRDefault="00C46861" w:rsidP="002D1D7A">
            <w:pPr>
              <w:spacing w:line="360" w:lineRule="auto"/>
              <w:rPr>
                <w:sz w:val="28"/>
                <w:szCs w:val="28"/>
              </w:rPr>
            </w:pPr>
            <w:r w:rsidRPr="002D1D7A">
              <w:rPr>
                <w:sz w:val="28"/>
                <w:szCs w:val="28"/>
              </w:rPr>
              <w:t>Social Care in Wales is devolved; however, the MCA (2005) applies across England and Wales and was central to this case. The legislation establishes that capacity is decision and time specific, and one of the key principles is that individuals can make unwise decisions. The SSWBWA (2014) provides the statutory foundation for safeguarding adults, underpinned by the Wales Safeguarding Procedures (2019), which operationalise Section 126 enquiries and multi-agency collaboration (Welsh Government, 2019). In contrast, England’s Care Act 2014 similarly mandates safeguarding duties but frames them primarily through a risk management lens, with less explicit emphasis on holistic wellbeing and citizen-centred outcomes (Department of Health and Social Care, 2014). While The MCA (2005) applies across both jurisdictions, differences in statutory language, guidance and procedural expectations illustrate the importance of understanding the Welsh context when practising within devolved services.</w:t>
            </w:r>
          </w:p>
          <w:p w14:paraId="0B53B52E" w14:textId="77777777" w:rsidR="00C46861" w:rsidRPr="002D1D7A" w:rsidRDefault="00C46861" w:rsidP="002D1D7A">
            <w:pPr>
              <w:spacing w:line="360" w:lineRule="auto"/>
              <w:rPr>
                <w:sz w:val="28"/>
                <w:szCs w:val="28"/>
              </w:rPr>
            </w:pPr>
          </w:p>
          <w:p w14:paraId="255A4A21" w14:textId="77777777" w:rsidR="00C46861" w:rsidRPr="002D1D7A" w:rsidRDefault="00C46861" w:rsidP="002D1D7A">
            <w:pPr>
              <w:spacing w:line="360" w:lineRule="auto"/>
              <w:rPr>
                <w:sz w:val="28"/>
                <w:szCs w:val="28"/>
              </w:rPr>
            </w:pPr>
            <w:r w:rsidRPr="002D1D7A">
              <w:rPr>
                <w:sz w:val="28"/>
                <w:szCs w:val="28"/>
              </w:rPr>
              <w:t xml:space="preserve">At an international level, Wales aligns with the United Nations Convention on the Rights of Persons with Disabilities (UNCRPD), which emphasises autonomy, protection from exploitation, and participation in decision-making. These principles are embedded within Welsh legislation, particularly The SSWBWA (2014), which promotes a rights-based, person-centred approach to safeguarding and well-being. Further alignment is evident through the application of The MCA (2005), </w:t>
            </w:r>
            <w:r w:rsidRPr="002D1D7A">
              <w:rPr>
                <w:sz w:val="28"/>
                <w:szCs w:val="28"/>
              </w:rPr>
              <w:lastRenderedPageBreak/>
              <w:t>supporting autonomy and supported decision-making, and the Well-being of Future Generations (Wales) Act (2015), which reinforces social justice and preventative practice. Despite the UK’s exit from the European Union, Wales continues to uphold international human rights standards, integrating global principles into local safeguarding practice. This line demonstrates how Welsh social services provision both mirrors and differs from UK-wide and international frameworks, shaping professional assessment, intervention and ethical judgement (Social Care Wales, 2024).</w:t>
            </w:r>
          </w:p>
          <w:p w14:paraId="13DA921B" w14:textId="77777777" w:rsidR="00C46861" w:rsidRPr="002D1D7A" w:rsidRDefault="00C46861" w:rsidP="002D1D7A">
            <w:pPr>
              <w:spacing w:line="360" w:lineRule="auto"/>
              <w:rPr>
                <w:sz w:val="28"/>
                <w:szCs w:val="28"/>
              </w:rPr>
            </w:pPr>
          </w:p>
          <w:p w14:paraId="4323DF8A" w14:textId="2321BF60" w:rsidR="00C46861" w:rsidRPr="002D1D7A" w:rsidRDefault="00C46861" w:rsidP="002D1D7A">
            <w:pPr>
              <w:spacing w:after="160" w:line="360" w:lineRule="auto"/>
              <w:rPr>
                <w:sz w:val="28"/>
                <w:szCs w:val="28"/>
              </w:rPr>
            </w:pPr>
            <w:r w:rsidRPr="002D1D7A">
              <w:rPr>
                <w:sz w:val="28"/>
                <w:szCs w:val="28"/>
              </w:rPr>
              <w:t xml:space="preserve">On my initial visit to Adult </w:t>
            </w:r>
            <w:r w:rsidR="00707236">
              <w:rPr>
                <w:sz w:val="28"/>
                <w:szCs w:val="28"/>
              </w:rPr>
              <w:t>A</w:t>
            </w:r>
            <w:r w:rsidRPr="002D1D7A">
              <w:rPr>
                <w:sz w:val="28"/>
                <w:szCs w:val="28"/>
              </w:rPr>
              <w:t xml:space="preserve">, in line with The MCA (2005), I applied the Act’s key principles by presuming she had capacity and recognising that, although she appeared to be making unwise decisions, she had the right to do so (UK Government, 2005). I explained to Adult </w:t>
            </w:r>
            <w:r w:rsidR="00707236">
              <w:rPr>
                <w:sz w:val="28"/>
                <w:szCs w:val="28"/>
              </w:rPr>
              <w:t>A</w:t>
            </w:r>
            <w:r w:rsidRPr="002D1D7A">
              <w:rPr>
                <w:sz w:val="28"/>
                <w:szCs w:val="28"/>
              </w:rPr>
              <w:t xml:space="preserve"> that, due to concerns of potential financial abuse, I would be completing a safeguarding referral. Adult </w:t>
            </w:r>
            <w:r w:rsidR="00707236">
              <w:rPr>
                <w:sz w:val="28"/>
                <w:szCs w:val="28"/>
              </w:rPr>
              <w:t xml:space="preserve">A </w:t>
            </w:r>
            <w:r w:rsidRPr="002D1D7A">
              <w:rPr>
                <w:sz w:val="28"/>
                <w:szCs w:val="28"/>
              </w:rPr>
              <w:t xml:space="preserve">expressed that she did not wish for this to occur, stating “it has nothing to do with social services who she spoke to” and that she did not believe external intervention was necessary. This presented an ethical dilemma, as I acknowledged her perspective and respected her right to autonomy, while recognising my professional duty to act on safeguarding concerns. However, under The SSWBWA (2014) and the Wales Safeguarding Procedures (2019), safeguarding duties apply irrespective of consent where an adult is considered at risk of abuse or neglect. I therefore explained to Adult </w:t>
            </w:r>
            <w:r w:rsidR="00F439F6">
              <w:rPr>
                <w:sz w:val="28"/>
                <w:szCs w:val="28"/>
              </w:rPr>
              <w:t>A</w:t>
            </w:r>
            <w:r w:rsidRPr="002D1D7A">
              <w:rPr>
                <w:sz w:val="28"/>
                <w:szCs w:val="28"/>
              </w:rPr>
              <w:t xml:space="preserve"> that, as a social worker, I had a duty to report my concerns, despite her disagreement. In accordance with Welsh safeguarding guidance, I submitted a Multi-Agency Referral Form (MARF) to ensure the concerns were appropriately assessed (Welsh Government, 2019; North Wales </w:t>
            </w:r>
            <w:r w:rsidRPr="002D1D7A">
              <w:rPr>
                <w:sz w:val="28"/>
                <w:szCs w:val="28"/>
              </w:rPr>
              <w:lastRenderedPageBreak/>
              <w:t xml:space="preserve">Safeguarding Board, 2023; Social Care Wales, 2025). The submission of the MARF resulted in a referral to the Local Authority Safeguarding Team, with a Safeguarding Worker completing initial enquiries. It was determined that Adult </w:t>
            </w:r>
            <w:r w:rsidR="00E569A1">
              <w:rPr>
                <w:sz w:val="28"/>
                <w:szCs w:val="28"/>
              </w:rPr>
              <w:t>A</w:t>
            </w:r>
            <w:r w:rsidRPr="002D1D7A">
              <w:rPr>
                <w:sz w:val="28"/>
                <w:szCs w:val="28"/>
              </w:rPr>
              <w:t xml:space="preserve">’s inability to recognise potential risk warranted a Section 126 enquiry and a multi-agency strategy meeting. As part of this process, the Police Fraud Team were contacted and an officer allocated to the case. Ultimately, while the police remained involved, the safeguarding team closed their involvement on the basis that Adult </w:t>
            </w:r>
            <w:r w:rsidR="001870C2">
              <w:rPr>
                <w:sz w:val="28"/>
                <w:szCs w:val="28"/>
              </w:rPr>
              <w:t xml:space="preserve">A </w:t>
            </w:r>
            <w:r w:rsidRPr="002D1D7A">
              <w:rPr>
                <w:sz w:val="28"/>
                <w:szCs w:val="28"/>
              </w:rPr>
              <w:t>was assessed as having capacity and was exercising her right to make unwise decisions.</w:t>
            </w:r>
          </w:p>
          <w:p w14:paraId="524380C8" w14:textId="77777777" w:rsidR="00C46861" w:rsidRPr="002D1D7A" w:rsidRDefault="00C46861" w:rsidP="002D1D7A">
            <w:pPr>
              <w:spacing w:line="360" w:lineRule="auto"/>
              <w:rPr>
                <w:sz w:val="28"/>
                <w:szCs w:val="28"/>
              </w:rPr>
            </w:pPr>
          </w:p>
          <w:p w14:paraId="02B055B9" w14:textId="58CC5A5D" w:rsidR="00C46861" w:rsidRPr="002D1D7A" w:rsidRDefault="00C46861" w:rsidP="002D1D7A">
            <w:pPr>
              <w:spacing w:line="360" w:lineRule="auto"/>
              <w:rPr>
                <w:sz w:val="28"/>
                <w:szCs w:val="28"/>
              </w:rPr>
            </w:pPr>
            <w:r w:rsidRPr="002D1D7A">
              <w:rPr>
                <w:sz w:val="28"/>
                <w:szCs w:val="28"/>
              </w:rPr>
              <w:t xml:space="preserve">As I got to know Adult </w:t>
            </w:r>
            <w:r w:rsidR="001870C2">
              <w:rPr>
                <w:sz w:val="28"/>
                <w:szCs w:val="28"/>
              </w:rPr>
              <w:t>A</w:t>
            </w:r>
            <w:r w:rsidRPr="002D1D7A">
              <w:rPr>
                <w:sz w:val="28"/>
                <w:szCs w:val="28"/>
              </w:rPr>
              <w:t xml:space="preserve">, her presentation became increasingly delusional, and I began to doubt her capacity in relation to sending money to her online partner. Her beliefs about her online partner became increasingly implausible and fixed, and as she disclosed plans to send £3,000 as an “investment”, concerns arose regarding her ability to use and weigh information about financial risk. I completed a Mental Capacity Assessment focused on that decision. During the capacity assessment, Adult </w:t>
            </w:r>
            <w:r w:rsidR="001870C2">
              <w:rPr>
                <w:sz w:val="28"/>
                <w:szCs w:val="28"/>
              </w:rPr>
              <w:t xml:space="preserve">A </w:t>
            </w:r>
            <w:r w:rsidRPr="002D1D7A">
              <w:rPr>
                <w:sz w:val="28"/>
                <w:szCs w:val="28"/>
              </w:rPr>
              <w:t xml:space="preserve">demonstrated an inability to recognise the possibility of exploitation, dismissed professional advice as lies, and relied on delusional explanations to justify her actions. On this basis, I concluded that she lacked capacity in relation to sending money to online contacts because she was unable to recognise and weigh the risk of exploitation, however, Adult </w:t>
            </w:r>
            <w:r w:rsidR="00757ECD">
              <w:rPr>
                <w:sz w:val="28"/>
                <w:szCs w:val="28"/>
              </w:rPr>
              <w:t>A</w:t>
            </w:r>
            <w:r w:rsidRPr="002D1D7A">
              <w:rPr>
                <w:sz w:val="28"/>
                <w:szCs w:val="28"/>
              </w:rPr>
              <w:t xml:space="preserve"> retained capacity for general financial management.  Following this assessment, I submitted a second MARF; the safeguarding team was re</w:t>
            </w:r>
            <w:r w:rsidRPr="002D1D7A">
              <w:rPr>
                <w:rFonts w:ascii="Cambria Math" w:hAnsi="Cambria Math" w:cs="Cambria Math"/>
                <w:sz w:val="28"/>
                <w:szCs w:val="28"/>
              </w:rPr>
              <w:t>‑</w:t>
            </w:r>
            <w:r w:rsidRPr="002D1D7A">
              <w:rPr>
                <w:sz w:val="28"/>
                <w:szCs w:val="28"/>
              </w:rPr>
              <w:t xml:space="preserve">allocated, a further Section 126 enquiry commenced, followed by a second multiagency strategy meeting. </w:t>
            </w:r>
          </w:p>
          <w:p w14:paraId="41D53E3F" w14:textId="77777777" w:rsidR="00C46861" w:rsidRPr="002D1D7A" w:rsidRDefault="00C46861" w:rsidP="002D1D7A">
            <w:pPr>
              <w:spacing w:line="360" w:lineRule="auto"/>
              <w:rPr>
                <w:sz w:val="28"/>
                <w:szCs w:val="28"/>
              </w:rPr>
            </w:pPr>
          </w:p>
          <w:p w14:paraId="2CC1DEE4" w14:textId="38BBE0F4" w:rsidR="00C46861" w:rsidRPr="002D1D7A" w:rsidRDefault="00C46861" w:rsidP="002D1D7A">
            <w:pPr>
              <w:spacing w:line="360" w:lineRule="auto"/>
              <w:rPr>
                <w:sz w:val="28"/>
                <w:szCs w:val="28"/>
              </w:rPr>
            </w:pPr>
            <w:r w:rsidRPr="002D1D7A">
              <w:rPr>
                <w:sz w:val="28"/>
                <w:szCs w:val="28"/>
              </w:rPr>
              <w:lastRenderedPageBreak/>
              <w:t xml:space="preserve">This case has challenged me due to the complexity of applying the MCA (2005) in practice, particularly where mental illness, hallucinations, delusions and fixed beliefs undermine reasoning, but do not result in a global lack of capacity. Legal advice and input from mental health professionals highlighted the importance of not relying on a single assessment where mental state is unstable, reinforcing the need for cautious, defensible decision-making. Adult </w:t>
            </w:r>
            <w:r w:rsidR="00757ECD">
              <w:rPr>
                <w:sz w:val="28"/>
                <w:szCs w:val="28"/>
              </w:rPr>
              <w:t>A</w:t>
            </w:r>
            <w:r w:rsidRPr="002D1D7A">
              <w:rPr>
                <w:sz w:val="28"/>
                <w:szCs w:val="28"/>
              </w:rPr>
              <w:t xml:space="preserve"> was discussed within a GP multi-disciplinary team meeting, and referrals were made to the community mental health team and diabetes services. However, engagement remained inconsistent, with professionals reporting that Adult </w:t>
            </w:r>
            <w:r w:rsidR="00757ECD">
              <w:rPr>
                <w:sz w:val="28"/>
                <w:szCs w:val="28"/>
              </w:rPr>
              <w:t>A</w:t>
            </w:r>
            <w:r w:rsidRPr="002D1D7A">
              <w:rPr>
                <w:sz w:val="28"/>
                <w:szCs w:val="28"/>
              </w:rPr>
              <w:t xml:space="preserve"> struggled to follow instructions or attend appointments. This raised questions about executive functioning and insight, further complicating assessment.</w:t>
            </w:r>
          </w:p>
          <w:p w14:paraId="24909FCE" w14:textId="77777777" w:rsidR="00C46861" w:rsidRPr="002D1D7A" w:rsidRDefault="00C46861" w:rsidP="002D1D7A">
            <w:pPr>
              <w:spacing w:line="360" w:lineRule="auto"/>
              <w:rPr>
                <w:sz w:val="28"/>
                <w:szCs w:val="28"/>
              </w:rPr>
            </w:pPr>
          </w:p>
          <w:p w14:paraId="5B4F668B" w14:textId="742B0E41" w:rsidR="00C46861" w:rsidRPr="002D1D7A" w:rsidRDefault="00C46861" w:rsidP="002D1D7A">
            <w:pPr>
              <w:spacing w:line="360" w:lineRule="auto"/>
              <w:rPr>
                <w:sz w:val="28"/>
                <w:szCs w:val="28"/>
              </w:rPr>
            </w:pPr>
            <w:r w:rsidRPr="002D1D7A">
              <w:rPr>
                <w:sz w:val="28"/>
                <w:szCs w:val="28"/>
              </w:rPr>
              <w:t xml:space="preserve">Concluding that Adult </w:t>
            </w:r>
            <w:r w:rsidR="00757ECD">
              <w:rPr>
                <w:sz w:val="28"/>
                <w:szCs w:val="28"/>
              </w:rPr>
              <w:t>A</w:t>
            </w:r>
            <w:r w:rsidRPr="002D1D7A">
              <w:rPr>
                <w:sz w:val="28"/>
                <w:szCs w:val="28"/>
              </w:rPr>
              <w:t xml:space="preserve"> did not have capacity regarding sending money to her online partner, was not a judgment I found easy, due to her ability to communicate and function independently within the community and day to day life. In line with good practice, my conclusions were developed in supervision and through consultation with safeguarding and mental health colleagues, and given her fluctuating capacity  and hallucinations I repeated and timed the capacity assessment to the specific decision, documenting my rationale to ensure it was defensible, transparent and reflective </w:t>
            </w:r>
            <w:r w:rsidRPr="002D1D7A">
              <w:rPr>
                <w:i/>
                <w:iCs/>
                <w:sz w:val="28"/>
                <w:szCs w:val="28"/>
              </w:rPr>
              <w:t>(NICE, 2018; 39 Essex Chambers, 2025; Research in Practice, 2023a)</w:t>
            </w:r>
            <w:r w:rsidRPr="002D1D7A">
              <w:rPr>
                <w:sz w:val="28"/>
                <w:szCs w:val="28"/>
              </w:rPr>
              <w:t xml:space="preserve">.In response to escalating financial risk, I contacted Adult </w:t>
            </w:r>
            <w:r w:rsidR="00894B17">
              <w:rPr>
                <w:sz w:val="28"/>
                <w:szCs w:val="28"/>
              </w:rPr>
              <w:t>A</w:t>
            </w:r>
            <w:r w:rsidRPr="002D1D7A">
              <w:rPr>
                <w:sz w:val="28"/>
                <w:szCs w:val="28"/>
              </w:rPr>
              <w:t xml:space="preserve">’s bank to share concerns regarding her vulnerability to romance fraud. This action required careful consideration of consent, proportionality and information sharing. The bank’s subsequent intervention to block a £3,000 transfer demonstrated effective </w:t>
            </w:r>
            <w:r w:rsidRPr="002D1D7A">
              <w:rPr>
                <w:sz w:val="28"/>
                <w:szCs w:val="28"/>
              </w:rPr>
              <w:lastRenderedPageBreak/>
              <w:t xml:space="preserve">partnership working, although Adult </w:t>
            </w:r>
            <w:r w:rsidR="00894B17">
              <w:rPr>
                <w:sz w:val="28"/>
                <w:szCs w:val="28"/>
              </w:rPr>
              <w:t>A</w:t>
            </w:r>
            <w:r w:rsidRPr="002D1D7A">
              <w:rPr>
                <w:sz w:val="28"/>
                <w:szCs w:val="28"/>
              </w:rPr>
              <w:t xml:space="preserve"> later sought alternative means to send money, highlighting the limitations of such safeguards.</w:t>
            </w:r>
          </w:p>
          <w:p w14:paraId="101DD1FE" w14:textId="77777777" w:rsidR="00C46861" w:rsidRPr="002D1D7A" w:rsidRDefault="00C46861" w:rsidP="002D1D7A">
            <w:pPr>
              <w:spacing w:line="360" w:lineRule="auto"/>
              <w:rPr>
                <w:sz w:val="28"/>
                <w:szCs w:val="28"/>
              </w:rPr>
            </w:pPr>
          </w:p>
          <w:p w14:paraId="630DBB89" w14:textId="4178E381" w:rsidR="00C46861" w:rsidRPr="002D1D7A" w:rsidRDefault="00C46861" w:rsidP="002D1D7A">
            <w:pPr>
              <w:spacing w:line="360" w:lineRule="auto"/>
              <w:rPr>
                <w:sz w:val="28"/>
                <w:szCs w:val="28"/>
              </w:rPr>
            </w:pPr>
            <w:r w:rsidRPr="002D1D7A">
              <w:rPr>
                <w:sz w:val="28"/>
                <w:szCs w:val="28"/>
              </w:rPr>
              <w:t xml:space="preserve">An advocacy referral was made in recognition of Adult </w:t>
            </w:r>
            <w:r w:rsidR="00894B17">
              <w:rPr>
                <w:sz w:val="28"/>
                <w:szCs w:val="28"/>
              </w:rPr>
              <w:t>A</w:t>
            </w:r>
            <w:r w:rsidRPr="002D1D7A">
              <w:rPr>
                <w:sz w:val="28"/>
                <w:szCs w:val="28"/>
              </w:rPr>
              <w:t>’s resistance to professional involvement and her distress when finances were discussed. Her son provided valuable historical context but ultimately disengaged, citing emotional exhaustion. This highlighted the impact of long-term safeguarding concerns on families and carers. Research also shows that long</w:t>
            </w:r>
            <w:r w:rsidRPr="002D1D7A">
              <w:rPr>
                <w:sz w:val="28"/>
                <w:szCs w:val="28"/>
              </w:rPr>
              <w:noBreakHyphen/>
              <w:t xml:space="preserve">term safeguarding involvement can place significant emotional strain on families, sometimes leading to withdrawal or disengagement, particularly where risks persist over time </w:t>
            </w:r>
            <w:r w:rsidRPr="002D1D7A">
              <w:rPr>
                <w:i/>
                <w:iCs/>
                <w:sz w:val="28"/>
                <w:szCs w:val="28"/>
              </w:rPr>
              <w:t>(Donnelly et al., 2025; ILC</w:t>
            </w:r>
            <w:r w:rsidRPr="002D1D7A">
              <w:rPr>
                <w:i/>
                <w:iCs/>
                <w:sz w:val="28"/>
                <w:szCs w:val="28"/>
              </w:rPr>
              <w:noBreakHyphen/>
              <w:t>UK, 2018)</w:t>
            </w:r>
            <w:r w:rsidRPr="002D1D7A">
              <w:rPr>
                <w:sz w:val="28"/>
                <w:szCs w:val="28"/>
              </w:rPr>
              <w:t>. Similarly, challenges in multi</w:t>
            </w:r>
            <w:r w:rsidRPr="002D1D7A">
              <w:rPr>
                <w:sz w:val="28"/>
                <w:szCs w:val="28"/>
              </w:rPr>
              <w:noBreakHyphen/>
              <w:t>agency safeguarding including differing risk thresholds, unclear roles and variable enforcement powers are well</w:t>
            </w:r>
            <w:r w:rsidRPr="002D1D7A">
              <w:rPr>
                <w:sz w:val="28"/>
                <w:szCs w:val="28"/>
              </w:rPr>
              <w:noBreakHyphen/>
              <w:t xml:space="preserve">documented in practice reviews </w:t>
            </w:r>
            <w:r w:rsidRPr="002D1D7A">
              <w:rPr>
                <w:i/>
                <w:iCs/>
                <w:sz w:val="28"/>
                <w:szCs w:val="28"/>
              </w:rPr>
              <w:t>(Stevens, 2013)</w:t>
            </w:r>
            <w:r w:rsidRPr="002D1D7A">
              <w:rPr>
                <w:sz w:val="28"/>
                <w:szCs w:val="28"/>
              </w:rPr>
              <w:t xml:space="preserve">, reinforcing the need for sustained professional curiosity and respectful challenge to maintain effective safeguarding </w:t>
            </w:r>
            <w:r w:rsidRPr="002D1D7A">
              <w:rPr>
                <w:i/>
                <w:iCs/>
                <w:sz w:val="28"/>
                <w:szCs w:val="28"/>
              </w:rPr>
              <w:t>(North Wales Safeguarding Adults Board, 2022)</w:t>
            </w:r>
            <w:r w:rsidRPr="002D1D7A">
              <w:rPr>
                <w:sz w:val="28"/>
                <w:szCs w:val="28"/>
              </w:rPr>
              <w:t>.</w:t>
            </w:r>
          </w:p>
          <w:p w14:paraId="20E074CD" w14:textId="77777777" w:rsidR="00C46861" w:rsidRPr="002D1D7A" w:rsidRDefault="00C46861" w:rsidP="002D1D7A">
            <w:pPr>
              <w:spacing w:line="360" w:lineRule="auto"/>
              <w:rPr>
                <w:sz w:val="28"/>
                <w:szCs w:val="28"/>
              </w:rPr>
            </w:pPr>
          </w:p>
          <w:p w14:paraId="5DEDA3E1" w14:textId="03584308" w:rsidR="00C46861" w:rsidRPr="002D1D7A" w:rsidRDefault="00C46861" w:rsidP="002D1D7A">
            <w:pPr>
              <w:spacing w:line="360" w:lineRule="auto"/>
              <w:rPr>
                <w:sz w:val="28"/>
                <w:szCs w:val="28"/>
              </w:rPr>
            </w:pPr>
            <w:r w:rsidRPr="002D1D7A">
              <w:rPr>
                <w:sz w:val="28"/>
                <w:szCs w:val="28"/>
              </w:rPr>
              <w:t xml:space="preserve">Collaborative working was a strength in this case, challenges included differing professional thresholds, limited enforcement powers, and the emotional impact of repeated safeguarding without resolution. Reflecting on this process has reinforced the importance of respectful challenge and maintaining professional curiosity even where progress appears minimal. The Human Rights Act (1998) provided an essential ethical and legal framework for balancing Adult </w:t>
            </w:r>
            <w:r w:rsidR="003024E2">
              <w:rPr>
                <w:sz w:val="28"/>
                <w:szCs w:val="28"/>
              </w:rPr>
              <w:t>A</w:t>
            </w:r>
            <w:r w:rsidRPr="002D1D7A">
              <w:rPr>
                <w:sz w:val="28"/>
                <w:szCs w:val="28"/>
              </w:rPr>
              <w:t xml:space="preserve">’s rights against safeguarding duties. Article 8 of the European Convention on Human Rights protects the right to respect for private and family life, which includes relationships, financial autonomy and lifestyle choices, and any </w:t>
            </w:r>
            <w:r w:rsidRPr="002D1D7A">
              <w:rPr>
                <w:sz w:val="28"/>
                <w:szCs w:val="28"/>
              </w:rPr>
              <w:lastRenderedPageBreak/>
              <w:t xml:space="preserve">interference with these rights must be lawful, necessary and proportionate. In this case, interventions such as bank alerts, police involvement and exploration of appointeeship represented potential interferences with Adult </w:t>
            </w:r>
            <w:r w:rsidR="003024E2">
              <w:rPr>
                <w:sz w:val="28"/>
                <w:szCs w:val="28"/>
              </w:rPr>
              <w:t>A</w:t>
            </w:r>
            <w:r w:rsidRPr="002D1D7A">
              <w:rPr>
                <w:sz w:val="28"/>
                <w:szCs w:val="28"/>
              </w:rPr>
              <w:t xml:space="preserve">’s Article 8 rights. Submitting the MARF and involving the Safeguarding and Police were necessary to prevent financial harm to Adult </w:t>
            </w:r>
            <w:r w:rsidR="003024E2">
              <w:rPr>
                <w:sz w:val="28"/>
                <w:szCs w:val="28"/>
              </w:rPr>
              <w:t xml:space="preserve">A. </w:t>
            </w:r>
            <w:r w:rsidRPr="002D1D7A">
              <w:rPr>
                <w:sz w:val="28"/>
                <w:szCs w:val="28"/>
              </w:rPr>
              <w:t xml:space="preserve">These actions were the least restrictive options, respecting her presumed capacity while addressing risk, in line with The MCA (2005) (UK Government, 2005) and Section 126 of The SSWBWA (2014). This approach also aligns with UNCRPD Articles 3, 12, and 16, promoting autonomy, participation, and protection from exploitation. The case highlighted the ethical tension between respecting Adult </w:t>
            </w:r>
            <w:r w:rsidR="00C34685">
              <w:rPr>
                <w:sz w:val="28"/>
                <w:szCs w:val="28"/>
              </w:rPr>
              <w:t>A</w:t>
            </w:r>
            <w:r w:rsidRPr="002D1D7A">
              <w:rPr>
                <w:sz w:val="28"/>
                <w:szCs w:val="28"/>
              </w:rPr>
              <w:t>’s independence and fulfilling my statutory duty to safeguard her.</w:t>
            </w:r>
          </w:p>
          <w:p w14:paraId="00B4CC8D" w14:textId="77777777" w:rsidR="00C46861" w:rsidRPr="002D1D7A" w:rsidRDefault="00C46861" w:rsidP="002D1D7A">
            <w:pPr>
              <w:spacing w:line="360" w:lineRule="auto"/>
              <w:rPr>
                <w:sz w:val="28"/>
                <w:szCs w:val="28"/>
              </w:rPr>
            </w:pPr>
          </w:p>
          <w:p w14:paraId="33180096" w14:textId="44BC7989" w:rsidR="00C46861" w:rsidRPr="002D1D7A" w:rsidRDefault="00C46861" w:rsidP="002D1D7A">
            <w:pPr>
              <w:spacing w:line="360" w:lineRule="auto"/>
              <w:rPr>
                <w:sz w:val="28"/>
                <w:szCs w:val="28"/>
              </w:rPr>
            </w:pPr>
            <w:r w:rsidRPr="002D1D7A">
              <w:rPr>
                <w:sz w:val="28"/>
                <w:szCs w:val="28"/>
              </w:rPr>
              <w:t xml:space="preserve">My practice was guided by the BASW Code of Ethics (British Association of Social Workers, 2021), particularly principles relating to respect for autonomy, social justice and professional integrity. The case required ongoing reflection on the ethical discomfort of observing continued harm while operating within legal constraints. Wales’ commitment to human rights is also reflected in its alignment with international frameworks such as the United Nations Convention on the Rights of Persons with Disabilities, which places emphasis on autonomy, inclusion and safeguarding people from exploitation. Working with Adult </w:t>
            </w:r>
            <w:r w:rsidR="00C34685">
              <w:rPr>
                <w:sz w:val="28"/>
                <w:szCs w:val="28"/>
              </w:rPr>
              <w:t>A</w:t>
            </w:r>
            <w:r w:rsidRPr="002D1D7A">
              <w:rPr>
                <w:sz w:val="28"/>
                <w:szCs w:val="28"/>
              </w:rPr>
              <w:t xml:space="preserve">, I experienced the ongoing tension between supporting her independence and recognising when her vulnerabilities required protective intervention. </w:t>
            </w:r>
          </w:p>
          <w:p w14:paraId="3ADB3949" w14:textId="77777777" w:rsidR="00C46861" w:rsidRPr="002D1D7A" w:rsidRDefault="00C46861" w:rsidP="002D1D7A">
            <w:pPr>
              <w:spacing w:line="360" w:lineRule="auto"/>
              <w:rPr>
                <w:sz w:val="28"/>
                <w:szCs w:val="28"/>
              </w:rPr>
            </w:pPr>
          </w:p>
          <w:p w14:paraId="07316CBE" w14:textId="73CAC13F" w:rsidR="00C46861" w:rsidRPr="002D1D7A" w:rsidRDefault="00C46861" w:rsidP="002D1D7A">
            <w:pPr>
              <w:spacing w:line="360" w:lineRule="auto"/>
              <w:rPr>
                <w:sz w:val="28"/>
                <w:szCs w:val="28"/>
              </w:rPr>
            </w:pPr>
            <w:r w:rsidRPr="002D1D7A">
              <w:rPr>
                <w:sz w:val="28"/>
                <w:szCs w:val="28"/>
              </w:rPr>
              <w:lastRenderedPageBreak/>
              <w:t xml:space="preserve">My assessments with Adult </w:t>
            </w:r>
            <w:r w:rsidR="00C34685">
              <w:rPr>
                <w:sz w:val="28"/>
                <w:szCs w:val="28"/>
              </w:rPr>
              <w:t>A</w:t>
            </w:r>
            <w:r w:rsidRPr="002D1D7A">
              <w:rPr>
                <w:sz w:val="28"/>
                <w:szCs w:val="28"/>
              </w:rPr>
              <w:t xml:space="preserve"> were not a single visit, but instead a long-standing process, shaped by changing information, deterioration in Adult </w:t>
            </w:r>
            <w:r w:rsidR="00C34685">
              <w:rPr>
                <w:sz w:val="28"/>
                <w:szCs w:val="28"/>
              </w:rPr>
              <w:t>A</w:t>
            </w:r>
            <w:r w:rsidRPr="002D1D7A">
              <w:rPr>
                <w:sz w:val="28"/>
                <w:szCs w:val="28"/>
              </w:rPr>
              <w:t xml:space="preserve">’s mental health and escalating safeguarding risks. In line with The SSWBWA (2014), I took a holistic, person-centred approach, ensuring I worked on Adult </w:t>
            </w:r>
            <w:r w:rsidR="00CB6FAF">
              <w:rPr>
                <w:sz w:val="28"/>
                <w:szCs w:val="28"/>
              </w:rPr>
              <w:t>A</w:t>
            </w:r>
            <w:r w:rsidRPr="002D1D7A">
              <w:rPr>
                <w:sz w:val="28"/>
                <w:szCs w:val="28"/>
              </w:rPr>
              <w:t xml:space="preserve">’s strengths, needs, risks and desired outcomes whilst also maintaining a clear focus on her wellbeing. Although I felt she was making </w:t>
            </w:r>
            <w:proofErr w:type="gramStart"/>
            <w:r w:rsidRPr="002D1D7A">
              <w:rPr>
                <w:sz w:val="28"/>
                <w:szCs w:val="28"/>
              </w:rPr>
              <w:t>a</w:t>
            </w:r>
            <w:proofErr w:type="gramEnd"/>
            <w:r w:rsidRPr="002D1D7A">
              <w:rPr>
                <w:sz w:val="28"/>
                <w:szCs w:val="28"/>
              </w:rPr>
              <w:t xml:space="preserve"> unwise decision, </w:t>
            </w:r>
            <w:r w:rsidR="00CB6FAF">
              <w:rPr>
                <w:sz w:val="28"/>
                <w:szCs w:val="28"/>
              </w:rPr>
              <w:t>she</w:t>
            </w:r>
            <w:r w:rsidRPr="002D1D7A">
              <w:rPr>
                <w:sz w:val="28"/>
                <w:szCs w:val="28"/>
              </w:rPr>
              <w:t xml:space="preserve"> is in love with this man and as she explained, “as long as he is happy, I am happy”. My communication with Adult </w:t>
            </w:r>
            <w:r w:rsidR="00CB6FAF">
              <w:rPr>
                <w:sz w:val="28"/>
                <w:szCs w:val="28"/>
              </w:rPr>
              <w:t>A</w:t>
            </w:r>
            <w:r w:rsidRPr="002D1D7A">
              <w:rPr>
                <w:sz w:val="28"/>
                <w:szCs w:val="28"/>
              </w:rPr>
              <w:t xml:space="preserve"> had to be carefully considered to ensure a positive working relationship was maintained. This holistic, person-centred way of working aligns with strengths-based practice guidance, which emphasises building on a person’s skills, goals and wellbeing while working collaboratively to manage risks and sustain engagement (Social Care Wales, 2025). Risk enablement theory was also relevant. As Kemshall and Pritchard (1997) argue, risk cannot be eliminated without compromising autonomy. </w:t>
            </w:r>
          </w:p>
          <w:p w14:paraId="0E256E46" w14:textId="77777777" w:rsidR="00C46861" w:rsidRPr="002D1D7A" w:rsidRDefault="00C46861" w:rsidP="002D1D7A">
            <w:pPr>
              <w:spacing w:line="360" w:lineRule="auto"/>
              <w:rPr>
                <w:sz w:val="28"/>
                <w:szCs w:val="28"/>
              </w:rPr>
            </w:pPr>
          </w:p>
          <w:p w14:paraId="4D041E37" w14:textId="77777777" w:rsidR="00C46861" w:rsidRPr="002D1D7A" w:rsidRDefault="00C46861" w:rsidP="002D1D7A">
            <w:pPr>
              <w:spacing w:line="360" w:lineRule="auto"/>
              <w:rPr>
                <w:sz w:val="28"/>
                <w:szCs w:val="28"/>
              </w:rPr>
            </w:pPr>
          </w:p>
          <w:p w14:paraId="3207F2F5" w14:textId="4EA03654" w:rsidR="00C46861" w:rsidRPr="002D1D7A" w:rsidRDefault="00C46861" w:rsidP="002D1D7A">
            <w:pPr>
              <w:spacing w:line="360" w:lineRule="auto"/>
              <w:rPr>
                <w:sz w:val="28"/>
                <w:szCs w:val="28"/>
              </w:rPr>
            </w:pPr>
            <w:r w:rsidRPr="002D1D7A">
              <w:rPr>
                <w:sz w:val="28"/>
                <w:szCs w:val="28"/>
              </w:rPr>
              <w:t xml:space="preserve">Adult </w:t>
            </w:r>
            <w:r w:rsidR="00CB6FAF">
              <w:rPr>
                <w:sz w:val="28"/>
                <w:szCs w:val="28"/>
              </w:rPr>
              <w:t>A</w:t>
            </w:r>
            <w:r w:rsidRPr="002D1D7A">
              <w:rPr>
                <w:sz w:val="28"/>
                <w:szCs w:val="28"/>
              </w:rPr>
              <w:t xml:space="preserve"> was able to express her wishes and feelings and held a strong desire to continue to be independent in all aspects of her life. She described loneliness as a factor in her life and expressed that all that was important in life to her was “to be loved by a man”. Whilst reflecting, I questioned whether Adult </w:t>
            </w:r>
            <w:r w:rsidR="00CB6FAF">
              <w:rPr>
                <w:sz w:val="28"/>
                <w:szCs w:val="28"/>
              </w:rPr>
              <w:t>A</w:t>
            </w:r>
            <w:r w:rsidRPr="002D1D7A">
              <w:rPr>
                <w:sz w:val="28"/>
                <w:szCs w:val="28"/>
              </w:rPr>
              <w:t xml:space="preserve">’s childhood experience of being moved away from her mother to live with her aunt may have contributed to attachment-related trauma, potentially influencing her adult relationships and increasing her vulnerability to seeking emotional validation and connection through online romantic relationships. Attachment theory suggests that early disruptions in caregiving relationships can impact </w:t>
            </w:r>
            <w:r w:rsidRPr="002D1D7A">
              <w:rPr>
                <w:sz w:val="28"/>
                <w:szCs w:val="28"/>
              </w:rPr>
              <w:lastRenderedPageBreak/>
              <w:t>emotional regulation, self-worth and patterns of attachment in adulthood, particularly where experiences of loss or separation remain unresolved (Bowlby, 1988; Howe, 2011). Her apparent emotional fulfilment and sense of identity obtained from the online relationship therefore required consideration within assessment, as emotional needs and attachment appeared to significantly influence her decision-making.</w:t>
            </w:r>
          </w:p>
          <w:p w14:paraId="760065B6" w14:textId="77777777" w:rsidR="00C46861" w:rsidRPr="002D1D7A" w:rsidRDefault="00C46861" w:rsidP="002D1D7A">
            <w:pPr>
              <w:spacing w:line="360" w:lineRule="auto"/>
              <w:rPr>
                <w:sz w:val="28"/>
                <w:szCs w:val="28"/>
              </w:rPr>
            </w:pPr>
          </w:p>
          <w:p w14:paraId="084AE69D" w14:textId="72BEA2B3" w:rsidR="00C46861" w:rsidRPr="002D1D7A" w:rsidRDefault="00C46861" w:rsidP="002D1D7A">
            <w:pPr>
              <w:spacing w:line="360" w:lineRule="auto"/>
              <w:rPr>
                <w:sz w:val="28"/>
                <w:szCs w:val="28"/>
              </w:rPr>
            </w:pPr>
            <w:r w:rsidRPr="002D1D7A">
              <w:rPr>
                <w:sz w:val="28"/>
                <w:szCs w:val="28"/>
              </w:rPr>
              <w:t xml:space="preserve">Adult </w:t>
            </w:r>
            <w:r w:rsidR="001B5298">
              <w:rPr>
                <w:sz w:val="28"/>
                <w:szCs w:val="28"/>
              </w:rPr>
              <w:t>A</w:t>
            </w:r>
            <w:r w:rsidRPr="002D1D7A">
              <w:rPr>
                <w:sz w:val="28"/>
                <w:szCs w:val="28"/>
              </w:rPr>
              <w:t xml:space="preserve"> has many strengths, including her ability to arrange her own GP appointments, arrange taxis to go shopping and engage openly with professionals. However, my continuing risk assessment during my contact with Adult</w:t>
            </w:r>
            <w:r w:rsidR="001B5298">
              <w:rPr>
                <w:sz w:val="28"/>
                <w:szCs w:val="28"/>
              </w:rPr>
              <w:t xml:space="preserve"> A</w:t>
            </w:r>
            <w:r w:rsidRPr="002D1D7A">
              <w:rPr>
                <w:sz w:val="28"/>
                <w:szCs w:val="28"/>
              </w:rPr>
              <w:t xml:space="preserve"> also identified significant needs and risks, including financial vulnerability, unmanaged physical health conditions, memory impairment, hoarding behaviours and emerging psychotic symptoms. Risk analysis identified financial abuse as the primary safeguarding concern. With indicators including gifting of money to individuals, pawning of jewellery, debt, reliance on food banks, and a fixation on an online partner despite overwhelming evidence of fraud. The repetitive nature of the exploitation, confirmed by the police fraud team and Adult </w:t>
            </w:r>
            <w:r w:rsidR="001B5298">
              <w:rPr>
                <w:sz w:val="28"/>
                <w:szCs w:val="28"/>
              </w:rPr>
              <w:t>A'</w:t>
            </w:r>
            <w:r w:rsidRPr="002D1D7A">
              <w:rPr>
                <w:sz w:val="28"/>
                <w:szCs w:val="28"/>
              </w:rPr>
              <w:t xml:space="preserve">s son, demonstrated a clear pattern rather than isolated incidents. Over time, the complexity of the case increased due to a deterioration in Adult </w:t>
            </w:r>
            <w:r w:rsidR="001B5298">
              <w:rPr>
                <w:sz w:val="28"/>
                <w:szCs w:val="28"/>
              </w:rPr>
              <w:t>A’</w:t>
            </w:r>
            <w:r w:rsidRPr="002D1D7A">
              <w:rPr>
                <w:sz w:val="28"/>
                <w:szCs w:val="28"/>
              </w:rPr>
              <w:t xml:space="preserve">s mental health, expressing that she was seeing ghosts daily at night and an increase in delusional beliefs, increasing resistance to professional advice and an imminent access to a large sum of money. The changes in the situation required me to continually re-evaluate earlier assessments and my professional judgments and decisions needed to change when new evidence emerged, which is required and empathised as an action within the Consolidation learning outcomes for Newly Qualified Social Worker (Social Care Wales, 2018). </w:t>
            </w:r>
          </w:p>
          <w:p w14:paraId="3C7DD34D" w14:textId="77777777" w:rsidR="00C46861" w:rsidRPr="002D1D7A" w:rsidRDefault="00C46861" w:rsidP="002D1D7A">
            <w:pPr>
              <w:spacing w:line="360" w:lineRule="auto"/>
              <w:rPr>
                <w:sz w:val="28"/>
                <w:szCs w:val="28"/>
              </w:rPr>
            </w:pPr>
          </w:p>
          <w:p w14:paraId="422008A4" w14:textId="6133A3E3" w:rsidR="00C46861" w:rsidRPr="002D1D7A" w:rsidRDefault="00C46861" w:rsidP="002D1D7A">
            <w:pPr>
              <w:spacing w:line="360" w:lineRule="auto"/>
              <w:rPr>
                <w:sz w:val="28"/>
                <w:szCs w:val="28"/>
              </w:rPr>
            </w:pPr>
            <w:r w:rsidRPr="002D1D7A">
              <w:rPr>
                <w:sz w:val="28"/>
                <w:szCs w:val="28"/>
              </w:rPr>
              <w:t xml:space="preserve">This case illustrates the ethical tensions inherent in safeguarding, particularly the balance between respecting autonomy and responding to harm. Adult </w:t>
            </w:r>
            <w:r w:rsidR="00F03BBF">
              <w:rPr>
                <w:sz w:val="28"/>
                <w:szCs w:val="28"/>
              </w:rPr>
              <w:t>A</w:t>
            </w:r>
            <w:r w:rsidRPr="002D1D7A">
              <w:rPr>
                <w:sz w:val="28"/>
                <w:szCs w:val="28"/>
              </w:rPr>
              <w:t xml:space="preserve">’s situation exemplified the principle that individuals may prioritise emotional fulfilment over financial security, even where risks are evident. Article 8 of the Human Rights Act 1998 was central to decision-making, as any intervention that restricted Adult </w:t>
            </w:r>
            <w:r w:rsidR="00861B91">
              <w:rPr>
                <w:sz w:val="28"/>
                <w:szCs w:val="28"/>
              </w:rPr>
              <w:t xml:space="preserve">A’s </w:t>
            </w:r>
            <w:r w:rsidRPr="002D1D7A">
              <w:rPr>
                <w:sz w:val="28"/>
                <w:szCs w:val="28"/>
              </w:rPr>
              <w:t xml:space="preserve">relationships or financial autonomy required strong justification. Actions taken were proportionate and sought to minimise intrusion, reflecting the principle of the least restrictive option. Kemshall and Pritchard’s (1997) discussion of rights versus risk was particularly relevant. Allowing Adult </w:t>
            </w:r>
            <w:r w:rsidR="00861B91">
              <w:rPr>
                <w:sz w:val="28"/>
                <w:szCs w:val="28"/>
              </w:rPr>
              <w:t>A</w:t>
            </w:r>
            <w:r w:rsidRPr="002D1D7A">
              <w:rPr>
                <w:sz w:val="28"/>
                <w:szCs w:val="28"/>
              </w:rPr>
              <w:t xml:space="preserve"> to continue making harmful choices created ethical worry but was legally necessary where capacity could not be definitively overridden. This case reinforced that professional accountability lies in the quality of decision-making, not the outcome. Ethically, the BASW Code of Ethics (2014) required me to balance respect for Adult </w:t>
            </w:r>
            <w:r w:rsidR="00DF1AAD">
              <w:rPr>
                <w:sz w:val="28"/>
                <w:szCs w:val="28"/>
              </w:rPr>
              <w:t>A</w:t>
            </w:r>
            <w:r w:rsidRPr="002D1D7A">
              <w:rPr>
                <w:sz w:val="28"/>
                <w:szCs w:val="28"/>
              </w:rPr>
              <w:t xml:space="preserve">’s wishes with a commitment to preventing exploitation. I made sure I utilised my supervision sessions with my manager to ensure I was making correct and legal decisions. </w:t>
            </w:r>
          </w:p>
          <w:p w14:paraId="61F842FC" w14:textId="77777777" w:rsidR="00C46861" w:rsidRPr="002D1D7A" w:rsidRDefault="00C46861" w:rsidP="002D1D7A">
            <w:pPr>
              <w:spacing w:line="360" w:lineRule="auto"/>
              <w:rPr>
                <w:sz w:val="28"/>
                <w:szCs w:val="28"/>
              </w:rPr>
            </w:pPr>
          </w:p>
          <w:p w14:paraId="0C2E9B5C" w14:textId="59B2521D" w:rsidR="00C46861" w:rsidRPr="002D1D7A" w:rsidRDefault="00C46861" w:rsidP="002D1D7A">
            <w:pPr>
              <w:spacing w:line="360" w:lineRule="auto"/>
              <w:rPr>
                <w:sz w:val="28"/>
                <w:szCs w:val="28"/>
              </w:rPr>
            </w:pPr>
            <w:r w:rsidRPr="002D1D7A">
              <w:rPr>
                <w:sz w:val="28"/>
                <w:szCs w:val="28"/>
              </w:rPr>
              <w:t xml:space="preserve">As stated previously, Adult </w:t>
            </w:r>
            <w:r w:rsidR="00DF1AAD">
              <w:rPr>
                <w:sz w:val="28"/>
                <w:szCs w:val="28"/>
              </w:rPr>
              <w:t>A</w:t>
            </w:r>
            <w:r w:rsidRPr="002D1D7A">
              <w:rPr>
                <w:sz w:val="28"/>
                <w:szCs w:val="28"/>
              </w:rPr>
              <w:t xml:space="preserve">’s mental health continued to fluctuate, limiting the safeguarding responses that could be made. I continued to communicate with the professionals involved in </w:t>
            </w:r>
            <w:r w:rsidR="00DF1AAD">
              <w:rPr>
                <w:sz w:val="28"/>
                <w:szCs w:val="28"/>
              </w:rPr>
              <w:t>her</w:t>
            </w:r>
            <w:r w:rsidRPr="002D1D7A">
              <w:rPr>
                <w:sz w:val="28"/>
                <w:szCs w:val="28"/>
              </w:rPr>
              <w:t xml:space="preserve"> support, as well as speaking to Adult </w:t>
            </w:r>
            <w:r w:rsidR="00AD5B7F">
              <w:rPr>
                <w:sz w:val="28"/>
                <w:szCs w:val="28"/>
              </w:rPr>
              <w:t xml:space="preserve">A </w:t>
            </w:r>
            <w:r w:rsidRPr="002D1D7A">
              <w:rPr>
                <w:sz w:val="28"/>
                <w:szCs w:val="28"/>
              </w:rPr>
              <w:t xml:space="preserve">numerous times a week. Although </w:t>
            </w:r>
            <w:r w:rsidR="00AD5B7F">
              <w:rPr>
                <w:sz w:val="28"/>
                <w:szCs w:val="28"/>
              </w:rPr>
              <w:t>she</w:t>
            </w:r>
            <w:r w:rsidRPr="002D1D7A">
              <w:rPr>
                <w:sz w:val="28"/>
                <w:szCs w:val="28"/>
              </w:rPr>
              <w:t xml:space="preserve"> knew that I felt she was being subjected to romance fraud, she did not accept this and would continue to discuss her relationship with me, and would state, “make sure you don’t tell your manager, I do not want the police digging their nose in my business again”. Adult </w:t>
            </w:r>
            <w:r w:rsidR="00AD5B7F">
              <w:rPr>
                <w:sz w:val="28"/>
                <w:szCs w:val="28"/>
              </w:rPr>
              <w:t>A</w:t>
            </w:r>
            <w:r w:rsidRPr="002D1D7A">
              <w:rPr>
                <w:sz w:val="28"/>
                <w:szCs w:val="28"/>
              </w:rPr>
              <w:t xml:space="preserve"> would disclose information </w:t>
            </w:r>
            <w:r w:rsidRPr="002D1D7A">
              <w:rPr>
                <w:sz w:val="28"/>
                <w:szCs w:val="28"/>
              </w:rPr>
              <w:lastRenderedPageBreak/>
              <w:t xml:space="preserve">regarding her sending funds to her online partner, and my concerns would continue to grow due to an impending inheritance. I became increasingly concerned that existing interventions were insufficient to protect Adult </w:t>
            </w:r>
            <w:r w:rsidR="00AD5B7F">
              <w:rPr>
                <w:sz w:val="28"/>
                <w:szCs w:val="28"/>
              </w:rPr>
              <w:t xml:space="preserve">A </w:t>
            </w:r>
            <w:r w:rsidRPr="002D1D7A">
              <w:rPr>
                <w:sz w:val="28"/>
                <w:szCs w:val="28"/>
              </w:rPr>
              <w:t>from ongoing and imminent financial harm, particularly considering her forthcoming inheritance and her expressed intention to send significant sums of money to her online partner. While safeguarding processes under Section 126 of The SSWBWA (2014) had been appropriately initiated, I experienced a professional dilemma regarding whether further legal action was required to prevent exploitation.</w:t>
            </w:r>
          </w:p>
          <w:p w14:paraId="730ADBC8" w14:textId="77777777" w:rsidR="00C46861" w:rsidRPr="002D1D7A" w:rsidRDefault="00C46861" w:rsidP="002D1D7A">
            <w:pPr>
              <w:spacing w:line="360" w:lineRule="auto"/>
              <w:rPr>
                <w:sz w:val="28"/>
                <w:szCs w:val="28"/>
              </w:rPr>
            </w:pPr>
          </w:p>
          <w:p w14:paraId="029E6CD0" w14:textId="2569D7D9" w:rsidR="00C46861" w:rsidRPr="002D1D7A" w:rsidRDefault="00C46861" w:rsidP="002D1D7A">
            <w:pPr>
              <w:spacing w:line="360" w:lineRule="auto"/>
              <w:rPr>
                <w:sz w:val="28"/>
                <w:szCs w:val="28"/>
              </w:rPr>
            </w:pPr>
            <w:r w:rsidRPr="002D1D7A">
              <w:rPr>
                <w:sz w:val="28"/>
                <w:szCs w:val="28"/>
              </w:rPr>
              <w:t xml:space="preserve">In response to this uncertainty and my professional accountability, I sought legal advice from the local authority solicitor. This decision was informed by the Code of Professional Practice for Social Care in Wales (2026), which requires social workers to act within the law while taking reasonable steps to protect individuals from harm. My meeting with legal services focused on whether an application for appointeeship or other protective legal measures could be pursued to safeguard Adult </w:t>
            </w:r>
            <w:r w:rsidR="00E25CC8">
              <w:rPr>
                <w:sz w:val="28"/>
                <w:szCs w:val="28"/>
              </w:rPr>
              <w:t>A</w:t>
            </w:r>
            <w:r w:rsidRPr="002D1D7A">
              <w:rPr>
                <w:sz w:val="28"/>
                <w:szCs w:val="28"/>
              </w:rPr>
              <w:t xml:space="preserve">’s finances. However, an application for an appointeeship had to be put on hold, following advice from Adult </w:t>
            </w:r>
            <w:r w:rsidR="00E25CC8">
              <w:rPr>
                <w:sz w:val="28"/>
                <w:szCs w:val="28"/>
              </w:rPr>
              <w:t>A</w:t>
            </w:r>
            <w:r w:rsidRPr="002D1D7A">
              <w:rPr>
                <w:sz w:val="28"/>
                <w:szCs w:val="28"/>
              </w:rPr>
              <w:t xml:space="preserve">’s Community Psychiatric Nurse, who stated that her current mental health is not stable, and her medication was currently being altered. Legal advice confirmed that, despite significant safeguarding concerns, progression towards appointeeship under The MCA (2005) was not legally defensible at that time. This was due to Adult </w:t>
            </w:r>
            <w:r w:rsidR="00247CB4">
              <w:rPr>
                <w:sz w:val="28"/>
                <w:szCs w:val="28"/>
              </w:rPr>
              <w:t>A</w:t>
            </w:r>
            <w:r w:rsidRPr="002D1D7A">
              <w:rPr>
                <w:sz w:val="28"/>
                <w:szCs w:val="28"/>
              </w:rPr>
              <w:t xml:space="preserve">’s unstable mental health presentation, including hallucinations and the ongoing trialling of new mental health medication by the community mental health team. The Community Mental Health Team advised that Adult </w:t>
            </w:r>
            <w:r w:rsidR="00247CB4">
              <w:rPr>
                <w:sz w:val="28"/>
                <w:szCs w:val="28"/>
              </w:rPr>
              <w:t>A</w:t>
            </w:r>
            <w:r w:rsidRPr="002D1D7A">
              <w:rPr>
                <w:sz w:val="28"/>
                <w:szCs w:val="28"/>
              </w:rPr>
              <w:t xml:space="preserve">’s mental state was fluctuating and that any </w:t>
            </w:r>
            <w:r w:rsidRPr="002D1D7A">
              <w:rPr>
                <w:sz w:val="28"/>
                <w:szCs w:val="28"/>
              </w:rPr>
              <w:lastRenderedPageBreak/>
              <w:t xml:space="preserve">Mental Capacity assessment conducted during this period would be unreliable and open to legal challenge. As such, a determination of incapacity sufficient to justify appointeeship could not be established. This advice reinforced the complexity of the safeguarding situation and highlighted the limits of statutory intervention where capacity is uncertain rather than clearly absent. While this outcome was professionally frustrating, it was ethically and legally necessary to avoid disproportionate or unlawful interference with Adult </w:t>
            </w:r>
            <w:r w:rsidR="00867993">
              <w:rPr>
                <w:sz w:val="28"/>
                <w:szCs w:val="28"/>
              </w:rPr>
              <w:t>A</w:t>
            </w:r>
            <w:r w:rsidRPr="002D1D7A">
              <w:rPr>
                <w:sz w:val="28"/>
                <w:szCs w:val="28"/>
              </w:rPr>
              <w:t xml:space="preserve">’s Article 8 rights under the Human Rights Act (1998) (Legislation.gov.uk, 1998; Care Quality Commission, 2023). The advice also highlighted the importance of defensible decision-making, demonstrating that safeguarding practice must be grounded not only in perceived risk, but in lawful authority. The uncertainties created by fluctuating capacity further emphasised the need to rely on legal guidance </w:t>
            </w:r>
            <w:r w:rsidRPr="002D1D7A">
              <w:rPr>
                <w:i/>
                <w:iCs/>
                <w:sz w:val="28"/>
                <w:szCs w:val="28"/>
              </w:rPr>
              <w:t>(39 Essex Chambers, 2021; 39 Essex Chambers, 2025)</w:t>
            </w:r>
            <w:r w:rsidRPr="002D1D7A">
              <w:rPr>
                <w:sz w:val="28"/>
                <w:szCs w:val="28"/>
              </w:rPr>
              <w:t>.</w:t>
            </w:r>
          </w:p>
          <w:p w14:paraId="12C1236F" w14:textId="77777777" w:rsidR="00C46861" w:rsidRPr="002D1D7A" w:rsidRDefault="00C46861" w:rsidP="002D1D7A">
            <w:pPr>
              <w:spacing w:line="360" w:lineRule="auto"/>
              <w:rPr>
                <w:sz w:val="28"/>
                <w:szCs w:val="28"/>
              </w:rPr>
            </w:pPr>
          </w:p>
          <w:p w14:paraId="167911D3" w14:textId="77777777" w:rsidR="00C46861" w:rsidRPr="002D1D7A" w:rsidRDefault="00C46861" w:rsidP="002D1D7A">
            <w:pPr>
              <w:spacing w:line="360" w:lineRule="auto"/>
              <w:rPr>
                <w:sz w:val="28"/>
                <w:szCs w:val="28"/>
              </w:rPr>
            </w:pPr>
            <w:r w:rsidRPr="002D1D7A">
              <w:rPr>
                <w:sz w:val="28"/>
                <w:szCs w:val="28"/>
              </w:rPr>
              <w:t xml:space="preserve">This process prompted critical reflection on the emotional impact of safeguarding work where harm cannot be fully prevented. It required me to tolerate uncertainty, continue proportionate risk management measures, and maintain safeguarding oversight while respecting legal boundaries. Seeking legal advice strengthened my confidence that my actions were accountable and aligned with legislation. This case required me to tolerate uncertainty and resist defensive practice when safeguarding powers were limited by law. It highlighted the emotional impact of safeguarding work where harm cannot be fully prevented, despite persistent professional effort. Reflective supervision was essential in supporting ethical decision-making and managing professional anxiety. Seeking legal advice strengthened my confidence </w:t>
            </w:r>
            <w:r w:rsidRPr="002D1D7A">
              <w:rPr>
                <w:sz w:val="28"/>
                <w:szCs w:val="28"/>
              </w:rPr>
              <w:lastRenderedPageBreak/>
              <w:t>that my actions were transparent, accountable and defensible. This experience reinforced my understanding that effective safeguarding practice is not defined by the extent of intervention, but by lawful, ethical and proportionate decision-making, grounded in legislation, human rights and professional values.</w:t>
            </w:r>
          </w:p>
          <w:p w14:paraId="3DAD947C" w14:textId="77777777" w:rsidR="00C46861" w:rsidRPr="002D1D7A" w:rsidRDefault="00C46861" w:rsidP="002D1D7A">
            <w:pPr>
              <w:spacing w:line="360" w:lineRule="auto"/>
              <w:rPr>
                <w:sz w:val="28"/>
                <w:szCs w:val="28"/>
              </w:rPr>
            </w:pPr>
          </w:p>
          <w:p w14:paraId="472621CD" w14:textId="787CF390" w:rsidR="00C46861" w:rsidRPr="002D1D7A" w:rsidRDefault="00C46861" w:rsidP="002D1D7A">
            <w:pPr>
              <w:spacing w:line="360" w:lineRule="auto"/>
              <w:rPr>
                <w:sz w:val="28"/>
                <w:szCs w:val="28"/>
              </w:rPr>
            </w:pPr>
            <w:r w:rsidRPr="002D1D7A">
              <w:rPr>
                <w:sz w:val="28"/>
                <w:szCs w:val="28"/>
              </w:rPr>
              <w:t xml:space="preserve">Although this case did not progress to formal court proceedings, it required sustained consideration of potential legal processes and my professional role in contributing evidence-based opinion to inform such decisions. Adult safeguarding cases involving fluctuating capacity and financial exploitation frequently intersect with legal frameworks including The MCA (2005), Court of Protection proceedings and appointeeship applications (Department for Constitutional Affairs, 2007; 39 Essex Chambers, 2025). As such, my assessment work and analysis needed to meet a standard appropriate for potential legal scrutiny. My role involved presenting a balanced professional opinion informed by recorded Mental Capacity assessments, safeguarding enquiries under Section 126 of The SSWBWA (2014), multi-agency information and ongoing risk analysis (Welsh Government, 2019). This required clarity, objectivity and acknowledgement of uncertainty, particularly in relation to Adult </w:t>
            </w:r>
            <w:r w:rsidR="00674EF6">
              <w:rPr>
                <w:sz w:val="28"/>
                <w:szCs w:val="28"/>
              </w:rPr>
              <w:t>A</w:t>
            </w:r>
            <w:r w:rsidRPr="002D1D7A">
              <w:rPr>
                <w:sz w:val="28"/>
                <w:szCs w:val="28"/>
              </w:rPr>
              <w:t>’s fluctuating mental health and the impact of medication changes on capacity assessments (NICE, 2018; 39 Essex Chambers, 2021).</w:t>
            </w:r>
          </w:p>
          <w:p w14:paraId="1CEB9DA0" w14:textId="77777777" w:rsidR="00C46861" w:rsidRPr="002D1D7A" w:rsidRDefault="00C46861" w:rsidP="002D1D7A">
            <w:pPr>
              <w:spacing w:line="360" w:lineRule="auto"/>
              <w:rPr>
                <w:sz w:val="28"/>
                <w:szCs w:val="28"/>
              </w:rPr>
            </w:pPr>
          </w:p>
          <w:p w14:paraId="160AC909" w14:textId="77777777" w:rsidR="00C46861" w:rsidRPr="002D1D7A" w:rsidRDefault="00C46861" w:rsidP="002D1D7A">
            <w:pPr>
              <w:spacing w:line="360" w:lineRule="auto"/>
              <w:rPr>
                <w:sz w:val="28"/>
                <w:szCs w:val="28"/>
              </w:rPr>
            </w:pPr>
            <w:r w:rsidRPr="002D1D7A">
              <w:rPr>
                <w:sz w:val="28"/>
                <w:szCs w:val="28"/>
              </w:rPr>
              <w:t xml:space="preserve">Although legal advice confirmed that appointeeship was not defensible at that time, this process demonstrated my role in contributing to legal processes even where formal proceedings do not occur. Research highlights that lawful safeguarding practice depends on the quality of </w:t>
            </w:r>
            <w:r w:rsidRPr="002D1D7A">
              <w:rPr>
                <w:sz w:val="28"/>
                <w:szCs w:val="28"/>
              </w:rPr>
              <w:lastRenderedPageBreak/>
              <w:t>professional evidence and defensible decision-making rather than the extent of intervention achieved (Braye et al., 2015; Preston-Shoot, 2018). This experience strengthened my understanding of evidential thresholds, professional accountability and the importance of rights-based, proportionate decision-making in adult safeguarding.</w:t>
            </w:r>
          </w:p>
          <w:p w14:paraId="36CF23CE" w14:textId="77777777" w:rsidR="00C46861" w:rsidRPr="002D1D7A" w:rsidRDefault="00C46861" w:rsidP="002D1D7A">
            <w:pPr>
              <w:spacing w:line="360" w:lineRule="auto"/>
              <w:rPr>
                <w:sz w:val="28"/>
                <w:szCs w:val="28"/>
              </w:rPr>
            </w:pPr>
          </w:p>
          <w:p w14:paraId="439D5EE4" w14:textId="45FFF574" w:rsidR="00C46861" w:rsidRPr="002D1D7A" w:rsidRDefault="00C46861" w:rsidP="002D1D7A">
            <w:pPr>
              <w:spacing w:line="360" w:lineRule="auto"/>
              <w:rPr>
                <w:sz w:val="28"/>
                <w:szCs w:val="28"/>
              </w:rPr>
            </w:pPr>
            <w:r w:rsidRPr="002D1D7A">
              <w:rPr>
                <w:sz w:val="28"/>
                <w:szCs w:val="28"/>
              </w:rPr>
              <w:t xml:space="preserve">Ensuring I was documented information regarding my contact with Adult </w:t>
            </w:r>
            <w:r w:rsidR="001E7070">
              <w:rPr>
                <w:sz w:val="28"/>
                <w:szCs w:val="28"/>
              </w:rPr>
              <w:t>A</w:t>
            </w:r>
            <w:r w:rsidRPr="002D1D7A">
              <w:rPr>
                <w:sz w:val="28"/>
                <w:szCs w:val="28"/>
              </w:rPr>
              <w:t xml:space="preserve"> and professionals was paramount. Given the complexity created by fluctuating mental health, repeated safeguarding concerns and the potential for legal scrutiny, my case notes played a critical role in supporting analysis, informing professional judgement and evidencing accountability (Social Care Wales, 2022). My capacity assessment, safeguarding referral (MARF), strategy discussion and supervision session was clearly documented, with explicit rationale for decisions taken and actions not pursued. Recording supported decision-making by ensuring that patterns of risk were identifiable over time rather than viewed as isolated incidents. For example, documenting repeated disclosures of financial gifting, corroborated by police fraud services and family information, allowed me to evidence a sustained pattern of financial exploitation rather than a single unwise decision (Welsh Government, 2019). Analytical recording also ensured transparency in how I weighed Adult </w:t>
            </w:r>
            <w:proofErr w:type="gramStart"/>
            <w:r w:rsidR="00460822">
              <w:rPr>
                <w:sz w:val="28"/>
                <w:szCs w:val="28"/>
              </w:rPr>
              <w:t>A’</w:t>
            </w:r>
            <w:r w:rsidR="00460822" w:rsidRPr="002D1D7A">
              <w:rPr>
                <w:sz w:val="28"/>
                <w:szCs w:val="28"/>
              </w:rPr>
              <w:t>s</w:t>
            </w:r>
            <w:proofErr w:type="gramEnd"/>
            <w:r w:rsidRPr="002D1D7A">
              <w:rPr>
                <w:sz w:val="28"/>
                <w:szCs w:val="28"/>
              </w:rPr>
              <w:t xml:space="preserve"> expressed wishes against safeguarding duties, particularly where professional concern conflicted with her stated outcomes, in line with outcomes-focused practice under The SSWBWA (2014). </w:t>
            </w:r>
          </w:p>
          <w:p w14:paraId="074E2E7E" w14:textId="77777777" w:rsidR="00C46861" w:rsidRPr="002D1D7A" w:rsidRDefault="00C46861" w:rsidP="002D1D7A">
            <w:pPr>
              <w:spacing w:line="360" w:lineRule="auto"/>
              <w:rPr>
                <w:sz w:val="28"/>
                <w:szCs w:val="28"/>
              </w:rPr>
            </w:pPr>
          </w:p>
          <w:p w14:paraId="5D5A4D32" w14:textId="1ACDFF6B" w:rsidR="00C46861" w:rsidRPr="002D1D7A" w:rsidRDefault="00C46861" w:rsidP="002D1D7A">
            <w:pPr>
              <w:spacing w:line="360" w:lineRule="auto"/>
              <w:rPr>
                <w:sz w:val="28"/>
                <w:szCs w:val="28"/>
              </w:rPr>
            </w:pPr>
            <w:r w:rsidRPr="002D1D7A">
              <w:rPr>
                <w:sz w:val="28"/>
                <w:szCs w:val="28"/>
              </w:rPr>
              <w:t xml:space="preserve">Maintaining accurate and coherent records was also essential to professional accountability. Research indicates that poor-quality </w:t>
            </w:r>
            <w:r w:rsidRPr="002D1D7A">
              <w:rPr>
                <w:sz w:val="28"/>
                <w:szCs w:val="28"/>
              </w:rPr>
              <w:lastRenderedPageBreak/>
              <w:t xml:space="preserve">recording in safeguarding can lead to flawed decision-making, breakdowns in multi-agency working and increased risk of legal challenge (Braye et al., 2015; Munro, 2011). In this case, inadequate or purely descriptive recording could have resulted in disproportionate interference with Adult </w:t>
            </w:r>
            <w:r w:rsidR="00E569A1">
              <w:rPr>
                <w:sz w:val="28"/>
                <w:szCs w:val="28"/>
              </w:rPr>
              <w:t>A’</w:t>
            </w:r>
            <w:r w:rsidRPr="002D1D7A">
              <w:rPr>
                <w:sz w:val="28"/>
                <w:szCs w:val="28"/>
              </w:rPr>
              <w:t>s Article 8 rights or an inability to justify safeguarding thresholds under Section 126 of The SSWBWA (2014). By ensuring my recording complied with organisational policy, data protection requirements and the Code of Professional Practice for Social Care in Wales, I was able to demonstrate that safeguarding actions were lawful, proportionate and ethically defensible (Social Care Wales, 2024).</w:t>
            </w:r>
          </w:p>
          <w:p w14:paraId="6C50648F" w14:textId="77777777" w:rsidR="00C46861" w:rsidRPr="002D1D7A" w:rsidRDefault="00C46861" w:rsidP="002D1D7A">
            <w:pPr>
              <w:spacing w:line="360" w:lineRule="auto"/>
              <w:rPr>
                <w:sz w:val="28"/>
                <w:szCs w:val="28"/>
              </w:rPr>
            </w:pPr>
          </w:p>
          <w:p w14:paraId="632EA347" w14:textId="09F1A5D3" w:rsidR="00C46861" w:rsidRPr="002D1D7A" w:rsidRDefault="00C46861" w:rsidP="002D1D7A">
            <w:pPr>
              <w:spacing w:line="360" w:lineRule="auto"/>
              <w:rPr>
                <w:sz w:val="28"/>
                <w:szCs w:val="28"/>
              </w:rPr>
            </w:pPr>
            <w:r w:rsidRPr="002D1D7A">
              <w:rPr>
                <w:sz w:val="28"/>
                <w:szCs w:val="28"/>
              </w:rPr>
              <w:t xml:space="preserve">The safeguarding intervention with Adult </w:t>
            </w:r>
            <w:r w:rsidR="00B73378">
              <w:rPr>
                <w:sz w:val="28"/>
                <w:szCs w:val="28"/>
              </w:rPr>
              <w:t>A</w:t>
            </w:r>
            <w:r w:rsidRPr="002D1D7A">
              <w:rPr>
                <w:sz w:val="28"/>
                <w:szCs w:val="28"/>
              </w:rPr>
              <w:t xml:space="preserve"> remains ongoing and has not yet reached a resolution due to her current fluctuating mental health. I continue to liaise closely with her GP and mental health professionals throughout the week and receive multiple updates from Adult </w:t>
            </w:r>
            <w:r w:rsidR="00B73378">
              <w:rPr>
                <w:sz w:val="28"/>
                <w:szCs w:val="28"/>
              </w:rPr>
              <w:t xml:space="preserve">A </w:t>
            </w:r>
            <w:r w:rsidRPr="002D1D7A">
              <w:rPr>
                <w:sz w:val="28"/>
                <w:szCs w:val="28"/>
              </w:rPr>
              <w:t xml:space="preserve">regarding her wellbeing. To support her day-to-day functioning, a key worker has been arranged to assist with tasks such as managing her home environment, monitoring risk, and reporting any emerging concerns directly to myself. Long-term, the goal remains to explore appointeeship; however, Adult </w:t>
            </w:r>
            <w:r w:rsidR="007B33E7">
              <w:rPr>
                <w:sz w:val="28"/>
                <w:szCs w:val="28"/>
              </w:rPr>
              <w:t>A</w:t>
            </w:r>
            <w:r w:rsidRPr="002D1D7A">
              <w:rPr>
                <w:sz w:val="28"/>
                <w:szCs w:val="28"/>
              </w:rPr>
              <w:t xml:space="preserve"> has previously expressed firm opposition, highlighting the ethical and legal tension inherent in safeguarding adults with fluctuating capacity (Social Care Wales, 2024; Welsh Government, 2019).The community mental health team continue to provide support, and current legal advice recommends that a Community Psychiatric Nurse assist in conducting a Mental Capacity assessment once Adult </w:t>
            </w:r>
            <w:r w:rsidR="007B33E7">
              <w:rPr>
                <w:sz w:val="28"/>
                <w:szCs w:val="28"/>
              </w:rPr>
              <w:t>A</w:t>
            </w:r>
            <w:r w:rsidRPr="002D1D7A">
              <w:rPr>
                <w:sz w:val="28"/>
                <w:szCs w:val="28"/>
              </w:rPr>
              <w:t xml:space="preserve">’s mental health stabilises. In the interim, safeguarding concerns will continue to be reported promptly to the </w:t>
            </w:r>
            <w:r w:rsidRPr="002D1D7A">
              <w:rPr>
                <w:sz w:val="28"/>
                <w:szCs w:val="28"/>
              </w:rPr>
              <w:lastRenderedPageBreak/>
              <w:t>relevant team to ensure proportionate risk management, reflecting the ongoing, outcomes-focused nature of adult safeguarding practice (NICE, 2018; Braye et al., 2015).</w:t>
            </w:r>
          </w:p>
          <w:p w14:paraId="0F3AD933" w14:textId="77777777" w:rsidR="00C46861" w:rsidRPr="002D1D7A" w:rsidRDefault="00C46861" w:rsidP="002D1D7A">
            <w:pPr>
              <w:spacing w:line="360" w:lineRule="auto"/>
              <w:rPr>
                <w:sz w:val="28"/>
                <w:szCs w:val="28"/>
              </w:rPr>
            </w:pPr>
          </w:p>
          <w:p w14:paraId="5FAB3D69" w14:textId="5EDD694B" w:rsidR="00C46861" w:rsidRPr="002D1D7A" w:rsidRDefault="00C46861" w:rsidP="002D1D7A">
            <w:pPr>
              <w:spacing w:line="360" w:lineRule="auto"/>
              <w:rPr>
                <w:sz w:val="28"/>
                <w:szCs w:val="28"/>
              </w:rPr>
            </w:pPr>
            <w:r w:rsidRPr="002D1D7A">
              <w:rPr>
                <w:sz w:val="28"/>
                <w:szCs w:val="28"/>
              </w:rPr>
              <w:t xml:space="preserve">Multi-agency collaboration was central to safeguarding Adult </w:t>
            </w:r>
            <w:r w:rsidR="007B33E7">
              <w:rPr>
                <w:sz w:val="28"/>
                <w:szCs w:val="28"/>
              </w:rPr>
              <w:t>A</w:t>
            </w:r>
            <w:r w:rsidRPr="002D1D7A">
              <w:rPr>
                <w:sz w:val="28"/>
                <w:szCs w:val="28"/>
              </w:rPr>
              <w:t xml:space="preserve">. Working with her GP, community mental health team, advocacy services, and a key worker facilitated proportionate risk management and ongoing monitoring. Challenges included differing thresholds for risk, inconsistent engagement from some professionals, and navigating communication across agencies. Through persistent liaison, regular supervision, and shared planning, I maintained professional oversight while respecting her autonomy, reinforcing the importance of collaboration in complex safeguarding cases (North Wales Safeguarding Adults Board, 2022; Stevens, 2013). </w:t>
            </w:r>
          </w:p>
          <w:p w14:paraId="475FD4B6" w14:textId="77777777" w:rsidR="00C46861" w:rsidRPr="002D1D7A" w:rsidRDefault="00C46861" w:rsidP="002D1D7A">
            <w:pPr>
              <w:spacing w:line="360" w:lineRule="auto"/>
              <w:rPr>
                <w:sz w:val="28"/>
                <w:szCs w:val="28"/>
              </w:rPr>
            </w:pPr>
          </w:p>
          <w:p w14:paraId="427035B7" w14:textId="77777777" w:rsidR="00C46861" w:rsidRPr="002D1D7A" w:rsidRDefault="00C46861" w:rsidP="002D1D7A">
            <w:pPr>
              <w:spacing w:line="360" w:lineRule="auto"/>
              <w:rPr>
                <w:sz w:val="28"/>
                <w:szCs w:val="28"/>
              </w:rPr>
            </w:pPr>
            <w:r w:rsidRPr="002D1D7A">
              <w:rPr>
                <w:sz w:val="28"/>
                <w:szCs w:val="28"/>
              </w:rPr>
              <w:t>This case demonstrates the interface between Welsh legislation, human rights obligations, and international frameworks, including the UNCRPD, demonstrating how Welsh safeguarding practice differs from England’s Care Act 2014 while aligning with global rights-based principles. The use of reflective supervision, consultation with legal and mental health professionals, and thorough analytical recording has ensured that my decision-making remains ethical, defensible, and accountable.</w:t>
            </w:r>
          </w:p>
          <w:p w14:paraId="65C98106" w14:textId="77777777" w:rsidR="00C46861" w:rsidRPr="002D1D7A" w:rsidRDefault="00C46861" w:rsidP="002D1D7A">
            <w:pPr>
              <w:spacing w:line="360" w:lineRule="auto"/>
              <w:rPr>
                <w:sz w:val="28"/>
                <w:szCs w:val="28"/>
              </w:rPr>
            </w:pPr>
          </w:p>
          <w:p w14:paraId="7E67B152" w14:textId="77777777" w:rsidR="00C46861" w:rsidRPr="002D1D7A" w:rsidRDefault="00C46861" w:rsidP="002D1D7A">
            <w:pPr>
              <w:spacing w:line="360" w:lineRule="auto"/>
              <w:rPr>
                <w:sz w:val="28"/>
                <w:szCs w:val="28"/>
              </w:rPr>
            </w:pPr>
            <w:r w:rsidRPr="002D1D7A">
              <w:rPr>
                <w:sz w:val="28"/>
                <w:szCs w:val="28"/>
              </w:rPr>
              <w:t xml:space="preserve">Professionally, the experience has strengthened my ability to tolerate uncertainty, maintain professional curiosity, and navigate ethical tensions between respecting autonomy and preventing harm. It illustrates that effective safeguarding is not defined by the elimination of risk, but by the quality of assessment, collaborative intervention, and </w:t>
            </w:r>
            <w:r w:rsidRPr="002D1D7A">
              <w:rPr>
                <w:sz w:val="28"/>
                <w:szCs w:val="28"/>
              </w:rPr>
              <w:lastRenderedPageBreak/>
              <w:t>proportionate, rights-respecting decision-making. This case reinforced how legislation, policy, and theory overlap in practice. Wellbeing-focused frameworks under The SSWBWA (2014), human rights obligations under the Human Rights Act (1998) and risk enablement theory guided my proportional and ethically defensible interventions. Reflective supervision and consultation allowed me to critically evaluate decisions, demonstrating that safeguarding effectiveness lies in evidence-based, rights-respecting practice rather than outcome certainty (Braye et al., 2015; Social Care Wales, 2024).</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EFCA1CF" w:rsidR="00D3203C" w:rsidRPr="003D03EB" w:rsidRDefault="00C73B14" w:rsidP="00FF7EBB">
            <w:pPr>
              <w:jc w:val="both"/>
              <w:rPr>
                <w:b/>
                <w:bCs/>
                <w:i/>
                <w:sz w:val="24"/>
                <w:szCs w:val="24"/>
              </w:rPr>
            </w:pPr>
            <w:r w:rsidRPr="003D03EB">
              <w:rPr>
                <w:b/>
                <w:bCs/>
                <w:i/>
                <w:sz w:val="24"/>
                <w:szCs w:val="24"/>
              </w:rPr>
              <w:t xml:space="preserve">Word count </w:t>
            </w:r>
            <w:r w:rsidR="003D03EB" w:rsidRPr="003D03EB">
              <w:rPr>
                <w:b/>
                <w:bCs/>
                <w:i/>
                <w:sz w:val="24"/>
                <w:szCs w:val="24"/>
              </w:rPr>
              <w:t>- 439</w:t>
            </w:r>
            <w:r w:rsidR="00E569A1">
              <w:rPr>
                <w:b/>
                <w:bCs/>
                <w:i/>
                <w:sz w:val="24"/>
                <w:szCs w:val="24"/>
              </w:rPr>
              <w:t>6</w:t>
            </w: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Default="00CC135E" w:rsidP="003B29BC">
      <w:pPr>
        <w:rPr>
          <w:color w:val="auto"/>
          <w:sz w:val="24"/>
          <w:szCs w:val="24"/>
        </w:rPr>
      </w:pPr>
    </w:p>
    <w:p w14:paraId="3595EB6D" w14:textId="77777777" w:rsidR="003557D2" w:rsidRDefault="003557D2" w:rsidP="003B29BC">
      <w:pPr>
        <w:rPr>
          <w:color w:val="auto"/>
          <w:sz w:val="24"/>
          <w:szCs w:val="24"/>
        </w:rPr>
      </w:pPr>
    </w:p>
    <w:p w14:paraId="1BBA3F29" w14:textId="77777777" w:rsidR="003557D2" w:rsidRDefault="003557D2" w:rsidP="003B29BC">
      <w:pPr>
        <w:rPr>
          <w:color w:val="auto"/>
          <w:sz w:val="24"/>
          <w:szCs w:val="24"/>
        </w:rPr>
      </w:pPr>
    </w:p>
    <w:sectPr w:rsidR="003557D2" w:rsidSect="00065A31">
      <w:headerReference w:type="default" r:id="rId12"/>
      <w:footerReference w:type="default" r:id="rId13"/>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69B037" w14:textId="77777777" w:rsidR="00A75F0B" w:rsidRDefault="00A75F0B">
      <w:r>
        <w:separator/>
      </w:r>
    </w:p>
  </w:endnote>
  <w:endnote w:type="continuationSeparator" w:id="0">
    <w:p w14:paraId="6C5929E9" w14:textId="77777777" w:rsidR="00A75F0B" w:rsidRDefault="00A75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A1469" w14:textId="77777777" w:rsidR="00A75F0B" w:rsidRDefault="00A75F0B">
      <w:r>
        <w:separator/>
      </w:r>
    </w:p>
  </w:footnote>
  <w:footnote w:type="continuationSeparator" w:id="0">
    <w:p w14:paraId="0B2F09E4" w14:textId="77777777" w:rsidR="00A75F0B" w:rsidRDefault="00A75F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FEA3840"/>
    <w:multiLevelType w:val="hybridMultilevel"/>
    <w:tmpl w:val="4C1664BC"/>
    <w:lvl w:ilvl="0" w:tplc="0809000B">
      <w:start w:val="1"/>
      <w:numFmt w:val="bullet"/>
      <w:lvlText w:val=""/>
      <w:lvlJc w:val="left"/>
      <w:pPr>
        <w:tabs>
          <w:tab w:val="num" w:pos="720"/>
        </w:tabs>
        <w:ind w:left="720" w:hanging="360"/>
      </w:pPr>
      <w:rPr>
        <w:rFonts w:ascii="Wingdings" w:hAnsi="Wingdings"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2E01529"/>
    <w:multiLevelType w:val="hybridMultilevel"/>
    <w:tmpl w:val="04B4A5D4"/>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4FF813C7"/>
    <w:multiLevelType w:val="hybridMultilevel"/>
    <w:tmpl w:val="26D05710"/>
    <w:lvl w:ilvl="0" w:tplc="E3D88AFE">
      <w:start w:val="1"/>
      <w:numFmt w:val="bullet"/>
      <w:lvlText w:val="•"/>
      <w:lvlJc w:val="left"/>
      <w:pPr>
        <w:tabs>
          <w:tab w:val="num" w:pos="720"/>
        </w:tabs>
        <w:ind w:left="720" w:hanging="360"/>
      </w:pPr>
      <w:rPr>
        <w:rFonts w:ascii="Arial" w:hAnsi="Arial"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8"/>
  </w:num>
  <w:num w:numId="4" w16cid:durableId="1850633156">
    <w:abstractNumId w:val="50"/>
  </w:num>
  <w:num w:numId="5" w16cid:durableId="2042589495">
    <w:abstractNumId w:val="37"/>
  </w:num>
  <w:num w:numId="6" w16cid:durableId="933980368">
    <w:abstractNumId w:val="35"/>
  </w:num>
  <w:num w:numId="7" w16cid:durableId="1060399973">
    <w:abstractNumId w:val="31"/>
  </w:num>
  <w:num w:numId="8" w16cid:durableId="1237400777">
    <w:abstractNumId w:val="32"/>
  </w:num>
  <w:num w:numId="9" w16cid:durableId="1914463563">
    <w:abstractNumId w:val="11"/>
  </w:num>
  <w:num w:numId="10" w16cid:durableId="693307142">
    <w:abstractNumId w:val="36"/>
  </w:num>
  <w:num w:numId="11" w16cid:durableId="141846751">
    <w:abstractNumId w:val="18"/>
  </w:num>
  <w:num w:numId="12" w16cid:durableId="1310867263">
    <w:abstractNumId w:val="17"/>
  </w:num>
  <w:num w:numId="13" w16cid:durableId="65736213">
    <w:abstractNumId w:val="29"/>
  </w:num>
  <w:num w:numId="14" w16cid:durableId="825441142">
    <w:abstractNumId w:val="9"/>
  </w:num>
  <w:num w:numId="15" w16cid:durableId="1016493186">
    <w:abstractNumId w:val="28"/>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5"/>
  </w:num>
  <w:num w:numId="22" w16cid:durableId="352731724">
    <w:abstractNumId w:val="12"/>
  </w:num>
  <w:num w:numId="23" w16cid:durableId="456266206">
    <w:abstractNumId w:val="30"/>
  </w:num>
  <w:num w:numId="24" w16cid:durableId="317615789">
    <w:abstractNumId w:val="21"/>
  </w:num>
  <w:num w:numId="25" w16cid:durableId="856430468">
    <w:abstractNumId w:val="44"/>
  </w:num>
  <w:num w:numId="26" w16cid:durableId="1104690971">
    <w:abstractNumId w:val="38"/>
  </w:num>
  <w:num w:numId="27" w16cid:durableId="1201670287">
    <w:abstractNumId w:val="43"/>
  </w:num>
  <w:num w:numId="28" w16cid:durableId="598562144">
    <w:abstractNumId w:val="22"/>
  </w:num>
  <w:num w:numId="29" w16cid:durableId="871068292">
    <w:abstractNumId w:val="46"/>
  </w:num>
  <w:num w:numId="30" w16cid:durableId="482159744">
    <w:abstractNumId w:val="33"/>
  </w:num>
  <w:num w:numId="31" w16cid:durableId="1565527110">
    <w:abstractNumId w:val="13"/>
  </w:num>
  <w:num w:numId="32" w16cid:durableId="1175995731">
    <w:abstractNumId w:val="47"/>
  </w:num>
  <w:num w:numId="33" w16cid:durableId="694232600">
    <w:abstractNumId w:val="42"/>
  </w:num>
  <w:num w:numId="34" w16cid:durableId="1062095063">
    <w:abstractNumId w:val="5"/>
  </w:num>
  <w:num w:numId="35" w16cid:durableId="2051881075">
    <w:abstractNumId w:val="49"/>
  </w:num>
  <w:num w:numId="36" w16cid:durableId="2107188112">
    <w:abstractNumId w:val="45"/>
  </w:num>
  <w:num w:numId="37" w16cid:durableId="1313413796">
    <w:abstractNumId w:val="39"/>
  </w:num>
  <w:num w:numId="38" w16cid:durableId="1682197957">
    <w:abstractNumId w:val="40"/>
  </w:num>
  <w:num w:numId="39" w16cid:durableId="340203735">
    <w:abstractNumId w:val="4"/>
  </w:num>
  <w:num w:numId="40" w16cid:durableId="1266502755">
    <w:abstractNumId w:val="6"/>
  </w:num>
  <w:num w:numId="41" w16cid:durableId="2138642120">
    <w:abstractNumId w:val="27"/>
  </w:num>
  <w:num w:numId="42" w16cid:durableId="2082366208">
    <w:abstractNumId w:val="8"/>
  </w:num>
  <w:num w:numId="43" w16cid:durableId="488403910">
    <w:abstractNumId w:val="3"/>
  </w:num>
  <w:num w:numId="44" w16cid:durableId="210268195">
    <w:abstractNumId w:val="41"/>
  </w:num>
  <w:num w:numId="45" w16cid:durableId="891695978">
    <w:abstractNumId w:val="0"/>
  </w:num>
  <w:num w:numId="46" w16cid:durableId="827289017">
    <w:abstractNumId w:val="15"/>
  </w:num>
  <w:num w:numId="47" w16cid:durableId="167212813">
    <w:abstractNumId w:val="51"/>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0"/>
  </w:num>
  <w:num w:numId="51" w16cid:durableId="536360681">
    <w:abstractNumId w:val="26"/>
  </w:num>
  <w:num w:numId="52" w16cid:durableId="1666274935">
    <w:abstractNumId w:val="23"/>
  </w:num>
  <w:num w:numId="53" w16cid:durableId="435172075">
    <w:abstractNumId w:val="2"/>
  </w:num>
  <w:num w:numId="54" w16cid:durableId="1897819604">
    <w:abstractNumId w:val="34"/>
  </w:num>
  <w:num w:numId="55" w16cid:durableId="162674026">
    <w:abstractNumId w:val="19"/>
  </w:num>
  <w:num w:numId="56" w16cid:durableId="845677037">
    <w:abstractNumId w:val="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5985"/>
    <w:rsid w:val="00020EEC"/>
    <w:rsid w:val="0002382A"/>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65A31"/>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70C2"/>
    <w:rsid w:val="0019496C"/>
    <w:rsid w:val="001961CF"/>
    <w:rsid w:val="001A59BB"/>
    <w:rsid w:val="001A607E"/>
    <w:rsid w:val="001A6A51"/>
    <w:rsid w:val="001A79C4"/>
    <w:rsid w:val="001B331A"/>
    <w:rsid w:val="001B5298"/>
    <w:rsid w:val="001C0237"/>
    <w:rsid w:val="001C0E74"/>
    <w:rsid w:val="001C3E71"/>
    <w:rsid w:val="001C4DB8"/>
    <w:rsid w:val="001C50B8"/>
    <w:rsid w:val="001D229F"/>
    <w:rsid w:val="001E2EB6"/>
    <w:rsid w:val="001E7070"/>
    <w:rsid w:val="001F3D41"/>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47CB4"/>
    <w:rsid w:val="00252022"/>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1D7A"/>
    <w:rsid w:val="002D2F29"/>
    <w:rsid w:val="002D46C0"/>
    <w:rsid w:val="002D5A92"/>
    <w:rsid w:val="002D65D2"/>
    <w:rsid w:val="002D6B31"/>
    <w:rsid w:val="002E47C1"/>
    <w:rsid w:val="002E6D17"/>
    <w:rsid w:val="002E7017"/>
    <w:rsid w:val="002E71AA"/>
    <w:rsid w:val="002E7F2C"/>
    <w:rsid w:val="002F1FC7"/>
    <w:rsid w:val="002F2185"/>
    <w:rsid w:val="002F4F6E"/>
    <w:rsid w:val="003015C3"/>
    <w:rsid w:val="003024E2"/>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7D2"/>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3EB"/>
    <w:rsid w:val="003D0D2D"/>
    <w:rsid w:val="003D1885"/>
    <w:rsid w:val="003D1BC0"/>
    <w:rsid w:val="003D20F1"/>
    <w:rsid w:val="003D4710"/>
    <w:rsid w:val="003E16D7"/>
    <w:rsid w:val="003E197E"/>
    <w:rsid w:val="003E4B70"/>
    <w:rsid w:val="003E54CF"/>
    <w:rsid w:val="003E5FBA"/>
    <w:rsid w:val="003F1233"/>
    <w:rsid w:val="003F39D6"/>
    <w:rsid w:val="003F67A4"/>
    <w:rsid w:val="00400786"/>
    <w:rsid w:val="00401FDA"/>
    <w:rsid w:val="004046F0"/>
    <w:rsid w:val="0040668F"/>
    <w:rsid w:val="00411EF7"/>
    <w:rsid w:val="00412677"/>
    <w:rsid w:val="00425160"/>
    <w:rsid w:val="0042595C"/>
    <w:rsid w:val="00430DE3"/>
    <w:rsid w:val="00431571"/>
    <w:rsid w:val="004348AE"/>
    <w:rsid w:val="004376C0"/>
    <w:rsid w:val="0044223A"/>
    <w:rsid w:val="00450B67"/>
    <w:rsid w:val="00451851"/>
    <w:rsid w:val="0045189A"/>
    <w:rsid w:val="00453343"/>
    <w:rsid w:val="004538C3"/>
    <w:rsid w:val="00454434"/>
    <w:rsid w:val="00460822"/>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9750F"/>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4F7FE7"/>
    <w:rsid w:val="00500748"/>
    <w:rsid w:val="005011D6"/>
    <w:rsid w:val="00502A14"/>
    <w:rsid w:val="005042F1"/>
    <w:rsid w:val="0050481B"/>
    <w:rsid w:val="005113D4"/>
    <w:rsid w:val="0051287D"/>
    <w:rsid w:val="00513C7D"/>
    <w:rsid w:val="00514225"/>
    <w:rsid w:val="0051732D"/>
    <w:rsid w:val="00521123"/>
    <w:rsid w:val="00521221"/>
    <w:rsid w:val="0052250B"/>
    <w:rsid w:val="005305C6"/>
    <w:rsid w:val="00540EEC"/>
    <w:rsid w:val="005414F4"/>
    <w:rsid w:val="00546187"/>
    <w:rsid w:val="00547B11"/>
    <w:rsid w:val="00555586"/>
    <w:rsid w:val="005579AA"/>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072C"/>
    <w:rsid w:val="005C1567"/>
    <w:rsid w:val="005C28D3"/>
    <w:rsid w:val="005C6CE5"/>
    <w:rsid w:val="005D0D3C"/>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EF6"/>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1FB7"/>
    <w:rsid w:val="007069CD"/>
    <w:rsid w:val="00706BB5"/>
    <w:rsid w:val="00707236"/>
    <w:rsid w:val="0071231A"/>
    <w:rsid w:val="00712E90"/>
    <w:rsid w:val="00713B7E"/>
    <w:rsid w:val="0072678F"/>
    <w:rsid w:val="007276E5"/>
    <w:rsid w:val="00727C4C"/>
    <w:rsid w:val="00734809"/>
    <w:rsid w:val="0073714E"/>
    <w:rsid w:val="007374EF"/>
    <w:rsid w:val="007406E1"/>
    <w:rsid w:val="00743E40"/>
    <w:rsid w:val="00745016"/>
    <w:rsid w:val="00747064"/>
    <w:rsid w:val="0075031F"/>
    <w:rsid w:val="00751263"/>
    <w:rsid w:val="007544FC"/>
    <w:rsid w:val="00755427"/>
    <w:rsid w:val="00756548"/>
    <w:rsid w:val="0075673A"/>
    <w:rsid w:val="0075704F"/>
    <w:rsid w:val="00757ECD"/>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33E7"/>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1B91"/>
    <w:rsid w:val="00865B58"/>
    <w:rsid w:val="00866B50"/>
    <w:rsid w:val="00867993"/>
    <w:rsid w:val="00867A63"/>
    <w:rsid w:val="008708F1"/>
    <w:rsid w:val="00871960"/>
    <w:rsid w:val="0087369F"/>
    <w:rsid w:val="00880539"/>
    <w:rsid w:val="008859E8"/>
    <w:rsid w:val="0088737B"/>
    <w:rsid w:val="00891078"/>
    <w:rsid w:val="00892716"/>
    <w:rsid w:val="00893067"/>
    <w:rsid w:val="008933DE"/>
    <w:rsid w:val="00894B17"/>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68CC"/>
    <w:rsid w:val="00902A65"/>
    <w:rsid w:val="00903932"/>
    <w:rsid w:val="009079BD"/>
    <w:rsid w:val="00911AAB"/>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1D4"/>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5F0B"/>
    <w:rsid w:val="00A8015F"/>
    <w:rsid w:val="00A85039"/>
    <w:rsid w:val="00A906AA"/>
    <w:rsid w:val="00A94C5E"/>
    <w:rsid w:val="00AA252C"/>
    <w:rsid w:val="00AA666E"/>
    <w:rsid w:val="00AA7960"/>
    <w:rsid w:val="00AB5518"/>
    <w:rsid w:val="00AC3A0E"/>
    <w:rsid w:val="00AC4A04"/>
    <w:rsid w:val="00AC5679"/>
    <w:rsid w:val="00AD336F"/>
    <w:rsid w:val="00AD5B7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1EAE"/>
    <w:rsid w:val="00B558EB"/>
    <w:rsid w:val="00B577D3"/>
    <w:rsid w:val="00B60466"/>
    <w:rsid w:val="00B6548F"/>
    <w:rsid w:val="00B71A32"/>
    <w:rsid w:val="00B73378"/>
    <w:rsid w:val="00B7502A"/>
    <w:rsid w:val="00B77305"/>
    <w:rsid w:val="00B774BD"/>
    <w:rsid w:val="00B82CC2"/>
    <w:rsid w:val="00B846F5"/>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3A"/>
    <w:rsid w:val="00C300D2"/>
    <w:rsid w:val="00C3270F"/>
    <w:rsid w:val="00C3278B"/>
    <w:rsid w:val="00C33375"/>
    <w:rsid w:val="00C34685"/>
    <w:rsid w:val="00C34C23"/>
    <w:rsid w:val="00C368FA"/>
    <w:rsid w:val="00C42005"/>
    <w:rsid w:val="00C4664D"/>
    <w:rsid w:val="00C46861"/>
    <w:rsid w:val="00C472AA"/>
    <w:rsid w:val="00C50A05"/>
    <w:rsid w:val="00C54AED"/>
    <w:rsid w:val="00C555FC"/>
    <w:rsid w:val="00C55E9B"/>
    <w:rsid w:val="00C56D09"/>
    <w:rsid w:val="00C57D24"/>
    <w:rsid w:val="00C604D6"/>
    <w:rsid w:val="00C61A54"/>
    <w:rsid w:val="00C63CAB"/>
    <w:rsid w:val="00C63D00"/>
    <w:rsid w:val="00C6441B"/>
    <w:rsid w:val="00C65921"/>
    <w:rsid w:val="00C7108B"/>
    <w:rsid w:val="00C73B14"/>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6FA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120A"/>
    <w:rsid w:val="00DD31C5"/>
    <w:rsid w:val="00DD5020"/>
    <w:rsid w:val="00DD63BE"/>
    <w:rsid w:val="00DE4296"/>
    <w:rsid w:val="00DF1AAD"/>
    <w:rsid w:val="00DF2469"/>
    <w:rsid w:val="00DF7899"/>
    <w:rsid w:val="00E0524C"/>
    <w:rsid w:val="00E15751"/>
    <w:rsid w:val="00E17160"/>
    <w:rsid w:val="00E17D41"/>
    <w:rsid w:val="00E231D1"/>
    <w:rsid w:val="00E25CC8"/>
    <w:rsid w:val="00E3288D"/>
    <w:rsid w:val="00E35112"/>
    <w:rsid w:val="00E35BEC"/>
    <w:rsid w:val="00E41A6A"/>
    <w:rsid w:val="00E50821"/>
    <w:rsid w:val="00E51F91"/>
    <w:rsid w:val="00E5498A"/>
    <w:rsid w:val="00E559CE"/>
    <w:rsid w:val="00E569A1"/>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3BBF"/>
    <w:rsid w:val="00F04053"/>
    <w:rsid w:val="00F06573"/>
    <w:rsid w:val="00F10A08"/>
    <w:rsid w:val="00F15354"/>
    <w:rsid w:val="00F22AC5"/>
    <w:rsid w:val="00F254D1"/>
    <w:rsid w:val="00F32B82"/>
    <w:rsid w:val="00F34C86"/>
    <w:rsid w:val="00F4043E"/>
    <w:rsid w:val="00F41795"/>
    <w:rsid w:val="00F41BBC"/>
    <w:rsid w:val="00F43301"/>
    <w:rsid w:val="00F439F6"/>
    <w:rsid w:val="00F444F0"/>
    <w:rsid w:val="00F446FF"/>
    <w:rsid w:val="00F45521"/>
    <w:rsid w:val="00F47D86"/>
    <w:rsid w:val="00F50847"/>
    <w:rsid w:val="00F53F27"/>
    <w:rsid w:val="00F546D1"/>
    <w:rsid w:val="00F60281"/>
    <w:rsid w:val="00F66272"/>
    <w:rsid w:val="00F709C0"/>
    <w:rsid w:val="00F81FEC"/>
    <w:rsid w:val="00F927A1"/>
    <w:rsid w:val="00F92E4D"/>
    <w:rsid w:val="00F95D08"/>
    <w:rsid w:val="00F973C7"/>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5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3557D2"/>
    <w:pPr>
      <w:overflowPunct/>
      <w:autoSpaceDE/>
      <w:autoSpaceDN/>
      <w:adjustRightInd/>
      <w:ind w:left="720"/>
      <w:contextualSpacing/>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7CCAFE-9F0B-480D-AAC8-3193164C85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48BBB6BA-F18C-4F3C-9124-D6778C0F78E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20</Pages>
  <Words>4695</Words>
  <Characters>27847</Characters>
  <Application>Microsoft Office Word</Application>
  <DocSecurity>0</DocSecurity>
  <Lines>647</Lines>
  <Paragraphs>298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J Griffiths</cp:lastModifiedBy>
  <cp:revision>33</cp:revision>
  <cp:lastPrinted>2026-01-22T13:28:00Z</cp:lastPrinted>
  <dcterms:created xsi:type="dcterms:W3CDTF">2026-02-12T09:52:00Z</dcterms:created>
  <dcterms:modified xsi:type="dcterms:W3CDTF">2026-02-13T17:41:00Z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