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CC560C" w14:textId="5DC868CE" w:rsidR="00704DD0" w:rsidRPr="00C51A44" w:rsidRDefault="00A42250" w:rsidP="00C51A44">
      <w:pPr>
        <w:spacing w:line="480" w:lineRule="auto"/>
        <w:rPr>
          <w:rFonts w:ascii="Arial" w:hAnsi="Arial" w:cs="Arial"/>
          <w:b/>
          <w:bCs/>
          <w:sz w:val="24"/>
          <w:szCs w:val="24"/>
        </w:rPr>
      </w:pPr>
      <w:r w:rsidRPr="00C51A44">
        <w:rPr>
          <w:rFonts w:ascii="Arial" w:hAnsi="Arial" w:cs="Arial"/>
          <w:b/>
          <w:bCs/>
          <w:sz w:val="24"/>
          <w:szCs w:val="24"/>
        </w:rPr>
        <w:t xml:space="preserve">Essay </w:t>
      </w:r>
      <w:r w:rsidR="004B787B" w:rsidRPr="00C51A44">
        <w:rPr>
          <w:rFonts w:ascii="Arial" w:hAnsi="Arial" w:cs="Arial"/>
          <w:b/>
          <w:bCs/>
          <w:sz w:val="24"/>
          <w:szCs w:val="24"/>
        </w:rPr>
        <w:t>One</w:t>
      </w:r>
      <w:r w:rsidRPr="00C51A44">
        <w:rPr>
          <w:rFonts w:ascii="Arial" w:hAnsi="Arial" w:cs="Arial"/>
          <w:b/>
          <w:bCs/>
          <w:sz w:val="24"/>
          <w:szCs w:val="24"/>
        </w:rPr>
        <w:t>:</w:t>
      </w:r>
    </w:p>
    <w:p w14:paraId="524BCEDD" w14:textId="77777777" w:rsidR="00A42250" w:rsidRPr="00C51A44" w:rsidRDefault="00A42250" w:rsidP="00C51A44">
      <w:pPr>
        <w:spacing w:line="480" w:lineRule="auto"/>
        <w:rPr>
          <w:rFonts w:ascii="Arial" w:hAnsi="Arial" w:cs="Arial"/>
          <w:sz w:val="24"/>
          <w:szCs w:val="24"/>
        </w:rPr>
      </w:pPr>
    </w:p>
    <w:p w14:paraId="31FF8FEA" w14:textId="77777777" w:rsidR="0022104C" w:rsidRPr="00C51A44" w:rsidRDefault="00707806" w:rsidP="00C51A44">
      <w:pPr>
        <w:spacing w:line="480" w:lineRule="auto"/>
        <w:rPr>
          <w:rFonts w:ascii="Arial" w:hAnsi="Arial" w:cs="Arial"/>
          <w:sz w:val="24"/>
          <w:szCs w:val="24"/>
        </w:rPr>
      </w:pPr>
      <w:r w:rsidRPr="00C51A44">
        <w:rPr>
          <w:rFonts w:ascii="Arial" w:hAnsi="Arial" w:cs="Arial"/>
          <w:sz w:val="24"/>
          <w:szCs w:val="24"/>
        </w:rPr>
        <w:t xml:space="preserve">As per </w:t>
      </w:r>
      <w:r w:rsidR="0022104C" w:rsidRPr="00C51A44">
        <w:rPr>
          <w:rFonts w:ascii="Arial" w:hAnsi="Arial" w:cs="Arial"/>
          <w:sz w:val="24"/>
          <w:szCs w:val="24"/>
        </w:rPr>
        <w:t xml:space="preserve">Hambly and Hanway (2023) confidence in the Police is a required attribute for the Police Services to conduct their duties. Transparency of the Police and perceptions of the Police treating people fairly and with respect are important in ensuring cooperation with the public. </w:t>
      </w:r>
    </w:p>
    <w:p w14:paraId="4490EE54" w14:textId="1819EB41" w:rsidR="00C73E12" w:rsidRPr="00C51A44" w:rsidRDefault="00C73E12" w:rsidP="00C51A44">
      <w:pPr>
        <w:spacing w:line="480" w:lineRule="auto"/>
        <w:rPr>
          <w:rFonts w:ascii="Arial" w:hAnsi="Arial" w:cs="Arial"/>
          <w:sz w:val="24"/>
          <w:szCs w:val="24"/>
        </w:rPr>
      </w:pPr>
      <w:r w:rsidRPr="00C51A44">
        <w:rPr>
          <w:rFonts w:ascii="Arial" w:hAnsi="Arial" w:cs="Arial"/>
          <w:sz w:val="24"/>
          <w:szCs w:val="24"/>
        </w:rPr>
        <w:t>Going back to Hambly and Hanway (2023) who found that contact with the public was a key part of obtaining confidence and trust in Police services and Satisfaction with their acts. This can be seen in BMG Research (2018) whereby majority of people aren’t informed as to what their local Police are doing and about their own safety due to the lack of engagement from and with Police. This shows a lack of transparency, that Hambly and Hanway (2023) depicted as an important aspect of Policing.</w:t>
      </w:r>
    </w:p>
    <w:p w14:paraId="2C3A43FE" w14:textId="77777777" w:rsidR="00C73E12" w:rsidRPr="00C51A44" w:rsidRDefault="00C73E12" w:rsidP="00C51A44">
      <w:pPr>
        <w:spacing w:line="480" w:lineRule="auto"/>
        <w:rPr>
          <w:rFonts w:ascii="Arial" w:hAnsi="Arial" w:cs="Arial"/>
          <w:sz w:val="24"/>
          <w:szCs w:val="24"/>
        </w:rPr>
      </w:pPr>
    </w:p>
    <w:p w14:paraId="3782FFE5" w14:textId="08F66897" w:rsidR="0022104C" w:rsidRPr="00C51A44" w:rsidRDefault="00B47FFE" w:rsidP="00C51A44">
      <w:pPr>
        <w:spacing w:line="480" w:lineRule="auto"/>
        <w:rPr>
          <w:rFonts w:ascii="Arial" w:hAnsi="Arial" w:cs="Arial"/>
          <w:sz w:val="24"/>
          <w:szCs w:val="24"/>
        </w:rPr>
      </w:pPr>
      <w:r w:rsidRPr="00C51A44">
        <w:rPr>
          <w:rFonts w:ascii="Arial" w:hAnsi="Arial" w:cs="Arial"/>
          <w:sz w:val="24"/>
          <w:szCs w:val="24"/>
        </w:rPr>
        <w:t xml:space="preserve">As per Hunt (2024) details that Police are perceived to use dishonesty as a tactic in order to provide the means to the end, be it covering for themselves or to lure someone who is believed to be wanted out of hiding. </w:t>
      </w:r>
    </w:p>
    <w:p w14:paraId="3FB570ED" w14:textId="16F406F0" w:rsidR="00B47FFE" w:rsidRPr="00C51A44" w:rsidRDefault="0022104C" w:rsidP="00C51A44">
      <w:pPr>
        <w:spacing w:line="480" w:lineRule="auto"/>
        <w:rPr>
          <w:rFonts w:ascii="Arial" w:hAnsi="Arial" w:cs="Arial"/>
          <w:sz w:val="24"/>
          <w:szCs w:val="24"/>
        </w:rPr>
      </w:pPr>
      <w:r w:rsidRPr="00C51A44">
        <w:rPr>
          <w:rFonts w:ascii="Arial" w:hAnsi="Arial" w:cs="Arial"/>
          <w:sz w:val="24"/>
          <w:szCs w:val="24"/>
        </w:rPr>
        <w:t>This is further backed up by the College of Police (COP) (2015) whereby they state that the Police within the UK rely on the trust and confidence within the public in order to conduct their job. This is why the Professional Standards Department (PSD) plays an important part in ensuring that there is trust and confidence within the service the Police provide. COP go onto detail that the PSD cover Complaints and Misconduct of all Officers within their force, whilst also conducting Vetting on members within and joining the Force, to ensure the trust in Officers isn’t effected.</w:t>
      </w:r>
    </w:p>
    <w:p w14:paraId="3042DE0E" w14:textId="6AEF59CD" w:rsidR="00B47FFE" w:rsidRPr="00C51A44" w:rsidRDefault="00B47FFE" w:rsidP="00C51A44">
      <w:pPr>
        <w:spacing w:line="480" w:lineRule="auto"/>
        <w:rPr>
          <w:rFonts w:ascii="Arial" w:hAnsi="Arial" w:cs="Arial"/>
          <w:sz w:val="24"/>
          <w:szCs w:val="24"/>
        </w:rPr>
      </w:pPr>
      <w:r w:rsidRPr="00C51A44">
        <w:rPr>
          <w:rFonts w:ascii="Arial" w:hAnsi="Arial" w:cs="Arial"/>
          <w:sz w:val="24"/>
          <w:szCs w:val="24"/>
        </w:rPr>
        <w:lastRenderedPageBreak/>
        <w:t>Hunt (2024) poses the problem that although trust is an important aspect of policing, dishonesty and deception is a tool that is regularly used by Police, that thus impacts the Public perception.</w:t>
      </w:r>
      <w:r w:rsidR="009D477D" w:rsidRPr="00C51A44">
        <w:rPr>
          <w:rFonts w:ascii="Arial" w:hAnsi="Arial" w:cs="Arial"/>
          <w:sz w:val="24"/>
          <w:szCs w:val="24"/>
        </w:rPr>
        <w:t xml:space="preserve"> That as per COP (2015) state PSD ensure that any complaint is handled in accordance with the Code of Ethics, that is details as per COP (2024) to be honest and accountable, that would go against what Hunt (2024) is stating and if reported would be dealt with as per COP (2015) had set out earlier.</w:t>
      </w:r>
    </w:p>
    <w:p w14:paraId="03CA7359" w14:textId="77777777" w:rsidR="009D477D" w:rsidRPr="00C51A44" w:rsidRDefault="009D477D" w:rsidP="00C51A44">
      <w:pPr>
        <w:spacing w:line="480" w:lineRule="auto"/>
        <w:rPr>
          <w:rFonts w:ascii="Arial" w:hAnsi="Arial" w:cs="Arial"/>
          <w:sz w:val="24"/>
          <w:szCs w:val="24"/>
        </w:rPr>
      </w:pPr>
    </w:p>
    <w:p w14:paraId="4184E2D8" w14:textId="477CA8D6" w:rsidR="00871E02" w:rsidRPr="00C51A44" w:rsidRDefault="00871E02" w:rsidP="00C51A44">
      <w:pPr>
        <w:spacing w:line="480" w:lineRule="auto"/>
        <w:rPr>
          <w:rFonts w:ascii="Arial" w:hAnsi="Arial" w:cs="Arial"/>
          <w:sz w:val="24"/>
          <w:szCs w:val="24"/>
        </w:rPr>
      </w:pPr>
      <w:r w:rsidRPr="00C51A44">
        <w:rPr>
          <w:rFonts w:ascii="Arial" w:hAnsi="Arial" w:cs="Arial"/>
          <w:sz w:val="24"/>
          <w:szCs w:val="24"/>
        </w:rPr>
        <w:t xml:space="preserve">As per </w:t>
      </w:r>
      <w:proofErr w:type="spellStart"/>
      <w:r w:rsidRPr="00C51A44">
        <w:rPr>
          <w:rFonts w:ascii="Arial" w:hAnsi="Arial" w:cs="Arial"/>
          <w:sz w:val="24"/>
          <w:szCs w:val="24"/>
        </w:rPr>
        <w:t>Torrible</w:t>
      </w:r>
      <w:proofErr w:type="spellEnd"/>
      <w:r w:rsidRPr="00C51A44">
        <w:rPr>
          <w:rFonts w:ascii="Arial" w:hAnsi="Arial" w:cs="Arial"/>
          <w:sz w:val="24"/>
          <w:szCs w:val="24"/>
        </w:rPr>
        <w:t xml:space="preserve"> (2021) the Policing and Crime Act (PACA) 2017 had been introduced in order to try and promote integrity within police services by reforming the complaints and discipline system by focusing on learning lessons. This backs up COP (2015) whereby </w:t>
      </w:r>
      <w:proofErr w:type="spellStart"/>
      <w:r w:rsidRPr="00C51A44">
        <w:rPr>
          <w:rFonts w:ascii="Arial" w:hAnsi="Arial" w:cs="Arial"/>
          <w:sz w:val="24"/>
          <w:szCs w:val="24"/>
        </w:rPr>
        <w:t>Torrible</w:t>
      </w:r>
      <w:proofErr w:type="spellEnd"/>
      <w:r w:rsidRPr="00C51A44">
        <w:rPr>
          <w:rFonts w:ascii="Arial" w:hAnsi="Arial" w:cs="Arial"/>
          <w:sz w:val="24"/>
          <w:szCs w:val="24"/>
        </w:rPr>
        <w:t xml:space="preserve"> (2021) goes into detail in regards to PSD, detailing how they have responsibility over complaints for Officers on the street. </w:t>
      </w:r>
    </w:p>
    <w:p w14:paraId="2E5F36CC" w14:textId="77777777" w:rsidR="009D6A36" w:rsidRPr="00C51A44" w:rsidRDefault="009D6A36" w:rsidP="00C51A44">
      <w:pPr>
        <w:spacing w:line="480" w:lineRule="auto"/>
        <w:rPr>
          <w:rFonts w:ascii="Arial" w:hAnsi="Arial" w:cs="Arial"/>
          <w:sz w:val="24"/>
          <w:szCs w:val="24"/>
        </w:rPr>
      </w:pPr>
    </w:p>
    <w:p w14:paraId="09379609" w14:textId="77777777" w:rsidR="00594EC0" w:rsidRPr="00C51A44" w:rsidRDefault="00594EC0" w:rsidP="00C51A44">
      <w:pPr>
        <w:spacing w:line="480" w:lineRule="auto"/>
        <w:rPr>
          <w:rFonts w:ascii="Arial" w:hAnsi="Arial" w:cs="Arial"/>
          <w:sz w:val="24"/>
          <w:szCs w:val="24"/>
        </w:rPr>
      </w:pPr>
    </w:p>
    <w:p w14:paraId="2410F995" w14:textId="42DBD237" w:rsidR="009D6A36" w:rsidRPr="00C51A44" w:rsidRDefault="00594EC0" w:rsidP="00C51A44">
      <w:pPr>
        <w:spacing w:line="480" w:lineRule="auto"/>
        <w:rPr>
          <w:rFonts w:ascii="Arial" w:hAnsi="Arial" w:cs="Arial"/>
          <w:sz w:val="24"/>
          <w:szCs w:val="24"/>
        </w:rPr>
      </w:pPr>
      <w:proofErr w:type="spellStart"/>
      <w:r w:rsidRPr="00C51A44">
        <w:rPr>
          <w:rFonts w:ascii="Arial" w:hAnsi="Arial" w:cs="Arial"/>
          <w:sz w:val="24"/>
          <w:szCs w:val="24"/>
        </w:rPr>
        <w:t>T</w:t>
      </w:r>
      <w:r w:rsidR="00871E02" w:rsidRPr="00C51A44">
        <w:rPr>
          <w:rFonts w:ascii="Arial" w:hAnsi="Arial" w:cs="Arial"/>
          <w:sz w:val="24"/>
          <w:szCs w:val="24"/>
        </w:rPr>
        <w:t>orrible</w:t>
      </w:r>
      <w:proofErr w:type="spellEnd"/>
      <w:r w:rsidR="00871E02" w:rsidRPr="00C51A44">
        <w:rPr>
          <w:rFonts w:ascii="Arial" w:hAnsi="Arial" w:cs="Arial"/>
          <w:sz w:val="24"/>
          <w:szCs w:val="24"/>
        </w:rPr>
        <w:t xml:space="preserve"> (2021) details that prior to PACA 2017 complaints did not have to be recorded at all that were considered to be without any reason for the public to be complaining. Whereby under PACA 2017 it is required that PSD are to conduct a severity assessment before recording it or passing it down to the local level to be resolved. </w:t>
      </w:r>
      <w:r w:rsidR="009D6A36" w:rsidRPr="00C51A44">
        <w:rPr>
          <w:rFonts w:ascii="Arial" w:hAnsi="Arial" w:cs="Arial"/>
          <w:sz w:val="24"/>
          <w:szCs w:val="24"/>
        </w:rPr>
        <w:t xml:space="preserve">As COP (2023) detail in their Guidance for Misconduct Proceedings, that when assessing the seriousness of the complaint, they are assessing what harm has been caused, any aspects of the complaint that might aggravate or mitigate and the responsibility initially on the Officer who the complaint was made against. That as </w:t>
      </w:r>
      <w:proofErr w:type="spellStart"/>
      <w:r w:rsidR="009D6A36" w:rsidRPr="00C51A44">
        <w:rPr>
          <w:rFonts w:ascii="Arial" w:hAnsi="Arial" w:cs="Arial"/>
          <w:sz w:val="24"/>
          <w:szCs w:val="24"/>
        </w:rPr>
        <w:t>Torrible</w:t>
      </w:r>
      <w:proofErr w:type="spellEnd"/>
      <w:r w:rsidR="009D6A36" w:rsidRPr="00C51A44">
        <w:rPr>
          <w:rFonts w:ascii="Arial" w:hAnsi="Arial" w:cs="Arial"/>
          <w:sz w:val="24"/>
          <w:szCs w:val="24"/>
        </w:rPr>
        <w:t xml:space="preserve"> (2021) details there have been several misclassification of complaints due to </w:t>
      </w:r>
      <w:r w:rsidR="009D6A36" w:rsidRPr="00C51A44">
        <w:rPr>
          <w:rFonts w:ascii="Arial" w:hAnsi="Arial" w:cs="Arial"/>
          <w:sz w:val="24"/>
          <w:szCs w:val="24"/>
        </w:rPr>
        <w:lastRenderedPageBreak/>
        <w:t>the failure of the PSD to properly assess the seriousness of complaints accurately that are down to the views of the PSD Officer.</w:t>
      </w:r>
    </w:p>
    <w:p w14:paraId="4CCA988E" w14:textId="77777777" w:rsidR="009D6A36" w:rsidRPr="00C51A44" w:rsidRDefault="009D6A36" w:rsidP="00C51A44">
      <w:pPr>
        <w:spacing w:line="480" w:lineRule="auto"/>
        <w:rPr>
          <w:rFonts w:ascii="Arial" w:hAnsi="Arial" w:cs="Arial"/>
          <w:sz w:val="24"/>
          <w:szCs w:val="24"/>
        </w:rPr>
      </w:pPr>
    </w:p>
    <w:p w14:paraId="1976AC0F" w14:textId="6C6FA96C" w:rsidR="00871E02" w:rsidRPr="00C51A44" w:rsidRDefault="009D6A36" w:rsidP="00C51A44">
      <w:pPr>
        <w:spacing w:line="480" w:lineRule="auto"/>
        <w:rPr>
          <w:rFonts w:ascii="Arial" w:hAnsi="Arial" w:cs="Arial"/>
          <w:sz w:val="24"/>
          <w:szCs w:val="24"/>
        </w:rPr>
      </w:pPr>
      <w:proofErr w:type="spellStart"/>
      <w:r w:rsidRPr="00C51A44">
        <w:rPr>
          <w:rFonts w:ascii="Arial" w:hAnsi="Arial" w:cs="Arial"/>
          <w:sz w:val="24"/>
          <w:szCs w:val="24"/>
        </w:rPr>
        <w:t>Torrible</w:t>
      </w:r>
      <w:proofErr w:type="spellEnd"/>
      <w:r w:rsidRPr="00C51A44">
        <w:rPr>
          <w:rFonts w:ascii="Arial" w:hAnsi="Arial" w:cs="Arial"/>
          <w:sz w:val="24"/>
          <w:szCs w:val="24"/>
        </w:rPr>
        <w:t xml:space="preserve"> (2021) goes onto detail that</w:t>
      </w:r>
      <w:r w:rsidR="00871E02" w:rsidRPr="00C51A44">
        <w:rPr>
          <w:rFonts w:ascii="Arial" w:hAnsi="Arial" w:cs="Arial"/>
          <w:sz w:val="24"/>
          <w:szCs w:val="24"/>
        </w:rPr>
        <w:t xml:space="preserve"> when the complainant asked for an investigation to </w:t>
      </w:r>
      <w:r w:rsidRPr="00C51A44">
        <w:rPr>
          <w:rFonts w:ascii="Arial" w:hAnsi="Arial" w:cs="Arial"/>
          <w:sz w:val="24"/>
          <w:szCs w:val="24"/>
        </w:rPr>
        <w:t>be</w:t>
      </w:r>
      <w:r w:rsidR="00871E02" w:rsidRPr="00C51A44">
        <w:rPr>
          <w:rFonts w:ascii="Arial" w:hAnsi="Arial" w:cs="Arial"/>
          <w:sz w:val="24"/>
          <w:szCs w:val="24"/>
        </w:rPr>
        <w:t xml:space="preserve"> conducted by PSD, it was found that PSD Officers tended to try and dissuade them and push them to opt for a local resolve. Which is where PACA 2017 should benefit PSD Officers, by requiring </w:t>
      </w:r>
      <w:r w:rsidR="008218E8" w:rsidRPr="00C51A44">
        <w:rPr>
          <w:rFonts w:ascii="Arial" w:hAnsi="Arial" w:cs="Arial"/>
          <w:sz w:val="24"/>
          <w:szCs w:val="24"/>
        </w:rPr>
        <w:t>complaints to be handled in a</w:t>
      </w:r>
      <w:r w:rsidR="00871E02" w:rsidRPr="00C51A44">
        <w:rPr>
          <w:rFonts w:ascii="Arial" w:hAnsi="Arial" w:cs="Arial"/>
          <w:sz w:val="24"/>
          <w:szCs w:val="24"/>
        </w:rPr>
        <w:t xml:space="preserve"> </w:t>
      </w:r>
      <w:r w:rsidR="008218E8" w:rsidRPr="00C51A44">
        <w:rPr>
          <w:rFonts w:ascii="Arial" w:hAnsi="Arial" w:cs="Arial"/>
          <w:sz w:val="24"/>
          <w:szCs w:val="24"/>
        </w:rPr>
        <w:t>reasonable and proportionate.</w:t>
      </w:r>
    </w:p>
    <w:p w14:paraId="076F4739" w14:textId="77777777" w:rsidR="00B772F1" w:rsidRPr="00C51A44" w:rsidRDefault="00B772F1" w:rsidP="00C51A44">
      <w:pPr>
        <w:spacing w:line="480" w:lineRule="auto"/>
        <w:rPr>
          <w:rFonts w:ascii="Arial" w:hAnsi="Arial" w:cs="Arial"/>
          <w:sz w:val="24"/>
          <w:szCs w:val="24"/>
        </w:rPr>
      </w:pPr>
    </w:p>
    <w:p w14:paraId="11E58970" w14:textId="325BF69C" w:rsidR="00B772F1" w:rsidRPr="00C51A44" w:rsidRDefault="00B772F1" w:rsidP="00C51A44">
      <w:pPr>
        <w:spacing w:line="480" w:lineRule="auto"/>
        <w:rPr>
          <w:rFonts w:ascii="Arial" w:hAnsi="Arial" w:cs="Arial"/>
          <w:sz w:val="24"/>
          <w:szCs w:val="24"/>
        </w:rPr>
      </w:pPr>
      <w:r w:rsidRPr="00C51A44">
        <w:rPr>
          <w:rFonts w:ascii="Arial" w:hAnsi="Arial" w:cs="Arial"/>
          <w:sz w:val="24"/>
          <w:szCs w:val="24"/>
        </w:rPr>
        <w:t xml:space="preserve">As per Rowe (2020) depicts that investigating Police misdemeanours provides a series of challenges to PSD. The majority of complaints from the public end up being allegations that an officer wasn’t polite or respectful with them and noted that these issues tend to be addressed easily with a local resolve, as </w:t>
      </w:r>
      <w:proofErr w:type="spellStart"/>
      <w:r w:rsidRPr="00C51A44">
        <w:rPr>
          <w:rFonts w:ascii="Arial" w:hAnsi="Arial" w:cs="Arial"/>
          <w:sz w:val="24"/>
          <w:szCs w:val="24"/>
        </w:rPr>
        <w:t>Torrible</w:t>
      </w:r>
      <w:proofErr w:type="spellEnd"/>
      <w:r w:rsidRPr="00C51A44">
        <w:rPr>
          <w:rFonts w:ascii="Arial" w:hAnsi="Arial" w:cs="Arial"/>
          <w:sz w:val="24"/>
          <w:szCs w:val="24"/>
        </w:rPr>
        <w:t xml:space="preserve"> (2021) had noted on above. </w:t>
      </w:r>
    </w:p>
    <w:p w14:paraId="4F3F1C34" w14:textId="78032811" w:rsidR="00B772F1" w:rsidRPr="00C51A44" w:rsidRDefault="00B772F1" w:rsidP="00C51A44">
      <w:pPr>
        <w:spacing w:line="480" w:lineRule="auto"/>
        <w:rPr>
          <w:rFonts w:ascii="Arial" w:hAnsi="Arial" w:cs="Arial"/>
          <w:sz w:val="24"/>
          <w:szCs w:val="24"/>
        </w:rPr>
      </w:pPr>
      <w:r w:rsidRPr="00C51A44">
        <w:rPr>
          <w:rFonts w:ascii="Arial" w:hAnsi="Arial" w:cs="Arial"/>
          <w:sz w:val="24"/>
          <w:szCs w:val="24"/>
        </w:rPr>
        <w:t xml:space="preserve">Rowe (2020) continues to state that the nature of Police Work, requires discretion and thus away from the sight of both supervisors and witnesses, thus obtaining accounts that are competing end up being difficult to establish the truthfulness and accuracy of and whilst there are resources such as </w:t>
      </w:r>
      <w:proofErr w:type="spellStart"/>
      <w:r w:rsidRPr="00C51A44">
        <w:rPr>
          <w:rFonts w:ascii="Arial" w:hAnsi="Arial" w:cs="Arial"/>
          <w:sz w:val="24"/>
          <w:szCs w:val="24"/>
        </w:rPr>
        <w:t>Bodyworn</w:t>
      </w:r>
      <w:proofErr w:type="spellEnd"/>
      <w:r w:rsidRPr="00C51A44">
        <w:rPr>
          <w:rFonts w:ascii="Arial" w:hAnsi="Arial" w:cs="Arial"/>
          <w:sz w:val="24"/>
          <w:szCs w:val="24"/>
        </w:rPr>
        <w:t xml:space="preserve"> and Recordings from both Public and Council, they don’t always cover said actions. </w:t>
      </w:r>
    </w:p>
    <w:p w14:paraId="737815CD" w14:textId="77777777" w:rsidR="00495B70" w:rsidRPr="00C51A44" w:rsidRDefault="00495B70" w:rsidP="00C51A44">
      <w:pPr>
        <w:spacing w:line="480" w:lineRule="auto"/>
        <w:rPr>
          <w:rFonts w:ascii="Arial" w:hAnsi="Arial" w:cs="Arial"/>
          <w:sz w:val="24"/>
          <w:szCs w:val="24"/>
        </w:rPr>
      </w:pPr>
    </w:p>
    <w:p w14:paraId="21AB92C9" w14:textId="77777777" w:rsidR="00495B70" w:rsidRPr="00C51A44" w:rsidRDefault="00A42250" w:rsidP="00C51A44">
      <w:pPr>
        <w:spacing w:line="480" w:lineRule="auto"/>
        <w:rPr>
          <w:rFonts w:ascii="Arial" w:hAnsi="Arial" w:cs="Arial"/>
          <w:sz w:val="24"/>
          <w:szCs w:val="24"/>
        </w:rPr>
      </w:pPr>
      <w:r w:rsidRPr="00C51A44">
        <w:rPr>
          <w:rFonts w:ascii="Arial" w:hAnsi="Arial" w:cs="Arial"/>
          <w:sz w:val="24"/>
          <w:szCs w:val="24"/>
        </w:rPr>
        <w:t xml:space="preserve">However, as per BMG Research (2018) that had researched into the initial distrust of Police. They have collected research that shows the majority of people are </w:t>
      </w:r>
      <w:r w:rsidR="00707806" w:rsidRPr="00C51A44">
        <w:rPr>
          <w:rFonts w:ascii="Arial" w:hAnsi="Arial" w:cs="Arial"/>
          <w:sz w:val="24"/>
          <w:szCs w:val="24"/>
        </w:rPr>
        <w:t>satisfied</w:t>
      </w:r>
      <w:r w:rsidRPr="00C51A44">
        <w:rPr>
          <w:rFonts w:ascii="Arial" w:hAnsi="Arial" w:cs="Arial"/>
          <w:sz w:val="24"/>
          <w:szCs w:val="24"/>
        </w:rPr>
        <w:t xml:space="preserve"> with </w:t>
      </w:r>
      <w:r w:rsidR="00707806" w:rsidRPr="00C51A44">
        <w:rPr>
          <w:rFonts w:ascii="Arial" w:hAnsi="Arial" w:cs="Arial"/>
          <w:sz w:val="24"/>
          <w:szCs w:val="24"/>
        </w:rPr>
        <w:t xml:space="preserve">their local police and that they would be treated fairly if they needed to contact </w:t>
      </w:r>
      <w:r w:rsidR="00707806" w:rsidRPr="00C51A44">
        <w:rPr>
          <w:rFonts w:ascii="Arial" w:hAnsi="Arial" w:cs="Arial"/>
          <w:sz w:val="24"/>
          <w:szCs w:val="24"/>
        </w:rPr>
        <w:lastRenderedPageBreak/>
        <w:t>Police</w:t>
      </w:r>
      <w:r w:rsidR="00B475C6" w:rsidRPr="00C51A44">
        <w:rPr>
          <w:rFonts w:ascii="Arial" w:hAnsi="Arial" w:cs="Arial"/>
          <w:sz w:val="24"/>
          <w:szCs w:val="24"/>
        </w:rPr>
        <w:t xml:space="preserve"> and have stated there has been an increase in the publics view on their local police, whereby they now think of them having a good reputation from 2017. This shows that Police are improving the trust in the public, albeit slowly according to the findings of BMG Research (2018).</w:t>
      </w:r>
      <w:r w:rsidR="0019199F" w:rsidRPr="00C51A44">
        <w:rPr>
          <w:rFonts w:ascii="Arial" w:hAnsi="Arial" w:cs="Arial"/>
          <w:sz w:val="24"/>
          <w:szCs w:val="24"/>
        </w:rPr>
        <w:t xml:space="preserve"> </w:t>
      </w:r>
    </w:p>
    <w:p w14:paraId="6A5F9B3F" w14:textId="63BA30BF" w:rsidR="00A21F3A" w:rsidRPr="00C51A44" w:rsidRDefault="00495B70" w:rsidP="00C51A44">
      <w:pPr>
        <w:spacing w:line="480" w:lineRule="auto"/>
        <w:rPr>
          <w:rFonts w:ascii="Arial" w:hAnsi="Arial" w:cs="Arial"/>
          <w:sz w:val="24"/>
          <w:szCs w:val="24"/>
        </w:rPr>
      </w:pPr>
      <w:r w:rsidRPr="00C51A44">
        <w:rPr>
          <w:rFonts w:ascii="Arial" w:hAnsi="Arial" w:cs="Arial"/>
          <w:sz w:val="24"/>
          <w:szCs w:val="24"/>
        </w:rPr>
        <w:t xml:space="preserve">This falls in line with the </w:t>
      </w:r>
      <w:r w:rsidR="0019199F" w:rsidRPr="00C51A44">
        <w:rPr>
          <w:rFonts w:ascii="Arial" w:hAnsi="Arial" w:cs="Arial"/>
          <w:sz w:val="24"/>
          <w:szCs w:val="24"/>
        </w:rPr>
        <w:t xml:space="preserve">implementation of PACA 2017, that </w:t>
      </w:r>
      <w:proofErr w:type="spellStart"/>
      <w:r w:rsidR="0019199F" w:rsidRPr="00C51A44">
        <w:rPr>
          <w:rFonts w:ascii="Arial" w:hAnsi="Arial" w:cs="Arial"/>
          <w:sz w:val="24"/>
          <w:szCs w:val="24"/>
        </w:rPr>
        <w:t>Torrible</w:t>
      </w:r>
      <w:proofErr w:type="spellEnd"/>
      <w:r w:rsidR="0019199F" w:rsidRPr="00C51A44">
        <w:rPr>
          <w:rFonts w:ascii="Arial" w:hAnsi="Arial" w:cs="Arial"/>
          <w:sz w:val="24"/>
          <w:szCs w:val="24"/>
        </w:rPr>
        <w:t xml:space="preserve"> (2021) </w:t>
      </w:r>
      <w:r w:rsidRPr="00C51A44">
        <w:rPr>
          <w:rFonts w:ascii="Arial" w:hAnsi="Arial" w:cs="Arial"/>
          <w:sz w:val="24"/>
          <w:szCs w:val="24"/>
        </w:rPr>
        <w:t>has stated has an evident</w:t>
      </w:r>
      <w:r w:rsidR="0019199F" w:rsidRPr="00C51A44">
        <w:rPr>
          <w:rFonts w:ascii="Arial" w:hAnsi="Arial" w:cs="Arial"/>
          <w:sz w:val="24"/>
          <w:szCs w:val="24"/>
        </w:rPr>
        <w:t xml:space="preserve"> shift towards learning lessons from previous issues and complaints, that promises a future where police can be appraised of the past.</w:t>
      </w:r>
      <w:r w:rsidR="00A21F3A" w:rsidRPr="00C51A44">
        <w:rPr>
          <w:rFonts w:ascii="Arial" w:hAnsi="Arial" w:cs="Arial"/>
          <w:sz w:val="24"/>
          <w:szCs w:val="24"/>
        </w:rPr>
        <w:t xml:space="preserve"> This is also backed up by Rowe (2020) who states that with local level investigations, they lead to additional learning. </w:t>
      </w:r>
    </w:p>
    <w:p w14:paraId="1508440D" w14:textId="13ED9B6D" w:rsidR="00661953" w:rsidRPr="00C51A44" w:rsidRDefault="00661953" w:rsidP="00C51A44">
      <w:pPr>
        <w:spacing w:line="480" w:lineRule="auto"/>
        <w:rPr>
          <w:rFonts w:ascii="Arial" w:hAnsi="Arial" w:cs="Arial"/>
          <w:sz w:val="24"/>
          <w:szCs w:val="24"/>
        </w:rPr>
      </w:pPr>
      <w:r w:rsidRPr="00C51A44">
        <w:rPr>
          <w:rFonts w:ascii="Arial" w:hAnsi="Arial" w:cs="Arial"/>
          <w:sz w:val="24"/>
          <w:szCs w:val="24"/>
        </w:rPr>
        <w:t>However, Rowe (2020) does not on the dissatisfaction with the complaints handling and that in recent years, there has been a decrease in the amount of complaints which could be a result of what BMG Research (2018) shows whereby satisfaction in the local police services is slowly increasing.</w:t>
      </w:r>
    </w:p>
    <w:p w14:paraId="541D34D1" w14:textId="77777777" w:rsidR="00D511A3" w:rsidRPr="00C51A44" w:rsidRDefault="00D511A3" w:rsidP="00C51A44">
      <w:pPr>
        <w:spacing w:line="480" w:lineRule="auto"/>
        <w:rPr>
          <w:rFonts w:ascii="Arial" w:hAnsi="Arial" w:cs="Arial"/>
          <w:sz w:val="24"/>
          <w:szCs w:val="24"/>
        </w:rPr>
      </w:pPr>
    </w:p>
    <w:p w14:paraId="0FE7B456" w14:textId="5819AE45" w:rsidR="00D511A3" w:rsidRPr="00C51A44" w:rsidRDefault="00D511A3" w:rsidP="00C51A44">
      <w:pPr>
        <w:spacing w:line="480" w:lineRule="auto"/>
        <w:rPr>
          <w:rFonts w:ascii="Arial" w:hAnsi="Arial" w:cs="Arial"/>
          <w:sz w:val="24"/>
          <w:szCs w:val="24"/>
        </w:rPr>
      </w:pPr>
      <w:r w:rsidRPr="00C51A44">
        <w:rPr>
          <w:rFonts w:ascii="Arial" w:hAnsi="Arial" w:cs="Arial"/>
          <w:sz w:val="24"/>
          <w:szCs w:val="24"/>
        </w:rPr>
        <w:t xml:space="preserve">In conclusion, whilst there are a varied amount of issues as seen with </w:t>
      </w:r>
      <w:proofErr w:type="spellStart"/>
      <w:r w:rsidRPr="00C51A44">
        <w:rPr>
          <w:rFonts w:ascii="Arial" w:hAnsi="Arial" w:cs="Arial"/>
          <w:sz w:val="24"/>
          <w:szCs w:val="24"/>
        </w:rPr>
        <w:t>Torrible</w:t>
      </w:r>
      <w:proofErr w:type="spellEnd"/>
      <w:r w:rsidRPr="00C51A44">
        <w:rPr>
          <w:rFonts w:ascii="Arial" w:hAnsi="Arial" w:cs="Arial"/>
          <w:sz w:val="24"/>
          <w:szCs w:val="24"/>
        </w:rPr>
        <w:t xml:space="preserve"> (2021) whereby the view of the PSD Officer can harm the complaint, whereby Police as Hunt (2024) is shown that whilst COP (2015) detail honesty as a requirement, dishonesty is a tactic used by Police. Alongside Rowe (2020) identifying that even if a complaint is investigated, due to the discretion Police Officers have there are difficulties in obtaining evidence for action to be taken. Whilst the several issues, BMG Research (2018) has still showed an increase in satisfaction with local forces, albeit small. </w:t>
      </w:r>
    </w:p>
    <w:p w14:paraId="0BD0E7BA" w14:textId="684F7192" w:rsidR="00C51A44" w:rsidRDefault="00D511A3" w:rsidP="00C51A44">
      <w:pPr>
        <w:spacing w:line="480" w:lineRule="auto"/>
        <w:rPr>
          <w:rFonts w:ascii="Arial" w:hAnsi="Arial" w:cs="Arial"/>
          <w:b/>
          <w:bCs/>
          <w:sz w:val="24"/>
          <w:szCs w:val="24"/>
        </w:rPr>
      </w:pPr>
      <w:r w:rsidRPr="00C51A44">
        <w:rPr>
          <w:rFonts w:ascii="Arial" w:hAnsi="Arial" w:cs="Arial"/>
          <w:b/>
          <w:bCs/>
          <w:sz w:val="24"/>
          <w:szCs w:val="24"/>
        </w:rPr>
        <w:t>Word</w:t>
      </w:r>
      <w:r w:rsidR="00060030" w:rsidRPr="00C51A44">
        <w:rPr>
          <w:rFonts w:ascii="Arial" w:hAnsi="Arial" w:cs="Arial"/>
          <w:b/>
          <w:bCs/>
          <w:sz w:val="24"/>
          <w:szCs w:val="24"/>
        </w:rPr>
        <w:t xml:space="preserve"> Count</w:t>
      </w:r>
      <w:r w:rsidRPr="00C51A44">
        <w:rPr>
          <w:rFonts w:ascii="Arial" w:hAnsi="Arial" w:cs="Arial"/>
          <w:b/>
          <w:bCs/>
          <w:sz w:val="24"/>
          <w:szCs w:val="24"/>
        </w:rPr>
        <w:t>: 1043</w:t>
      </w:r>
    </w:p>
    <w:p w14:paraId="4AC4CACD" w14:textId="77777777" w:rsidR="00C51A44" w:rsidRDefault="00C51A44">
      <w:pPr>
        <w:rPr>
          <w:rFonts w:ascii="Arial" w:hAnsi="Arial" w:cs="Arial"/>
          <w:b/>
          <w:bCs/>
          <w:sz w:val="24"/>
          <w:szCs w:val="24"/>
        </w:rPr>
      </w:pPr>
      <w:r>
        <w:rPr>
          <w:rFonts w:ascii="Arial" w:hAnsi="Arial" w:cs="Arial"/>
          <w:b/>
          <w:bCs/>
          <w:sz w:val="24"/>
          <w:szCs w:val="24"/>
        </w:rPr>
        <w:br w:type="page"/>
      </w:r>
    </w:p>
    <w:p w14:paraId="32276676" w14:textId="4BD5A991" w:rsidR="0076436C" w:rsidRPr="00C51A44" w:rsidRDefault="00C51A44" w:rsidP="00C51A44">
      <w:pPr>
        <w:spacing w:line="480" w:lineRule="auto"/>
        <w:rPr>
          <w:rFonts w:ascii="Arial" w:hAnsi="Arial" w:cs="Arial"/>
          <w:b/>
          <w:bCs/>
          <w:sz w:val="24"/>
          <w:szCs w:val="24"/>
        </w:rPr>
      </w:pPr>
      <w:r>
        <w:rPr>
          <w:rFonts w:ascii="Arial" w:hAnsi="Arial" w:cs="Arial"/>
          <w:b/>
          <w:bCs/>
          <w:sz w:val="24"/>
          <w:szCs w:val="24"/>
        </w:rPr>
        <w:lastRenderedPageBreak/>
        <w:t>E</w:t>
      </w:r>
      <w:r w:rsidR="00D511A3" w:rsidRPr="00C51A44">
        <w:rPr>
          <w:rFonts w:ascii="Arial" w:hAnsi="Arial" w:cs="Arial"/>
          <w:b/>
          <w:bCs/>
          <w:sz w:val="24"/>
          <w:szCs w:val="24"/>
        </w:rPr>
        <w:t xml:space="preserve">ssay </w:t>
      </w:r>
      <w:r w:rsidR="004B787B" w:rsidRPr="00C51A44">
        <w:rPr>
          <w:rFonts w:ascii="Arial" w:hAnsi="Arial" w:cs="Arial"/>
          <w:b/>
          <w:bCs/>
          <w:sz w:val="24"/>
          <w:szCs w:val="24"/>
        </w:rPr>
        <w:t>Two</w:t>
      </w:r>
      <w:r w:rsidR="00D511A3" w:rsidRPr="00C51A44">
        <w:rPr>
          <w:rFonts w:ascii="Arial" w:hAnsi="Arial" w:cs="Arial"/>
          <w:b/>
          <w:bCs/>
          <w:sz w:val="24"/>
          <w:szCs w:val="24"/>
        </w:rPr>
        <w:t>:</w:t>
      </w:r>
      <w:r w:rsidR="004B655F" w:rsidRPr="00C51A44">
        <w:rPr>
          <w:rFonts w:ascii="Arial" w:hAnsi="Arial" w:cs="Arial"/>
          <w:b/>
          <w:bCs/>
          <w:sz w:val="24"/>
          <w:szCs w:val="24"/>
        </w:rPr>
        <w:t xml:space="preserve"> Community Policing</w:t>
      </w:r>
    </w:p>
    <w:p w14:paraId="11C3B49E" w14:textId="77777777" w:rsidR="004B787B" w:rsidRPr="00C51A44" w:rsidRDefault="004B787B" w:rsidP="00C51A44">
      <w:pPr>
        <w:spacing w:line="480" w:lineRule="auto"/>
        <w:rPr>
          <w:rFonts w:ascii="Arial" w:hAnsi="Arial" w:cs="Arial"/>
          <w:b/>
          <w:bCs/>
          <w:sz w:val="24"/>
          <w:szCs w:val="24"/>
        </w:rPr>
      </w:pPr>
    </w:p>
    <w:p w14:paraId="31B912AA" w14:textId="232F9EFE" w:rsidR="00C25C86" w:rsidRPr="00C51A44" w:rsidRDefault="0047555D" w:rsidP="00C51A44">
      <w:pPr>
        <w:spacing w:line="480" w:lineRule="auto"/>
        <w:rPr>
          <w:rFonts w:ascii="Arial" w:hAnsi="Arial" w:cs="Arial"/>
          <w:sz w:val="24"/>
          <w:szCs w:val="24"/>
        </w:rPr>
      </w:pPr>
      <w:r w:rsidRPr="00C51A44">
        <w:rPr>
          <w:rFonts w:ascii="Arial" w:hAnsi="Arial" w:cs="Arial"/>
          <w:sz w:val="24"/>
          <w:szCs w:val="24"/>
        </w:rPr>
        <w:t xml:space="preserve">As McCarthy (2021) introduces that Community Policing has been used across a range of countries for decades and was originally purposed at a response to the dissatisfaction with Police from the Public. Whereby, the idea was to make the public an important aspect in decision making and priorities of the Police. </w:t>
      </w:r>
      <w:proofErr w:type="spellStart"/>
      <w:r w:rsidR="00FF5B8E" w:rsidRPr="00C51A44">
        <w:rPr>
          <w:rFonts w:ascii="Arial" w:hAnsi="Arial" w:cs="Arial"/>
          <w:sz w:val="24"/>
          <w:szCs w:val="24"/>
        </w:rPr>
        <w:t>Levantakis</w:t>
      </w:r>
      <w:proofErr w:type="spellEnd"/>
      <w:r w:rsidR="00FF5B8E" w:rsidRPr="00C51A44">
        <w:rPr>
          <w:rFonts w:ascii="Arial" w:hAnsi="Arial" w:cs="Arial"/>
          <w:sz w:val="24"/>
          <w:szCs w:val="24"/>
        </w:rPr>
        <w:t xml:space="preserve"> an Haberfeld (2018) state that Community Policing is an extension of the contract that is pre-existing between the Police and Public, that places more requirements on both parties to work in partnership to protect communities and accept the role of the Police in said communities.</w:t>
      </w:r>
    </w:p>
    <w:p w14:paraId="42CA2A74" w14:textId="68A9C891" w:rsidR="00C25C86" w:rsidRPr="00C51A44" w:rsidRDefault="00C25C86" w:rsidP="00C51A44">
      <w:pPr>
        <w:spacing w:line="480" w:lineRule="auto"/>
        <w:rPr>
          <w:rFonts w:ascii="Arial" w:hAnsi="Arial" w:cs="Arial"/>
          <w:sz w:val="24"/>
          <w:szCs w:val="24"/>
        </w:rPr>
      </w:pPr>
      <w:r w:rsidRPr="00C51A44">
        <w:rPr>
          <w:rFonts w:ascii="Arial" w:hAnsi="Arial" w:cs="Arial"/>
          <w:sz w:val="24"/>
          <w:szCs w:val="24"/>
        </w:rPr>
        <w:t xml:space="preserve">As </w:t>
      </w:r>
      <w:proofErr w:type="spellStart"/>
      <w:r w:rsidRPr="00C51A44">
        <w:rPr>
          <w:rFonts w:ascii="Arial" w:hAnsi="Arial" w:cs="Arial"/>
          <w:sz w:val="24"/>
          <w:szCs w:val="24"/>
        </w:rPr>
        <w:t>Frevel</w:t>
      </w:r>
      <w:proofErr w:type="spellEnd"/>
      <w:r w:rsidRPr="00C51A44">
        <w:rPr>
          <w:rFonts w:ascii="Arial" w:hAnsi="Arial" w:cs="Arial"/>
          <w:sz w:val="24"/>
          <w:szCs w:val="24"/>
        </w:rPr>
        <w:t xml:space="preserve"> and Rogers (2016) state that previous Police Services have been alone in providing public security and due to various reasons, since then they have started to build partnerships with multiple agencies in order to deliver a wide range of activities surrounding security for the public.</w:t>
      </w:r>
      <w:r w:rsidR="0073712F" w:rsidRPr="00C51A44">
        <w:rPr>
          <w:rFonts w:ascii="Arial" w:hAnsi="Arial" w:cs="Arial"/>
          <w:sz w:val="24"/>
          <w:szCs w:val="24"/>
        </w:rPr>
        <w:t xml:space="preserve"> They go onto state that in the late 20</w:t>
      </w:r>
      <w:r w:rsidR="0073712F" w:rsidRPr="00C51A44">
        <w:rPr>
          <w:rFonts w:ascii="Arial" w:hAnsi="Arial" w:cs="Arial"/>
          <w:sz w:val="24"/>
          <w:szCs w:val="24"/>
          <w:vertAlign w:val="superscript"/>
        </w:rPr>
        <w:t>th</w:t>
      </w:r>
      <w:r w:rsidR="0073712F" w:rsidRPr="00C51A44">
        <w:rPr>
          <w:rFonts w:ascii="Arial" w:hAnsi="Arial" w:cs="Arial"/>
          <w:sz w:val="24"/>
          <w:szCs w:val="24"/>
        </w:rPr>
        <w:t xml:space="preserve"> century, there had been a significant strain put onto Police due to increase in recorded crimes, people in the penal system. Prior to this Police in the UK were mostly left alone, due to being seen as different and avoid of party politics.</w:t>
      </w:r>
    </w:p>
    <w:p w14:paraId="180D432C" w14:textId="77777777" w:rsidR="001F513E" w:rsidRPr="00C51A44" w:rsidRDefault="001F513E" w:rsidP="00C51A44">
      <w:pPr>
        <w:spacing w:line="480" w:lineRule="auto"/>
        <w:rPr>
          <w:rFonts w:ascii="Arial" w:hAnsi="Arial" w:cs="Arial"/>
          <w:sz w:val="24"/>
          <w:szCs w:val="24"/>
        </w:rPr>
      </w:pPr>
    </w:p>
    <w:p w14:paraId="09CFF52A" w14:textId="7CA96107" w:rsidR="00835E39" w:rsidRPr="00C51A44" w:rsidRDefault="00835E39" w:rsidP="00C51A44">
      <w:pPr>
        <w:spacing w:line="480" w:lineRule="auto"/>
        <w:rPr>
          <w:rFonts w:ascii="Arial" w:hAnsi="Arial" w:cs="Arial"/>
          <w:sz w:val="24"/>
          <w:szCs w:val="24"/>
        </w:rPr>
      </w:pPr>
      <w:r w:rsidRPr="00C51A44">
        <w:rPr>
          <w:rFonts w:ascii="Arial" w:hAnsi="Arial" w:cs="Arial"/>
          <w:sz w:val="24"/>
          <w:szCs w:val="24"/>
        </w:rPr>
        <w:t>As per Meyer (2014) who details that Multi-Agency Partnerships have recently moved beyond the Criminal Justice borders and have started to involve other agencies. These partnerships assist in addressing aspects of crimes that tend to involve vulnerabilities, such as drug-related crimes and property crimes that Police may not be the best agency to handle as per College of Policing (2021) detail that offenders may manipulate the Victim into believing they won’t be believed by Police.</w:t>
      </w:r>
      <w:r w:rsidR="003F3384" w:rsidRPr="00C51A44">
        <w:rPr>
          <w:rFonts w:ascii="Arial" w:hAnsi="Arial" w:cs="Arial"/>
          <w:sz w:val="24"/>
          <w:szCs w:val="24"/>
        </w:rPr>
        <w:t xml:space="preserve"> </w:t>
      </w:r>
      <w:r w:rsidR="003F3384" w:rsidRPr="00C51A44">
        <w:rPr>
          <w:rFonts w:ascii="Arial" w:hAnsi="Arial" w:cs="Arial"/>
          <w:sz w:val="24"/>
          <w:szCs w:val="24"/>
        </w:rPr>
        <w:lastRenderedPageBreak/>
        <w:t>This can be seen by Ross et al (20220 who state that reporting of Domestic Abuse Incidents continue to increase and the role of partnerships with agencies, such as victim advocacy is an effective tool in this.</w:t>
      </w:r>
    </w:p>
    <w:p w14:paraId="3C771FF1" w14:textId="2CA1EACC" w:rsidR="003F3384" w:rsidRPr="00C51A44" w:rsidRDefault="003F3384" w:rsidP="00C51A44">
      <w:pPr>
        <w:spacing w:line="480" w:lineRule="auto"/>
        <w:rPr>
          <w:rFonts w:ascii="Arial" w:hAnsi="Arial" w:cs="Arial"/>
          <w:sz w:val="24"/>
          <w:szCs w:val="24"/>
        </w:rPr>
      </w:pPr>
      <w:r w:rsidRPr="00C51A44">
        <w:rPr>
          <w:rFonts w:ascii="Arial" w:hAnsi="Arial" w:cs="Arial"/>
          <w:sz w:val="24"/>
          <w:szCs w:val="24"/>
        </w:rPr>
        <w:t xml:space="preserve">This is shown by Ross et al (2022) who detail Independent Domestic Violence Advisors (IDVA) who are one of several agencies police work in partnership with to secure the safety of Domestic Abuse Victims and are a key part to assisting victims outside and inside of the legal system. </w:t>
      </w:r>
    </w:p>
    <w:p w14:paraId="3B5FF1A2" w14:textId="77777777" w:rsidR="000C2840" w:rsidRPr="00C51A44" w:rsidRDefault="000C2840" w:rsidP="00C51A44">
      <w:pPr>
        <w:spacing w:line="480" w:lineRule="auto"/>
        <w:rPr>
          <w:rFonts w:ascii="Arial" w:hAnsi="Arial" w:cs="Arial"/>
          <w:sz w:val="24"/>
          <w:szCs w:val="24"/>
        </w:rPr>
      </w:pPr>
    </w:p>
    <w:p w14:paraId="3B54E01B" w14:textId="36C14E10" w:rsidR="000C2840" w:rsidRPr="00C51A44" w:rsidRDefault="000C2840" w:rsidP="00C51A44">
      <w:pPr>
        <w:spacing w:line="480" w:lineRule="auto"/>
        <w:rPr>
          <w:rFonts w:ascii="Arial" w:hAnsi="Arial" w:cs="Arial"/>
          <w:sz w:val="24"/>
          <w:szCs w:val="24"/>
        </w:rPr>
      </w:pPr>
      <w:r w:rsidRPr="00C51A44">
        <w:rPr>
          <w:rFonts w:ascii="Arial" w:hAnsi="Arial" w:cs="Arial"/>
          <w:sz w:val="24"/>
          <w:szCs w:val="24"/>
        </w:rPr>
        <w:t xml:space="preserve">As Pycroft and Gough (2019) detail that Domestic Abuse Prevention Partnership (DAPP) has been brought into Hampshire to track Domestic Abuse Perpetrators and offering provisions for sharing information with multiple agencies. Following this, in 2011 Multi-Agency Risk Assessment Conferences (MARAC) were brought in that aim to assess the risks posed by perpetrators and develop methods in order to address their behaviour. This provides a crucial aspect in information sharing as MARACs will develop further information by working with both Perpetrators and Victims long term and ensuring the safeguarding of the victims. </w:t>
      </w:r>
    </w:p>
    <w:p w14:paraId="4861D2B0" w14:textId="77777777" w:rsidR="00835E39" w:rsidRPr="00C51A44" w:rsidRDefault="00835E39" w:rsidP="00C51A44">
      <w:pPr>
        <w:spacing w:line="480" w:lineRule="auto"/>
        <w:rPr>
          <w:rFonts w:ascii="Arial" w:hAnsi="Arial" w:cs="Arial"/>
          <w:sz w:val="24"/>
          <w:szCs w:val="24"/>
        </w:rPr>
      </w:pPr>
    </w:p>
    <w:p w14:paraId="23C94E45" w14:textId="755EE224" w:rsidR="00CA6E16" w:rsidRPr="00C51A44" w:rsidRDefault="0047555D" w:rsidP="00C51A44">
      <w:pPr>
        <w:spacing w:line="480" w:lineRule="auto"/>
        <w:rPr>
          <w:rFonts w:ascii="Arial" w:hAnsi="Arial" w:cs="Arial"/>
          <w:sz w:val="24"/>
          <w:szCs w:val="24"/>
        </w:rPr>
      </w:pPr>
      <w:r w:rsidRPr="00C51A44">
        <w:rPr>
          <w:rFonts w:ascii="Arial" w:hAnsi="Arial" w:cs="Arial"/>
          <w:sz w:val="24"/>
          <w:szCs w:val="24"/>
        </w:rPr>
        <w:t xml:space="preserve">McCarthy (2021) states that the more engagement in the community by Police, the less requirement the same Officers who’ve engaged need to use force or coerce people into being compliant with them. </w:t>
      </w:r>
      <w:r w:rsidR="00382593" w:rsidRPr="00C51A44">
        <w:rPr>
          <w:rFonts w:ascii="Arial" w:hAnsi="Arial" w:cs="Arial"/>
          <w:sz w:val="24"/>
          <w:szCs w:val="24"/>
        </w:rPr>
        <w:t>McCarthy (2021) also states that the more partnerships made within the community, with the community, end up finding that Officers perceive the community as less distant from themselves and that this view builds the Police to be more empathic and less aggressive in use of force situations.</w:t>
      </w:r>
    </w:p>
    <w:p w14:paraId="4B46BC23" w14:textId="77777777" w:rsidR="00CA6E16" w:rsidRPr="00C51A44" w:rsidRDefault="00CA6E16" w:rsidP="00C51A44">
      <w:pPr>
        <w:spacing w:line="480" w:lineRule="auto"/>
        <w:rPr>
          <w:rFonts w:ascii="Arial" w:hAnsi="Arial" w:cs="Arial"/>
          <w:sz w:val="24"/>
          <w:szCs w:val="24"/>
        </w:rPr>
      </w:pPr>
    </w:p>
    <w:p w14:paraId="14E3017A" w14:textId="6DE551DF" w:rsidR="00137EC7" w:rsidRPr="00C51A44" w:rsidRDefault="001F513E" w:rsidP="00C51A44">
      <w:pPr>
        <w:spacing w:line="480" w:lineRule="auto"/>
        <w:rPr>
          <w:rFonts w:ascii="Arial" w:hAnsi="Arial" w:cs="Arial"/>
          <w:sz w:val="24"/>
          <w:szCs w:val="24"/>
        </w:rPr>
      </w:pPr>
      <w:r w:rsidRPr="00C51A44">
        <w:rPr>
          <w:rFonts w:ascii="Arial" w:hAnsi="Arial" w:cs="Arial"/>
          <w:sz w:val="24"/>
          <w:szCs w:val="24"/>
        </w:rPr>
        <w:lastRenderedPageBreak/>
        <w:t xml:space="preserve">As </w:t>
      </w:r>
      <w:proofErr w:type="spellStart"/>
      <w:r w:rsidRPr="00C51A44">
        <w:rPr>
          <w:rFonts w:ascii="Arial" w:hAnsi="Arial" w:cs="Arial"/>
          <w:sz w:val="24"/>
          <w:szCs w:val="24"/>
        </w:rPr>
        <w:t>Levantakis</w:t>
      </w:r>
      <w:proofErr w:type="spellEnd"/>
      <w:r w:rsidRPr="00C51A44">
        <w:rPr>
          <w:rFonts w:ascii="Arial" w:hAnsi="Arial" w:cs="Arial"/>
          <w:sz w:val="24"/>
          <w:szCs w:val="24"/>
        </w:rPr>
        <w:t xml:space="preserve"> and Haberfeld (2018) </w:t>
      </w:r>
      <w:r w:rsidR="0081042C" w:rsidRPr="00C51A44">
        <w:rPr>
          <w:rFonts w:ascii="Arial" w:hAnsi="Arial" w:cs="Arial"/>
          <w:sz w:val="24"/>
          <w:szCs w:val="24"/>
        </w:rPr>
        <w:t xml:space="preserve">state that Social Capital that is core to Community Policing whereby it is exchanged between the Public and Police as a Partnership, Social Capital includes trust as a key aspect to it. The exchange they talk about is reliant on participation from both Community and Police, in order to build trust and confidence in both and are easily broken and effected. This is backed up by </w:t>
      </w:r>
      <w:r w:rsidR="00137EC7" w:rsidRPr="00C51A44">
        <w:rPr>
          <w:rFonts w:ascii="Arial" w:hAnsi="Arial" w:cs="Arial"/>
          <w:sz w:val="24"/>
          <w:szCs w:val="24"/>
        </w:rPr>
        <w:t>McCarthy (2021) also notes on that an increased accountability can also impact the way the community view Police and may make people more willing to be compliant.</w:t>
      </w:r>
    </w:p>
    <w:p w14:paraId="7AF60351" w14:textId="77777777" w:rsidR="00CA6E16" w:rsidRPr="00C51A44" w:rsidRDefault="00CA6E16" w:rsidP="00C51A44">
      <w:pPr>
        <w:spacing w:line="480" w:lineRule="auto"/>
        <w:rPr>
          <w:rFonts w:ascii="Arial" w:hAnsi="Arial" w:cs="Arial"/>
          <w:sz w:val="24"/>
          <w:szCs w:val="24"/>
        </w:rPr>
      </w:pPr>
    </w:p>
    <w:p w14:paraId="2269D838" w14:textId="21559864" w:rsidR="00CA6E16" w:rsidRPr="00C51A44" w:rsidRDefault="00CA6E16" w:rsidP="00C51A44">
      <w:pPr>
        <w:spacing w:line="480" w:lineRule="auto"/>
        <w:rPr>
          <w:rFonts w:ascii="Arial" w:hAnsi="Arial" w:cs="Arial"/>
          <w:sz w:val="24"/>
          <w:szCs w:val="24"/>
        </w:rPr>
      </w:pPr>
      <w:r w:rsidRPr="00C51A44">
        <w:rPr>
          <w:rFonts w:ascii="Arial" w:hAnsi="Arial" w:cs="Arial"/>
          <w:sz w:val="24"/>
          <w:szCs w:val="24"/>
        </w:rPr>
        <w:t>As Innes</w:t>
      </w:r>
      <w:r w:rsidR="002B7852" w:rsidRPr="00C51A44">
        <w:rPr>
          <w:rFonts w:ascii="Arial" w:hAnsi="Arial" w:cs="Arial"/>
          <w:sz w:val="24"/>
          <w:szCs w:val="24"/>
        </w:rPr>
        <w:t xml:space="preserve"> et al</w:t>
      </w:r>
      <w:r w:rsidRPr="00C51A44">
        <w:rPr>
          <w:rFonts w:ascii="Arial" w:hAnsi="Arial" w:cs="Arial"/>
          <w:sz w:val="24"/>
          <w:szCs w:val="24"/>
        </w:rPr>
        <w:t xml:space="preserve"> (2020) show that Police Community Support Officers (PCSO) assist in the partnership with the community and are critical to cooperation with agencies in the community. An example they’ve used is whereby the PCSO had bridged a gap between the Police and Residents Association and depicted that without the cooperation, vigilantism could of taken off. </w:t>
      </w:r>
    </w:p>
    <w:p w14:paraId="708F5AC5" w14:textId="3EED0C3D" w:rsidR="00CA6E16" w:rsidRPr="00C51A44" w:rsidRDefault="00CA6E16" w:rsidP="00C51A44">
      <w:pPr>
        <w:spacing w:line="480" w:lineRule="auto"/>
        <w:rPr>
          <w:rFonts w:ascii="Arial" w:hAnsi="Arial" w:cs="Arial"/>
          <w:sz w:val="24"/>
          <w:szCs w:val="24"/>
        </w:rPr>
      </w:pPr>
      <w:r w:rsidRPr="00C51A44">
        <w:rPr>
          <w:rFonts w:ascii="Arial" w:hAnsi="Arial" w:cs="Arial"/>
          <w:sz w:val="24"/>
          <w:szCs w:val="24"/>
        </w:rPr>
        <w:t>However, Innes</w:t>
      </w:r>
      <w:r w:rsidR="002B7852" w:rsidRPr="00C51A44">
        <w:rPr>
          <w:rFonts w:ascii="Arial" w:hAnsi="Arial" w:cs="Arial"/>
          <w:sz w:val="24"/>
          <w:szCs w:val="24"/>
        </w:rPr>
        <w:t xml:space="preserve"> et al</w:t>
      </w:r>
      <w:r w:rsidRPr="00C51A44">
        <w:rPr>
          <w:rFonts w:ascii="Arial" w:hAnsi="Arial" w:cs="Arial"/>
          <w:sz w:val="24"/>
          <w:szCs w:val="24"/>
        </w:rPr>
        <w:t xml:space="preserve"> (2020) depict that with the establishment of community partnerships, it triggers a range of methods to solve problems within the community with the Police supporting the local community.</w:t>
      </w:r>
    </w:p>
    <w:p w14:paraId="47143061" w14:textId="77777777" w:rsidR="00CA6E16" w:rsidRPr="00C51A44" w:rsidRDefault="00CA6E16" w:rsidP="00C51A44">
      <w:pPr>
        <w:spacing w:line="480" w:lineRule="auto"/>
        <w:rPr>
          <w:rFonts w:ascii="Arial" w:hAnsi="Arial" w:cs="Arial"/>
          <w:sz w:val="24"/>
          <w:szCs w:val="24"/>
        </w:rPr>
      </w:pPr>
    </w:p>
    <w:p w14:paraId="0418CACF" w14:textId="22AF1BF5" w:rsidR="00492745" w:rsidRPr="00C51A44" w:rsidRDefault="002146D9" w:rsidP="00C51A44">
      <w:pPr>
        <w:spacing w:line="480" w:lineRule="auto"/>
        <w:rPr>
          <w:rFonts w:ascii="Arial" w:hAnsi="Arial" w:cs="Arial"/>
          <w:sz w:val="24"/>
          <w:szCs w:val="24"/>
        </w:rPr>
      </w:pPr>
      <w:r w:rsidRPr="00C51A44">
        <w:rPr>
          <w:rFonts w:ascii="Arial" w:hAnsi="Arial" w:cs="Arial"/>
          <w:sz w:val="24"/>
          <w:szCs w:val="24"/>
        </w:rPr>
        <w:t xml:space="preserve">As per Stephens and Fowler (2004) who show another case study, whereby in Guildford the Safer Cities programme had begun a trend whereby Police and Local Authorities would set up schemes in the urban centres in order to provide safety to communities and reduce crime. They detail this to be a </w:t>
      </w:r>
      <w:r w:rsidR="00A82B40" w:rsidRPr="00C51A44">
        <w:rPr>
          <w:rFonts w:ascii="Arial" w:hAnsi="Arial" w:cs="Arial"/>
          <w:sz w:val="24"/>
          <w:szCs w:val="24"/>
        </w:rPr>
        <w:t>problem</w:t>
      </w:r>
      <w:r w:rsidR="00477E9D" w:rsidRPr="00C51A44">
        <w:rPr>
          <w:rFonts w:ascii="Arial" w:hAnsi="Arial" w:cs="Arial"/>
          <w:sz w:val="24"/>
          <w:szCs w:val="24"/>
        </w:rPr>
        <w:t xml:space="preserve"> </w:t>
      </w:r>
      <w:r w:rsidR="00A82B40" w:rsidRPr="00C51A44">
        <w:rPr>
          <w:rFonts w:ascii="Arial" w:hAnsi="Arial" w:cs="Arial"/>
          <w:sz w:val="24"/>
          <w:szCs w:val="24"/>
        </w:rPr>
        <w:t>solving</w:t>
      </w:r>
      <w:r w:rsidRPr="00C51A44">
        <w:rPr>
          <w:rFonts w:ascii="Arial" w:hAnsi="Arial" w:cs="Arial"/>
          <w:sz w:val="24"/>
          <w:szCs w:val="24"/>
        </w:rPr>
        <w:t xml:space="preserve"> approach to crime, whereby partnership with multiple agencies allows them to provide an effective reduction in crime. </w:t>
      </w:r>
      <w:r w:rsidR="00492745" w:rsidRPr="00C51A44">
        <w:rPr>
          <w:rFonts w:ascii="Arial" w:hAnsi="Arial" w:cs="Arial"/>
          <w:sz w:val="24"/>
          <w:szCs w:val="24"/>
        </w:rPr>
        <w:t xml:space="preserve">Stephens and Fowler (2004) describe that this had </w:t>
      </w:r>
      <w:r w:rsidR="00492745" w:rsidRPr="00C51A44">
        <w:rPr>
          <w:rFonts w:ascii="Arial" w:hAnsi="Arial" w:cs="Arial"/>
          <w:sz w:val="24"/>
          <w:szCs w:val="24"/>
        </w:rPr>
        <w:lastRenderedPageBreak/>
        <w:t>initially begun as a voluntary scheme, before due to the success it was having being turned into a legal requirement for Police and Local Authorities to cooperate under the Crime and Disorder Act 1998.</w:t>
      </w:r>
    </w:p>
    <w:p w14:paraId="261FAE23" w14:textId="0A686642" w:rsidR="00080ED9" w:rsidRPr="00C51A44" w:rsidRDefault="00080ED9" w:rsidP="00C51A44">
      <w:pPr>
        <w:spacing w:line="480" w:lineRule="auto"/>
        <w:rPr>
          <w:rFonts w:ascii="Arial" w:hAnsi="Arial" w:cs="Arial"/>
          <w:sz w:val="24"/>
          <w:szCs w:val="24"/>
        </w:rPr>
      </w:pPr>
      <w:r w:rsidRPr="00C51A44">
        <w:rPr>
          <w:rFonts w:ascii="Arial" w:hAnsi="Arial" w:cs="Arial"/>
          <w:sz w:val="24"/>
          <w:szCs w:val="24"/>
        </w:rPr>
        <w:t xml:space="preserve">Going back to </w:t>
      </w:r>
      <w:proofErr w:type="spellStart"/>
      <w:r w:rsidRPr="00C51A44">
        <w:rPr>
          <w:rFonts w:ascii="Arial" w:hAnsi="Arial" w:cs="Arial"/>
          <w:sz w:val="24"/>
          <w:szCs w:val="24"/>
        </w:rPr>
        <w:t>Frevel</w:t>
      </w:r>
      <w:proofErr w:type="spellEnd"/>
      <w:r w:rsidRPr="00C51A44">
        <w:rPr>
          <w:rFonts w:ascii="Arial" w:hAnsi="Arial" w:cs="Arial"/>
          <w:sz w:val="24"/>
          <w:szCs w:val="24"/>
        </w:rPr>
        <w:t xml:space="preserve"> and Rogers (2016) </w:t>
      </w:r>
      <w:r w:rsidR="00072C9A" w:rsidRPr="00C51A44">
        <w:rPr>
          <w:rFonts w:ascii="Arial" w:hAnsi="Arial" w:cs="Arial"/>
          <w:sz w:val="24"/>
          <w:szCs w:val="24"/>
        </w:rPr>
        <w:t xml:space="preserve">they back up what Stephens and Fowler said above and state that the Safer Cities scheme and introduced in hopes to reduce crime and reduce the fear of crime, thus attempt to make cities safer so that communities could thrive. </w:t>
      </w:r>
    </w:p>
    <w:p w14:paraId="6C37BE68" w14:textId="77777777" w:rsidR="0073712F" w:rsidRPr="00C51A44" w:rsidRDefault="0073712F" w:rsidP="00C51A44">
      <w:pPr>
        <w:spacing w:line="480" w:lineRule="auto"/>
        <w:rPr>
          <w:rFonts w:ascii="Arial" w:hAnsi="Arial" w:cs="Arial"/>
          <w:sz w:val="24"/>
          <w:szCs w:val="24"/>
        </w:rPr>
      </w:pPr>
    </w:p>
    <w:p w14:paraId="6ADC5240" w14:textId="73CE46BE" w:rsidR="00DC12DF" w:rsidRPr="00C51A44" w:rsidRDefault="009A4864" w:rsidP="00C51A44">
      <w:pPr>
        <w:spacing w:line="480" w:lineRule="auto"/>
        <w:rPr>
          <w:rFonts w:ascii="Arial" w:hAnsi="Arial" w:cs="Arial"/>
          <w:sz w:val="24"/>
          <w:szCs w:val="24"/>
        </w:rPr>
      </w:pPr>
      <w:r w:rsidRPr="00C51A44">
        <w:rPr>
          <w:rFonts w:ascii="Arial" w:hAnsi="Arial" w:cs="Arial"/>
          <w:sz w:val="24"/>
          <w:szCs w:val="24"/>
        </w:rPr>
        <w:t>In conclusion, Community Partnerships are key to covering a wider array of policing duties and continued partnership with items like MARAC that Pycroft and Gough (2019) detailed, IDVA that Ross et al (2022) detail will assist Police in their duties to identify, safeguard and be proactive in domestic cases. Whereby, working with the Community by the function of PCSOs that Innes et al (2020) had depicted is a key part to solving issues within the community and finding more partnerships in the communities to assist in identifying and reducing crime.</w:t>
      </w:r>
      <w:r w:rsidR="00DA37A4" w:rsidRPr="00C51A44">
        <w:rPr>
          <w:rFonts w:ascii="Arial" w:hAnsi="Arial" w:cs="Arial"/>
          <w:sz w:val="24"/>
          <w:szCs w:val="24"/>
        </w:rPr>
        <w:t xml:space="preserve"> That as Stephens and Fowler (2004) state that the key to a successful community partnership with the Police, is the strategy implemented with it. </w:t>
      </w:r>
      <w:r w:rsidRPr="00C51A44">
        <w:rPr>
          <w:rFonts w:ascii="Arial" w:hAnsi="Arial" w:cs="Arial"/>
          <w:sz w:val="24"/>
          <w:szCs w:val="24"/>
        </w:rPr>
        <w:t xml:space="preserve">Yet, none of this can be done without what </w:t>
      </w:r>
      <w:proofErr w:type="spellStart"/>
      <w:r w:rsidRPr="00C51A44">
        <w:rPr>
          <w:rFonts w:ascii="Arial" w:hAnsi="Arial" w:cs="Arial"/>
          <w:sz w:val="24"/>
          <w:szCs w:val="24"/>
        </w:rPr>
        <w:t>Leventakis</w:t>
      </w:r>
      <w:proofErr w:type="spellEnd"/>
      <w:r w:rsidRPr="00C51A44">
        <w:rPr>
          <w:rFonts w:ascii="Arial" w:hAnsi="Arial" w:cs="Arial"/>
          <w:sz w:val="24"/>
          <w:szCs w:val="24"/>
        </w:rPr>
        <w:t xml:space="preserve"> and Haberfeld (2018) dictated that the requirement of accountability and trust, that is a key aspect </w:t>
      </w:r>
      <w:r w:rsidR="0088512F" w:rsidRPr="00C51A44">
        <w:rPr>
          <w:rFonts w:ascii="Arial" w:hAnsi="Arial" w:cs="Arial"/>
          <w:sz w:val="24"/>
          <w:szCs w:val="24"/>
        </w:rPr>
        <w:t>in the views of the Community on the Police, but is required to be built by both sides.</w:t>
      </w:r>
      <w:r w:rsidR="00DA37A4" w:rsidRPr="00C51A44">
        <w:rPr>
          <w:rFonts w:ascii="Arial" w:hAnsi="Arial" w:cs="Arial"/>
          <w:sz w:val="24"/>
          <w:szCs w:val="24"/>
        </w:rPr>
        <w:t xml:space="preserve"> </w:t>
      </w:r>
    </w:p>
    <w:p w14:paraId="7E7B38D4" w14:textId="77777777" w:rsidR="00492745" w:rsidRPr="00C51A44" w:rsidRDefault="00492745" w:rsidP="00C51A44">
      <w:pPr>
        <w:spacing w:line="480" w:lineRule="auto"/>
        <w:rPr>
          <w:rFonts w:ascii="Arial" w:hAnsi="Arial" w:cs="Arial"/>
          <w:sz w:val="24"/>
          <w:szCs w:val="24"/>
        </w:rPr>
      </w:pPr>
    </w:p>
    <w:p w14:paraId="534022E7" w14:textId="77777777" w:rsidR="00C51A44" w:rsidRDefault="00060030" w:rsidP="00C51A44">
      <w:pPr>
        <w:spacing w:line="480" w:lineRule="auto"/>
        <w:rPr>
          <w:rFonts w:ascii="Arial" w:hAnsi="Arial" w:cs="Arial"/>
          <w:b/>
          <w:bCs/>
          <w:sz w:val="24"/>
          <w:szCs w:val="24"/>
        </w:rPr>
      </w:pPr>
      <w:r w:rsidRPr="00C51A44">
        <w:rPr>
          <w:rFonts w:ascii="Arial" w:hAnsi="Arial" w:cs="Arial"/>
          <w:b/>
          <w:bCs/>
          <w:sz w:val="24"/>
          <w:szCs w:val="24"/>
        </w:rPr>
        <w:t>Word Count: 1032</w:t>
      </w:r>
    </w:p>
    <w:p w14:paraId="1BD46DA9" w14:textId="77777777" w:rsidR="00C51A44" w:rsidRDefault="00C51A44">
      <w:pPr>
        <w:rPr>
          <w:rFonts w:ascii="Arial" w:hAnsi="Arial" w:cs="Arial"/>
          <w:b/>
          <w:bCs/>
          <w:sz w:val="24"/>
          <w:szCs w:val="24"/>
        </w:rPr>
      </w:pPr>
      <w:r>
        <w:rPr>
          <w:rFonts w:ascii="Arial" w:hAnsi="Arial" w:cs="Arial"/>
          <w:b/>
          <w:bCs/>
          <w:sz w:val="24"/>
          <w:szCs w:val="24"/>
        </w:rPr>
        <w:br w:type="page"/>
      </w:r>
    </w:p>
    <w:p w14:paraId="46F9F91C" w14:textId="6770F850" w:rsidR="00492745" w:rsidRPr="00C51A44" w:rsidRDefault="00432803" w:rsidP="00C51A44">
      <w:pPr>
        <w:spacing w:line="480" w:lineRule="auto"/>
        <w:rPr>
          <w:rFonts w:ascii="Arial" w:hAnsi="Arial" w:cs="Arial"/>
          <w:b/>
          <w:bCs/>
          <w:sz w:val="24"/>
          <w:szCs w:val="24"/>
        </w:rPr>
      </w:pPr>
      <w:r w:rsidRPr="00C51A44">
        <w:rPr>
          <w:rFonts w:ascii="Arial" w:hAnsi="Arial" w:cs="Arial"/>
          <w:b/>
          <w:bCs/>
          <w:sz w:val="24"/>
          <w:szCs w:val="24"/>
        </w:rPr>
        <w:lastRenderedPageBreak/>
        <w:t>Essay Four</w:t>
      </w:r>
      <w:r w:rsidR="00964591" w:rsidRPr="00C51A44">
        <w:rPr>
          <w:rFonts w:ascii="Arial" w:hAnsi="Arial" w:cs="Arial"/>
          <w:b/>
          <w:bCs/>
          <w:sz w:val="24"/>
          <w:szCs w:val="24"/>
        </w:rPr>
        <w:t xml:space="preserve">: </w:t>
      </w:r>
    </w:p>
    <w:p w14:paraId="7DB64A49" w14:textId="77777777" w:rsidR="00F55ADA" w:rsidRPr="00C51A44" w:rsidRDefault="00F55ADA" w:rsidP="00C51A44">
      <w:pPr>
        <w:spacing w:line="480" w:lineRule="auto"/>
        <w:rPr>
          <w:rFonts w:ascii="Arial" w:hAnsi="Arial" w:cs="Arial"/>
          <w:sz w:val="24"/>
          <w:szCs w:val="24"/>
        </w:rPr>
      </w:pPr>
    </w:p>
    <w:p w14:paraId="78A42515" w14:textId="77777777" w:rsidR="006C7718" w:rsidRPr="00C51A44" w:rsidRDefault="0069625B" w:rsidP="00C51A44">
      <w:pPr>
        <w:spacing w:line="480" w:lineRule="auto"/>
        <w:rPr>
          <w:rFonts w:ascii="Arial" w:hAnsi="Arial" w:cs="Arial"/>
          <w:sz w:val="24"/>
          <w:szCs w:val="24"/>
        </w:rPr>
      </w:pPr>
      <w:r w:rsidRPr="00C51A44">
        <w:rPr>
          <w:rFonts w:ascii="Arial" w:hAnsi="Arial" w:cs="Arial"/>
          <w:sz w:val="24"/>
          <w:szCs w:val="24"/>
        </w:rPr>
        <w:t xml:space="preserve">As Williams (2023) details that the definition of Vulnerability is a problematic area and is constantly changing as shown throughout history due to the varying different factors that make people vulnerable. </w:t>
      </w:r>
    </w:p>
    <w:p w14:paraId="2FB413CB" w14:textId="568648D0" w:rsidR="006C7718" w:rsidRPr="00C51A44" w:rsidRDefault="00E87D50" w:rsidP="00C51A44">
      <w:pPr>
        <w:spacing w:line="480" w:lineRule="auto"/>
        <w:rPr>
          <w:rFonts w:ascii="Arial" w:hAnsi="Arial" w:cs="Arial"/>
          <w:sz w:val="24"/>
          <w:szCs w:val="24"/>
        </w:rPr>
      </w:pPr>
      <w:r w:rsidRPr="00C51A44">
        <w:rPr>
          <w:rFonts w:ascii="Arial" w:hAnsi="Arial" w:cs="Arial"/>
          <w:sz w:val="24"/>
          <w:szCs w:val="24"/>
        </w:rPr>
        <w:t>However, Williams (2023) makes the point throughout the case studies used that an accepted factor of vulnerability is age</w:t>
      </w:r>
      <w:r w:rsidR="006C7718" w:rsidRPr="00C51A44">
        <w:rPr>
          <w:rFonts w:ascii="Arial" w:hAnsi="Arial" w:cs="Arial"/>
          <w:sz w:val="24"/>
          <w:szCs w:val="24"/>
        </w:rPr>
        <w:t xml:space="preserve"> and </w:t>
      </w:r>
      <w:r w:rsidRPr="00C51A44">
        <w:rPr>
          <w:rFonts w:ascii="Arial" w:hAnsi="Arial" w:cs="Arial"/>
          <w:sz w:val="24"/>
          <w:szCs w:val="24"/>
        </w:rPr>
        <w:t xml:space="preserve">learning difficulties, whereby Children are regarded as vulnerable in society. </w:t>
      </w:r>
      <w:r w:rsidR="00683A2B" w:rsidRPr="00C51A44">
        <w:rPr>
          <w:rFonts w:ascii="Arial" w:hAnsi="Arial" w:cs="Arial"/>
          <w:sz w:val="24"/>
          <w:szCs w:val="24"/>
        </w:rPr>
        <w:t xml:space="preserve">This is backed up by Finelli (2019) who states that Children are vulnerable due to their susceptibility to peer pressure that severely effects their ability to make decisions for themselves. </w:t>
      </w:r>
    </w:p>
    <w:p w14:paraId="614F7652" w14:textId="77777777" w:rsidR="00E87D50" w:rsidRPr="00C51A44" w:rsidRDefault="00E87D50" w:rsidP="00C51A44">
      <w:pPr>
        <w:spacing w:line="480" w:lineRule="auto"/>
        <w:rPr>
          <w:rFonts w:ascii="Arial" w:hAnsi="Arial" w:cs="Arial"/>
          <w:sz w:val="24"/>
          <w:szCs w:val="24"/>
        </w:rPr>
      </w:pPr>
    </w:p>
    <w:p w14:paraId="099D969B" w14:textId="487445A1" w:rsidR="00B82040" w:rsidRPr="00C51A44" w:rsidRDefault="00B82040" w:rsidP="00C51A44">
      <w:pPr>
        <w:spacing w:line="480" w:lineRule="auto"/>
        <w:rPr>
          <w:rFonts w:ascii="Arial" w:hAnsi="Arial" w:cs="Arial"/>
          <w:sz w:val="24"/>
          <w:szCs w:val="24"/>
        </w:rPr>
      </w:pPr>
      <w:r w:rsidRPr="00C51A44">
        <w:rPr>
          <w:rFonts w:ascii="Arial" w:hAnsi="Arial" w:cs="Arial"/>
          <w:sz w:val="24"/>
          <w:szCs w:val="24"/>
        </w:rPr>
        <w:t xml:space="preserve">Thompson (2019) had noted that young people, akin to Homeless, who had offended did so out of the lack of opportunity for them alongside that of being given incentives like money and material wealth. </w:t>
      </w:r>
      <w:r w:rsidR="00614651" w:rsidRPr="00C51A44">
        <w:rPr>
          <w:rFonts w:ascii="Arial" w:hAnsi="Arial" w:cs="Arial"/>
          <w:sz w:val="24"/>
          <w:szCs w:val="24"/>
        </w:rPr>
        <w:t>This is then further backed up by Sanders et al (2009) who details that prior to joining gangs, young people mostly come from communities that are marginalised both socially and economically, making them more vulnerable and at risk of exploitation due to their families wealth that tends to require assistance from the state.</w:t>
      </w:r>
    </w:p>
    <w:p w14:paraId="1D387153" w14:textId="6122123A" w:rsidR="00683A2B" w:rsidRPr="00C51A44" w:rsidRDefault="00683A2B" w:rsidP="00C51A44">
      <w:pPr>
        <w:spacing w:line="480" w:lineRule="auto"/>
        <w:rPr>
          <w:rFonts w:ascii="Arial" w:hAnsi="Arial" w:cs="Arial"/>
          <w:sz w:val="24"/>
          <w:szCs w:val="24"/>
        </w:rPr>
      </w:pPr>
      <w:r w:rsidRPr="00C51A44">
        <w:rPr>
          <w:rFonts w:ascii="Arial" w:hAnsi="Arial" w:cs="Arial"/>
          <w:sz w:val="24"/>
          <w:szCs w:val="24"/>
        </w:rPr>
        <w:t>Finelli (2019) adds into the reasons why a Child joins gangs, by also notating on the sense of family that a gang provides them whereby Children with a Single Parent may be more likely to join a gang as they end up with a feeling of belonging and parental love from other members.</w:t>
      </w:r>
    </w:p>
    <w:p w14:paraId="5448952D" w14:textId="54BA3AF7" w:rsidR="00734AF3" w:rsidRPr="00C51A44" w:rsidRDefault="00734AF3" w:rsidP="00C51A44">
      <w:pPr>
        <w:spacing w:line="480" w:lineRule="auto"/>
        <w:rPr>
          <w:rFonts w:ascii="Arial" w:hAnsi="Arial" w:cs="Arial"/>
          <w:sz w:val="24"/>
          <w:szCs w:val="24"/>
        </w:rPr>
      </w:pPr>
      <w:r w:rsidRPr="00C51A44">
        <w:rPr>
          <w:rFonts w:ascii="Arial" w:hAnsi="Arial" w:cs="Arial"/>
          <w:sz w:val="24"/>
          <w:szCs w:val="24"/>
        </w:rPr>
        <w:lastRenderedPageBreak/>
        <w:t>However, Sanders et al (2009) goes onto state that Young People in gangs tend to be more likely to undertake risky behaviours and as shown in studies tend to have a higher rate of drug and alcohol use compared to that of those not in a gang. They go onto state that they are also 60 times more likely to become a victim of violence that the normal population, due to the association with gang violence and acceptance of risky behaviour.</w:t>
      </w:r>
    </w:p>
    <w:p w14:paraId="151FD128" w14:textId="3CFEAB38" w:rsidR="00B82040" w:rsidRPr="00C51A44" w:rsidRDefault="00B82040" w:rsidP="00C51A44">
      <w:pPr>
        <w:spacing w:line="480" w:lineRule="auto"/>
        <w:rPr>
          <w:rFonts w:ascii="Arial" w:hAnsi="Arial" w:cs="Arial"/>
          <w:sz w:val="24"/>
          <w:szCs w:val="24"/>
        </w:rPr>
      </w:pPr>
    </w:p>
    <w:p w14:paraId="1666636C" w14:textId="6DCFB553" w:rsidR="00EC3B14" w:rsidRPr="00C51A44" w:rsidRDefault="00EC3B14" w:rsidP="00C51A44">
      <w:pPr>
        <w:spacing w:line="480" w:lineRule="auto"/>
        <w:rPr>
          <w:rFonts w:ascii="Arial" w:hAnsi="Arial" w:cs="Arial"/>
          <w:sz w:val="24"/>
          <w:szCs w:val="24"/>
        </w:rPr>
      </w:pPr>
      <w:r w:rsidRPr="00C51A44">
        <w:rPr>
          <w:rFonts w:ascii="Arial" w:hAnsi="Arial" w:cs="Arial"/>
          <w:sz w:val="24"/>
          <w:szCs w:val="24"/>
        </w:rPr>
        <w:t xml:space="preserve">Moving from the Violent Crime Gangs, Brookings (2013) depicts that Children are also more likely to be exploited in Sexual Exploitation gangs. They noted that if a Child is close to a gang member or even in a gang, that they tend to </w:t>
      </w:r>
      <w:r w:rsidR="0014522F" w:rsidRPr="00C51A44">
        <w:rPr>
          <w:rFonts w:ascii="Arial" w:hAnsi="Arial" w:cs="Arial"/>
          <w:sz w:val="24"/>
          <w:szCs w:val="24"/>
        </w:rPr>
        <w:t>avoid reporting crimes due to the fear of reprisals from the gang</w:t>
      </w:r>
      <w:r w:rsidR="00830C3D" w:rsidRPr="00C51A44">
        <w:rPr>
          <w:rFonts w:ascii="Arial" w:hAnsi="Arial" w:cs="Arial"/>
          <w:sz w:val="24"/>
          <w:szCs w:val="24"/>
        </w:rPr>
        <w:t xml:space="preserve"> or that they have allegedly seen assaults as a normal aspect of gang life</w:t>
      </w:r>
      <w:r w:rsidR="0014522F" w:rsidRPr="00C51A44">
        <w:rPr>
          <w:rFonts w:ascii="Arial" w:hAnsi="Arial" w:cs="Arial"/>
          <w:sz w:val="24"/>
          <w:szCs w:val="24"/>
        </w:rPr>
        <w:t xml:space="preserve">. </w:t>
      </w:r>
    </w:p>
    <w:p w14:paraId="71209505" w14:textId="5BB512FE" w:rsidR="00B33683" w:rsidRPr="00C51A44" w:rsidRDefault="00B33683" w:rsidP="00C51A44">
      <w:pPr>
        <w:spacing w:line="480" w:lineRule="auto"/>
        <w:rPr>
          <w:rFonts w:ascii="Arial" w:hAnsi="Arial" w:cs="Arial"/>
          <w:sz w:val="24"/>
          <w:szCs w:val="24"/>
        </w:rPr>
      </w:pPr>
      <w:r w:rsidRPr="00C51A44">
        <w:rPr>
          <w:rFonts w:ascii="Arial" w:hAnsi="Arial" w:cs="Arial"/>
          <w:sz w:val="24"/>
          <w:szCs w:val="24"/>
        </w:rPr>
        <w:t>Havard (2021) continues this depiction on by stating that Females who are in gangs are more likely to have experienced abuse from their Male counterparts within the gangs. However, those joining gangs tend be due to a history of drug use, domestic abuse and debt which ties into what Sanders et al (2009) had been stating about drug use and Thomspon (2019) about the economic status of people entering gangs.</w:t>
      </w:r>
    </w:p>
    <w:p w14:paraId="7712B6A6" w14:textId="23F5FC1D" w:rsidR="00FE3162" w:rsidRPr="00C51A44" w:rsidRDefault="00B33683" w:rsidP="00C51A44">
      <w:pPr>
        <w:spacing w:line="480" w:lineRule="auto"/>
        <w:rPr>
          <w:rFonts w:ascii="Arial" w:hAnsi="Arial" w:cs="Arial"/>
          <w:sz w:val="24"/>
          <w:szCs w:val="24"/>
        </w:rPr>
      </w:pPr>
      <w:r w:rsidRPr="00C51A44">
        <w:rPr>
          <w:rFonts w:ascii="Arial" w:hAnsi="Arial" w:cs="Arial"/>
          <w:sz w:val="24"/>
          <w:szCs w:val="24"/>
        </w:rPr>
        <w:t>Havard (2021) goes onto state that unlike what Sanders et al (2009) had found, Females are less likely to be involved in the violence of gangs but are more likely to be subject to victimisation of violence, specifically from their partners, including that of Sexual Violence that Brookings (2013) had noted on.</w:t>
      </w:r>
      <w:r w:rsidR="00FE3162" w:rsidRPr="00C51A44">
        <w:rPr>
          <w:rFonts w:ascii="Arial" w:hAnsi="Arial" w:cs="Arial"/>
          <w:sz w:val="24"/>
          <w:szCs w:val="24"/>
        </w:rPr>
        <w:t xml:space="preserve"> </w:t>
      </w:r>
    </w:p>
    <w:p w14:paraId="5312FE50" w14:textId="76472CA8" w:rsidR="00FE3162" w:rsidRPr="00C51A44" w:rsidRDefault="00FE3162" w:rsidP="00C51A44">
      <w:pPr>
        <w:spacing w:line="480" w:lineRule="auto"/>
        <w:rPr>
          <w:rFonts w:ascii="Arial" w:hAnsi="Arial" w:cs="Arial"/>
          <w:sz w:val="24"/>
          <w:szCs w:val="24"/>
        </w:rPr>
      </w:pPr>
      <w:r w:rsidRPr="00C51A44">
        <w:rPr>
          <w:rFonts w:ascii="Arial" w:hAnsi="Arial" w:cs="Arial"/>
          <w:sz w:val="24"/>
          <w:szCs w:val="24"/>
        </w:rPr>
        <w:t xml:space="preserve">Havard (2021) goes onto note that Females end up coercively controlled in gangs, whereby they share privileged information that is then used to control them by the gangs. It is noted that Gang Members target young Females, creating an impression </w:t>
      </w:r>
      <w:r w:rsidRPr="00C51A44">
        <w:rPr>
          <w:rFonts w:ascii="Arial" w:hAnsi="Arial" w:cs="Arial"/>
          <w:sz w:val="24"/>
          <w:szCs w:val="24"/>
        </w:rPr>
        <w:lastRenderedPageBreak/>
        <w:t>of a romantic relationship before subjecting them to violence and controlling them with fear of further violence, humiliation and plenty more tactics.</w:t>
      </w:r>
      <w:r w:rsidR="007956F8" w:rsidRPr="00C51A44">
        <w:rPr>
          <w:rFonts w:ascii="Arial" w:hAnsi="Arial" w:cs="Arial"/>
          <w:sz w:val="24"/>
          <w:szCs w:val="24"/>
        </w:rPr>
        <w:t xml:space="preserve"> This as per </w:t>
      </w:r>
    </w:p>
    <w:p w14:paraId="0C4DB772" w14:textId="38C11D3D" w:rsidR="007956F8" w:rsidRPr="00C51A44" w:rsidRDefault="007956F8" w:rsidP="00C51A44">
      <w:pPr>
        <w:spacing w:line="480" w:lineRule="auto"/>
        <w:rPr>
          <w:rFonts w:ascii="Arial" w:hAnsi="Arial" w:cs="Arial"/>
          <w:sz w:val="24"/>
          <w:szCs w:val="24"/>
        </w:rPr>
      </w:pPr>
      <w:r w:rsidRPr="00C51A44">
        <w:rPr>
          <w:rFonts w:ascii="Arial" w:hAnsi="Arial" w:cs="Arial"/>
          <w:sz w:val="24"/>
          <w:szCs w:val="24"/>
        </w:rPr>
        <w:t>As per the College of Policing (COP) (2023) states that due to the emotional abuse connected with domestic relationships and the close proximity of the Offender and Victim, it causes Victims of Domestic Abuse to be more vulnerable and at elevated risk of further harm. Which as identified by Havard (2021) is shown in studies whereby Partners end up controlled when inside a gang and to join gangs, based on violence and emotional abuse.</w:t>
      </w:r>
    </w:p>
    <w:p w14:paraId="1C7EBCF1" w14:textId="6C6ECA19" w:rsidR="00F23089" w:rsidRPr="00C51A44" w:rsidRDefault="00F23089" w:rsidP="00C51A44">
      <w:pPr>
        <w:spacing w:line="480" w:lineRule="auto"/>
        <w:rPr>
          <w:rFonts w:ascii="Arial" w:hAnsi="Arial" w:cs="Arial"/>
          <w:sz w:val="24"/>
          <w:szCs w:val="24"/>
        </w:rPr>
      </w:pPr>
      <w:r w:rsidRPr="00C51A44">
        <w:rPr>
          <w:rFonts w:ascii="Arial" w:hAnsi="Arial" w:cs="Arial"/>
          <w:sz w:val="24"/>
          <w:szCs w:val="24"/>
        </w:rPr>
        <w:t>This is further backed up by Williams (2023) who lists gender as a main factor of what makes a person vulnerable, as they state that Females are more likely to be victims of repeated abuse, this is what Havard (2021) and Brookings (2013) noted on with Domestic Violence.</w:t>
      </w:r>
    </w:p>
    <w:p w14:paraId="1308DA8D" w14:textId="77777777" w:rsidR="00E65226" w:rsidRPr="00C51A44" w:rsidRDefault="00E65226" w:rsidP="00C51A44">
      <w:pPr>
        <w:spacing w:line="480" w:lineRule="auto"/>
        <w:rPr>
          <w:rFonts w:ascii="Arial" w:hAnsi="Arial" w:cs="Arial"/>
          <w:sz w:val="24"/>
          <w:szCs w:val="24"/>
        </w:rPr>
      </w:pPr>
    </w:p>
    <w:p w14:paraId="3E40D3F8" w14:textId="4E650D1F" w:rsidR="006C7718" w:rsidRPr="00C51A44" w:rsidRDefault="00DC5ECE" w:rsidP="00C51A44">
      <w:pPr>
        <w:spacing w:line="480" w:lineRule="auto"/>
        <w:rPr>
          <w:rFonts w:ascii="Arial" w:hAnsi="Arial" w:cs="Arial"/>
          <w:sz w:val="24"/>
          <w:szCs w:val="24"/>
        </w:rPr>
      </w:pPr>
      <w:r w:rsidRPr="00C51A44">
        <w:rPr>
          <w:rFonts w:ascii="Arial" w:hAnsi="Arial" w:cs="Arial"/>
          <w:sz w:val="24"/>
          <w:szCs w:val="24"/>
        </w:rPr>
        <w:t xml:space="preserve">As Harding (2020) details cuckooing is used to identify exploitation of vulnerable people whereby they are forced or pressured into sharing accommodation with what is usually drug dealers to provide a place for them to deal drugs. It is stated that these vulnerable people tend to have physical or mental health issues and has been underreported in the past and is only recently being identified as an issue. </w:t>
      </w:r>
      <w:r w:rsidR="003B6288" w:rsidRPr="00C51A44">
        <w:rPr>
          <w:rFonts w:ascii="Arial" w:hAnsi="Arial" w:cs="Arial"/>
          <w:sz w:val="24"/>
          <w:szCs w:val="24"/>
        </w:rPr>
        <w:t>Going back to Williams (2023) who backs this up, who lists Physical Disability as a mandatory factor on what makes a person vulnerable, same with Mental Health issues.</w:t>
      </w:r>
    </w:p>
    <w:p w14:paraId="2C1B1ECD" w14:textId="77777777" w:rsidR="008237E4" w:rsidRPr="00C51A44" w:rsidRDefault="008237E4" w:rsidP="00C51A44">
      <w:pPr>
        <w:spacing w:line="480" w:lineRule="auto"/>
        <w:rPr>
          <w:rFonts w:ascii="Arial" w:hAnsi="Arial" w:cs="Arial"/>
          <w:sz w:val="24"/>
          <w:szCs w:val="24"/>
        </w:rPr>
      </w:pPr>
    </w:p>
    <w:p w14:paraId="7167879D" w14:textId="75D5F4BE" w:rsidR="00E65226" w:rsidRPr="00C51A44" w:rsidRDefault="00E65226" w:rsidP="00C51A44">
      <w:pPr>
        <w:spacing w:line="480" w:lineRule="auto"/>
        <w:rPr>
          <w:rFonts w:ascii="Arial" w:hAnsi="Arial" w:cs="Arial"/>
          <w:sz w:val="24"/>
          <w:szCs w:val="24"/>
        </w:rPr>
      </w:pPr>
      <w:r w:rsidRPr="00C51A44">
        <w:rPr>
          <w:rFonts w:ascii="Arial" w:hAnsi="Arial" w:cs="Arial"/>
          <w:sz w:val="24"/>
          <w:szCs w:val="24"/>
        </w:rPr>
        <w:t xml:space="preserve">As Thompson (2019) details that in regards to Children partaking in Organised Crime, there has been a focus on the threat of penal punishment in order to attempt </w:t>
      </w:r>
      <w:r w:rsidRPr="00C51A44">
        <w:rPr>
          <w:rFonts w:ascii="Arial" w:hAnsi="Arial" w:cs="Arial"/>
          <w:sz w:val="24"/>
          <w:szCs w:val="24"/>
        </w:rPr>
        <w:lastRenderedPageBreak/>
        <w:t>and preventing reoffending and that this is shown in studies that identify the model in Britain is that of Crime Prevention, rather than focusing on the vulnerabilities of the children</w:t>
      </w:r>
      <w:r w:rsidRPr="00C51A44">
        <w:rPr>
          <w:rFonts w:ascii="Arial" w:hAnsi="Arial" w:cs="Arial"/>
          <w:sz w:val="24"/>
          <w:szCs w:val="24"/>
        </w:rPr>
        <w:t xml:space="preserve"> and states this is shown in the lack of education given to them.</w:t>
      </w:r>
    </w:p>
    <w:p w14:paraId="3C51E175" w14:textId="7242BC96" w:rsidR="00B82040" w:rsidRPr="00C51A44" w:rsidRDefault="00B82040" w:rsidP="00C51A44">
      <w:pPr>
        <w:spacing w:line="480" w:lineRule="auto"/>
        <w:rPr>
          <w:rFonts w:ascii="Arial" w:hAnsi="Arial" w:cs="Arial"/>
          <w:sz w:val="24"/>
          <w:szCs w:val="24"/>
        </w:rPr>
      </w:pPr>
      <w:r w:rsidRPr="00C51A44">
        <w:rPr>
          <w:rFonts w:ascii="Arial" w:hAnsi="Arial" w:cs="Arial"/>
          <w:sz w:val="24"/>
          <w:szCs w:val="24"/>
        </w:rPr>
        <w:t xml:space="preserve">Thompson (2019) noted that Young Offenders who were spoken to, said that they would stop offending if there was opportunities at jobs or further education given to them, They also stated that social </w:t>
      </w:r>
      <w:r w:rsidR="00F961CC" w:rsidRPr="00C51A44">
        <w:rPr>
          <w:rFonts w:ascii="Arial" w:hAnsi="Arial" w:cs="Arial"/>
          <w:sz w:val="24"/>
          <w:szCs w:val="24"/>
        </w:rPr>
        <w:t>activities</w:t>
      </w:r>
      <w:r w:rsidRPr="00C51A44">
        <w:rPr>
          <w:rFonts w:ascii="Arial" w:hAnsi="Arial" w:cs="Arial"/>
          <w:sz w:val="24"/>
          <w:szCs w:val="24"/>
        </w:rPr>
        <w:t xml:space="preserve"> would also keep them distracted and away from offending.</w:t>
      </w:r>
      <w:r w:rsidR="001E5F38" w:rsidRPr="00C51A44">
        <w:rPr>
          <w:rFonts w:ascii="Arial" w:hAnsi="Arial" w:cs="Arial"/>
          <w:sz w:val="24"/>
          <w:szCs w:val="24"/>
        </w:rPr>
        <w:t xml:space="preserve"> Brookings (2013) had highlighted the need for more education surrounding the identification of gang-related sexual violence in both Healthcare workers and Schools, to prevent and tackle such an issue.</w:t>
      </w:r>
      <w:r w:rsidR="006C7718" w:rsidRPr="00C51A44">
        <w:rPr>
          <w:rFonts w:ascii="Arial" w:hAnsi="Arial" w:cs="Arial"/>
          <w:sz w:val="24"/>
          <w:szCs w:val="24"/>
        </w:rPr>
        <w:t xml:space="preserve"> </w:t>
      </w:r>
    </w:p>
    <w:p w14:paraId="4FE1488F" w14:textId="77777777" w:rsidR="00A63132" w:rsidRPr="00C51A44" w:rsidRDefault="00A63132" w:rsidP="00C51A44">
      <w:pPr>
        <w:spacing w:line="480" w:lineRule="auto"/>
        <w:rPr>
          <w:rFonts w:ascii="Arial" w:hAnsi="Arial" w:cs="Arial"/>
          <w:sz w:val="24"/>
          <w:szCs w:val="24"/>
        </w:rPr>
      </w:pPr>
    </w:p>
    <w:p w14:paraId="4B406E67" w14:textId="3485C657" w:rsidR="00C112F9" w:rsidRPr="00C51A44" w:rsidRDefault="00A63132" w:rsidP="00C51A44">
      <w:pPr>
        <w:spacing w:line="480" w:lineRule="auto"/>
        <w:rPr>
          <w:rFonts w:ascii="Arial" w:hAnsi="Arial" w:cs="Arial"/>
          <w:sz w:val="24"/>
          <w:szCs w:val="24"/>
        </w:rPr>
      </w:pPr>
      <w:r w:rsidRPr="00C51A44">
        <w:rPr>
          <w:rFonts w:ascii="Arial" w:hAnsi="Arial" w:cs="Arial"/>
          <w:sz w:val="24"/>
          <w:szCs w:val="24"/>
        </w:rPr>
        <w:t xml:space="preserve">In conclusion there is a variety of vulnerabilities that make someone easily exploited by Gangs, as Williams (2023) noted in County Lines that is where drugs are transported over police borders by children or vulnerable people. Which can be seen with how Children are treated with research like Thomspon (2019) and Sanders et al (2009) who had described why Children join gangs and end up being </w:t>
      </w:r>
      <w:r w:rsidR="00C112F9" w:rsidRPr="00C51A44">
        <w:rPr>
          <w:rFonts w:ascii="Arial" w:hAnsi="Arial" w:cs="Arial"/>
          <w:sz w:val="24"/>
          <w:szCs w:val="24"/>
        </w:rPr>
        <w:t>pressured</w:t>
      </w:r>
      <w:r w:rsidRPr="00C51A44">
        <w:rPr>
          <w:rFonts w:ascii="Arial" w:hAnsi="Arial" w:cs="Arial"/>
          <w:sz w:val="24"/>
          <w:szCs w:val="24"/>
        </w:rPr>
        <w:t xml:space="preserve"> into gangs</w:t>
      </w:r>
      <w:r w:rsidR="00C112F9" w:rsidRPr="00C51A44">
        <w:rPr>
          <w:rFonts w:ascii="Arial" w:hAnsi="Arial" w:cs="Arial"/>
          <w:sz w:val="24"/>
          <w:szCs w:val="24"/>
        </w:rPr>
        <w:t xml:space="preserve"> or where Vulnerable people with mental health or physical issues are used as a base for gangs and dealers alike by Harding (2020).</w:t>
      </w:r>
      <w:r w:rsidR="00C8003E" w:rsidRPr="00C51A44">
        <w:rPr>
          <w:rFonts w:ascii="Arial" w:hAnsi="Arial" w:cs="Arial"/>
          <w:sz w:val="24"/>
          <w:szCs w:val="24"/>
        </w:rPr>
        <w:t xml:space="preserve"> </w:t>
      </w:r>
    </w:p>
    <w:p w14:paraId="3EFFB93C" w14:textId="77777777" w:rsidR="00D511A3" w:rsidRPr="00C51A44" w:rsidRDefault="00D511A3" w:rsidP="00C51A44">
      <w:pPr>
        <w:spacing w:line="480" w:lineRule="auto"/>
        <w:rPr>
          <w:rFonts w:ascii="Arial" w:hAnsi="Arial" w:cs="Arial"/>
          <w:sz w:val="24"/>
          <w:szCs w:val="24"/>
        </w:rPr>
      </w:pPr>
    </w:p>
    <w:p w14:paraId="1EE6C4C7" w14:textId="6ED2530A" w:rsidR="002A3ABE" w:rsidRPr="00C51A44" w:rsidRDefault="00A15A6E" w:rsidP="00C51A44">
      <w:pPr>
        <w:spacing w:line="480" w:lineRule="auto"/>
        <w:rPr>
          <w:rFonts w:ascii="Arial" w:hAnsi="Arial" w:cs="Arial"/>
          <w:sz w:val="24"/>
          <w:szCs w:val="24"/>
        </w:rPr>
      </w:pPr>
      <w:r w:rsidRPr="00C51A44">
        <w:rPr>
          <w:rFonts w:ascii="Arial" w:hAnsi="Arial" w:cs="Arial"/>
          <w:b/>
          <w:bCs/>
          <w:sz w:val="24"/>
          <w:szCs w:val="24"/>
        </w:rPr>
        <w:t>Words: 1021</w:t>
      </w:r>
    </w:p>
    <w:p w14:paraId="4E7E6870" w14:textId="77777777" w:rsidR="00C51A44" w:rsidRDefault="00C51A44">
      <w:pPr>
        <w:rPr>
          <w:rFonts w:ascii="Arial" w:hAnsi="Arial" w:cs="Arial"/>
          <w:b/>
          <w:bCs/>
          <w:sz w:val="24"/>
          <w:szCs w:val="24"/>
        </w:rPr>
      </w:pPr>
      <w:r>
        <w:rPr>
          <w:rFonts w:ascii="Arial" w:hAnsi="Arial" w:cs="Arial"/>
          <w:b/>
          <w:bCs/>
          <w:sz w:val="24"/>
          <w:szCs w:val="24"/>
        </w:rPr>
        <w:br w:type="page"/>
      </w:r>
    </w:p>
    <w:p w14:paraId="4B3A32A0" w14:textId="15C8AC15" w:rsidR="008C17EE" w:rsidRPr="00C51A44" w:rsidRDefault="002A3ABE" w:rsidP="00C51A44">
      <w:pPr>
        <w:spacing w:line="480" w:lineRule="auto"/>
        <w:rPr>
          <w:rFonts w:ascii="Arial" w:hAnsi="Arial" w:cs="Arial"/>
          <w:b/>
          <w:bCs/>
          <w:sz w:val="24"/>
          <w:szCs w:val="24"/>
        </w:rPr>
      </w:pPr>
      <w:r w:rsidRPr="00C51A44">
        <w:rPr>
          <w:rFonts w:ascii="Arial" w:hAnsi="Arial" w:cs="Arial"/>
          <w:b/>
          <w:bCs/>
          <w:sz w:val="24"/>
          <w:szCs w:val="24"/>
        </w:rPr>
        <w:lastRenderedPageBreak/>
        <w:t>Essay Five</w:t>
      </w:r>
      <w:r w:rsidR="004B2EE3" w:rsidRPr="00C51A44">
        <w:rPr>
          <w:rFonts w:ascii="Arial" w:hAnsi="Arial" w:cs="Arial"/>
          <w:b/>
          <w:bCs/>
          <w:sz w:val="24"/>
          <w:szCs w:val="24"/>
        </w:rPr>
        <w:t>:</w:t>
      </w:r>
    </w:p>
    <w:p w14:paraId="5B40725A" w14:textId="77777777" w:rsidR="004B2EE3" w:rsidRPr="00C51A44" w:rsidRDefault="004B2EE3" w:rsidP="00C51A44">
      <w:pPr>
        <w:spacing w:line="480" w:lineRule="auto"/>
        <w:rPr>
          <w:rFonts w:ascii="Arial" w:hAnsi="Arial" w:cs="Arial"/>
          <w:b/>
          <w:bCs/>
          <w:sz w:val="24"/>
          <w:szCs w:val="24"/>
        </w:rPr>
      </w:pPr>
    </w:p>
    <w:p w14:paraId="43AAE3B5" w14:textId="40EAA4AA" w:rsidR="002A3ABE" w:rsidRPr="00C51A44" w:rsidRDefault="00290B59" w:rsidP="00C51A44">
      <w:pPr>
        <w:spacing w:line="480" w:lineRule="auto"/>
        <w:rPr>
          <w:rFonts w:ascii="Arial" w:hAnsi="Arial" w:cs="Arial"/>
          <w:sz w:val="24"/>
          <w:szCs w:val="24"/>
        </w:rPr>
      </w:pPr>
      <w:r w:rsidRPr="00C51A44">
        <w:rPr>
          <w:rFonts w:ascii="Arial" w:hAnsi="Arial" w:cs="Arial"/>
          <w:sz w:val="24"/>
          <w:szCs w:val="24"/>
        </w:rPr>
        <w:t xml:space="preserve">As Barnett and Howard (2018) introduce that past research has identified plenty of ineffective methods to reduce reoffending, however rarely provide any negative outcomes of said methods. </w:t>
      </w:r>
      <w:r w:rsidR="009B307D" w:rsidRPr="00C51A44">
        <w:rPr>
          <w:rFonts w:ascii="Arial" w:hAnsi="Arial" w:cs="Arial"/>
          <w:sz w:val="24"/>
          <w:szCs w:val="24"/>
        </w:rPr>
        <w:t xml:space="preserve">The Ministry of Justice </w:t>
      </w:r>
      <w:r w:rsidR="0057323A" w:rsidRPr="00C51A44">
        <w:rPr>
          <w:rFonts w:ascii="Arial" w:hAnsi="Arial" w:cs="Arial"/>
          <w:sz w:val="24"/>
          <w:szCs w:val="24"/>
        </w:rPr>
        <w:t xml:space="preserve">(MoJ) </w:t>
      </w:r>
      <w:r w:rsidR="009B307D" w:rsidRPr="00C51A44">
        <w:rPr>
          <w:rFonts w:ascii="Arial" w:hAnsi="Arial" w:cs="Arial"/>
          <w:sz w:val="24"/>
          <w:szCs w:val="24"/>
        </w:rPr>
        <w:t>(2013) detailed that 58% of prisoners reoffended under 12 months in custody, 35% beyond 12 months in custody and 34% on a court order. The report goes onto state that there are a range of factors that link to reoffending and label such risks as drug use, criminal history, employment that are all named to be permanent factors that are unable to be changed that lead a person to reoffend.</w:t>
      </w:r>
    </w:p>
    <w:p w14:paraId="47CC2EBD" w14:textId="77777777" w:rsidR="00290B59" w:rsidRPr="00C51A44" w:rsidRDefault="00290B59" w:rsidP="00C51A44">
      <w:pPr>
        <w:spacing w:line="480" w:lineRule="auto"/>
        <w:rPr>
          <w:rFonts w:ascii="Arial" w:hAnsi="Arial" w:cs="Arial"/>
          <w:sz w:val="24"/>
          <w:szCs w:val="24"/>
        </w:rPr>
      </w:pPr>
    </w:p>
    <w:p w14:paraId="795DA7A9" w14:textId="589C6165" w:rsidR="00F4268A" w:rsidRPr="00C51A44" w:rsidRDefault="00BA1D81" w:rsidP="00C51A44">
      <w:pPr>
        <w:spacing w:line="480" w:lineRule="auto"/>
        <w:rPr>
          <w:rFonts w:ascii="Arial" w:hAnsi="Arial" w:cs="Arial"/>
          <w:sz w:val="24"/>
          <w:szCs w:val="24"/>
        </w:rPr>
      </w:pPr>
      <w:r w:rsidRPr="00C51A44">
        <w:rPr>
          <w:rFonts w:ascii="Arial" w:hAnsi="Arial" w:cs="Arial"/>
          <w:sz w:val="24"/>
          <w:szCs w:val="24"/>
        </w:rPr>
        <w:t xml:space="preserve">As Viljoen (2018) depicts that in the last few decades plenty of professions have started to develop tools in order to assess risk of violence and reoffending of perpetrators. This can be seen with the THRIVE tool by College of Policing (2021) whereby it is aimed to assess the level of risk of harm, vulnerabilities of those involved and therefore initiate the appropriate response. Viljoen (2018) </w:t>
      </w:r>
      <w:r w:rsidR="00124A21" w:rsidRPr="00C51A44">
        <w:rPr>
          <w:rFonts w:ascii="Arial" w:hAnsi="Arial" w:cs="Arial"/>
          <w:sz w:val="24"/>
          <w:szCs w:val="24"/>
        </w:rPr>
        <w:t>states that this can assist in reducing reoffending by ensuring that there is an appropriate labelling of risk to the offender, which can be responded to with the appropriate measures by professionals. In turn, this will hopefully decrease reoffending rates and label the Risk-Need-Responsivity model as key to this.</w:t>
      </w:r>
    </w:p>
    <w:p w14:paraId="05EFAE70" w14:textId="15ADC369" w:rsidR="005108D5" w:rsidRPr="00C51A44" w:rsidRDefault="00124A21" w:rsidP="00C51A44">
      <w:pPr>
        <w:spacing w:line="480" w:lineRule="auto"/>
        <w:rPr>
          <w:rFonts w:ascii="Arial" w:hAnsi="Arial" w:cs="Arial"/>
          <w:sz w:val="24"/>
          <w:szCs w:val="24"/>
        </w:rPr>
      </w:pPr>
      <w:proofErr w:type="spellStart"/>
      <w:r w:rsidRPr="00C51A44">
        <w:rPr>
          <w:rFonts w:ascii="Arial" w:hAnsi="Arial" w:cs="Arial"/>
          <w:sz w:val="24"/>
          <w:szCs w:val="24"/>
        </w:rPr>
        <w:t>Viljeon</w:t>
      </w:r>
      <w:proofErr w:type="spellEnd"/>
      <w:r w:rsidRPr="00C51A44">
        <w:rPr>
          <w:rFonts w:ascii="Arial" w:hAnsi="Arial" w:cs="Arial"/>
          <w:sz w:val="24"/>
          <w:szCs w:val="24"/>
        </w:rPr>
        <w:t xml:space="preserve"> (2018) details that the higher the risk, the more need</w:t>
      </w:r>
      <w:r w:rsidR="00D94CB2" w:rsidRPr="00C51A44">
        <w:rPr>
          <w:rFonts w:ascii="Arial" w:hAnsi="Arial" w:cs="Arial"/>
          <w:sz w:val="24"/>
          <w:szCs w:val="24"/>
        </w:rPr>
        <w:t xml:space="preserve"> for more</w:t>
      </w:r>
      <w:r w:rsidRPr="00C51A44">
        <w:rPr>
          <w:rFonts w:ascii="Arial" w:hAnsi="Arial" w:cs="Arial"/>
          <w:sz w:val="24"/>
          <w:szCs w:val="24"/>
        </w:rPr>
        <w:t xml:space="preserve"> response </w:t>
      </w:r>
      <w:r w:rsidR="00507C19" w:rsidRPr="00C51A44">
        <w:rPr>
          <w:rFonts w:ascii="Arial" w:hAnsi="Arial" w:cs="Arial"/>
          <w:sz w:val="24"/>
          <w:szCs w:val="24"/>
        </w:rPr>
        <w:t xml:space="preserve">is present and </w:t>
      </w:r>
      <w:r w:rsidRPr="00C51A44">
        <w:rPr>
          <w:rFonts w:ascii="Arial" w:hAnsi="Arial" w:cs="Arial"/>
          <w:sz w:val="24"/>
          <w:szCs w:val="24"/>
        </w:rPr>
        <w:t>should get</w:t>
      </w:r>
      <w:r w:rsidR="00507C19" w:rsidRPr="00C51A44">
        <w:rPr>
          <w:rFonts w:ascii="Arial" w:hAnsi="Arial" w:cs="Arial"/>
          <w:sz w:val="24"/>
          <w:szCs w:val="24"/>
        </w:rPr>
        <w:t xml:space="preserve"> more focus on them. However,</w:t>
      </w:r>
      <w:r w:rsidRPr="00C51A44">
        <w:rPr>
          <w:rFonts w:ascii="Arial" w:hAnsi="Arial" w:cs="Arial"/>
          <w:sz w:val="24"/>
          <w:szCs w:val="24"/>
        </w:rPr>
        <w:t xml:space="preserve"> a lower risk reoffender shouldn’t have as much resources placed on ensuring they don’t reoffend.</w:t>
      </w:r>
    </w:p>
    <w:p w14:paraId="44B46BE7" w14:textId="77777777" w:rsidR="00F4268A" w:rsidRPr="00C51A44" w:rsidRDefault="00F4268A" w:rsidP="00C51A44">
      <w:pPr>
        <w:spacing w:line="480" w:lineRule="auto"/>
        <w:rPr>
          <w:rFonts w:ascii="Arial" w:hAnsi="Arial" w:cs="Arial"/>
          <w:sz w:val="24"/>
          <w:szCs w:val="24"/>
        </w:rPr>
      </w:pPr>
      <w:r w:rsidRPr="00C51A44">
        <w:rPr>
          <w:rFonts w:ascii="Arial" w:hAnsi="Arial" w:cs="Arial"/>
          <w:sz w:val="24"/>
          <w:szCs w:val="24"/>
        </w:rPr>
        <w:lastRenderedPageBreak/>
        <w:t>As Connell (2016) states that it is identified by occupational therapists that there is a need for people to be in occupation in order to fulfil needs such as belonging and survival. Connell (2016) notes that to reduce reoffending, the same therapists must be able to assess and identify change in risk when intervention is implemented and are required to complete risk assessments which backs up what Viljoen (2018) had noted on with Risk assessment being key to reducing reoffending.</w:t>
      </w:r>
    </w:p>
    <w:p w14:paraId="2E079176" w14:textId="45D2C16F" w:rsidR="00845D67" w:rsidRPr="00C51A44" w:rsidRDefault="00845D67" w:rsidP="00C51A44">
      <w:pPr>
        <w:spacing w:line="480" w:lineRule="auto"/>
        <w:rPr>
          <w:rFonts w:ascii="Arial" w:hAnsi="Arial" w:cs="Arial"/>
          <w:sz w:val="24"/>
          <w:szCs w:val="24"/>
        </w:rPr>
      </w:pPr>
      <w:r w:rsidRPr="00C51A44">
        <w:rPr>
          <w:rFonts w:ascii="Arial" w:hAnsi="Arial" w:cs="Arial"/>
          <w:sz w:val="24"/>
          <w:szCs w:val="24"/>
        </w:rPr>
        <w:t>This is then further backed up by Smith et al (2018) who note that Probation Services use a Risk Assessment in their practice in order to apply a variation of techniques when Probation Supervisors an Offender.</w:t>
      </w:r>
    </w:p>
    <w:p w14:paraId="09D6EF7A" w14:textId="77777777" w:rsidR="00F4268A" w:rsidRPr="00C51A44" w:rsidRDefault="00F4268A" w:rsidP="00C51A44">
      <w:pPr>
        <w:spacing w:line="480" w:lineRule="auto"/>
        <w:rPr>
          <w:rFonts w:ascii="Arial" w:hAnsi="Arial" w:cs="Arial"/>
          <w:sz w:val="24"/>
          <w:szCs w:val="24"/>
        </w:rPr>
      </w:pPr>
    </w:p>
    <w:p w14:paraId="7778859A" w14:textId="74449393" w:rsidR="00856D02" w:rsidRPr="00C51A44" w:rsidRDefault="00C1133C" w:rsidP="00C51A44">
      <w:pPr>
        <w:spacing w:line="480" w:lineRule="auto"/>
        <w:rPr>
          <w:rFonts w:ascii="Arial" w:hAnsi="Arial" w:cs="Arial"/>
          <w:sz w:val="24"/>
          <w:szCs w:val="24"/>
        </w:rPr>
      </w:pPr>
      <w:r w:rsidRPr="00C51A44">
        <w:rPr>
          <w:rFonts w:ascii="Arial" w:hAnsi="Arial" w:cs="Arial"/>
          <w:sz w:val="24"/>
          <w:szCs w:val="24"/>
        </w:rPr>
        <w:t xml:space="preserve">Williams and Weatherburn (2022) detail that Electronic Monitoring has grown in popularity in its use in recent years. This tends to be used for the less serious offences and as an alternative to prison, due to the growing population. However, the research by Williams and Weatherburn (2022) show a great reduction in reoffending for those with more than 18 months of having a Electronic Monitoring tag installed and could of potentially served a prison sentence. </w:t>
      </w:r>
    </w:p>
    <w:p w14:paraId="4B023D65" w14:textId="6EDEAA23" w:rsidR="00233166" w:rsidRPr="00C51A44" w:rsidRDefault="00233166" w:rsidP="00C51A44">
      <w:pPr>
        <w:spacing w:line="480" w:lineRule="auto"/>
        <w:rPr>
          <w:rFonts w:ascii="Arial" w:hAnsi="Arial" w:cs="Arial"/>
          <w:sz w:val="24"/>
          <w:szCs w:val="24"/>
        </w:rPr>
      </w:pPr>
      <w:r w:rsidRPr="00C51A44">
        <w:rPr>
          <w:rFonts w:ascii="Arial" w:hAnsi="Arial" w:cs="Arial"/>
          <w:sz w:val="24"/>
          <w:szCs w:val="24"/>
        </w:rPr>
        <w:t xml:space="preserve">As </w:t>
      </w:r>
      <w:proofErr w:type="spellStart"/>
      <w:r w:rsidRPr="00C51A44">
        <w:rPr>
          <w:rFonts w:ascii="Arial" w:hAnsi="Arial" w:cs="Arial"/>
          <w:sz w:val="24"/>
          <w:szCs w:val="24"/>
        </w:rPr>
        <w:t>Vanhaelemeesch</w:t>
      </w:r>
      <w:proofErr w:type="spellEnd"/>
      <w:r w:rsidRPr="00C51A44">
        <w:rPr>
          <w:rFonts w:ascii="Arial" w:hAnsi="Arial" w:cs="Arial"/>
          <w:sz w:val="24"/>
          <w:szCs w:val="24"/>
        </w:rPr>
        <w:t xml:space="preserve"> and Beken (2014) state that when someone has been sentenced to Electronic Monitoring, they may not live alone and this therefore effects the lives of those who live with the Offender. The people who live with the offender, end up </w:t>
      </w:r>
      <w:r w:rsidR="000F2E56" w:rsidRPr="00C51A44">
        <w:rPr>
          <w:rFonts w:ascii="Arial" w:hAnsi="Arial" w:cs="Arial"/>
          <w:sz w:val="24"/>
          <w:szCs w:val="24"/>
        </w:rPr>
        <w:t>taking part in ensuring that the Offender sticks to the sanctions posed with the Electronic tag. They also noted that the Electronic Monitoring allows for a slower re-entry of those who’ve been in prison and are released into the community, prior to completing their entire sentence.</w:t>
      </w:r>
    </w:p>
    <w:p w14:paraId="764716D0" w14:textId="77777777" w:rsidR="00233166" w:rsidRPr="00C51A44" w:rsidRDefault="00233166" w:rsidP="00C51A44">
      <w:pPr>
        <w:spacing w:line="480" w:lineRule="auto"/>
        <w:rPr>
          <w:rFonts w:ascii="Arial" w:hAnsi="Arial" w:cs="Arial"/>
          <w:sz w:val="24"/>
          <w:szCs w:val="24"/>
        </w:rPr>
      </w:pPr>
    </w:p>
    <w:p w14:paraId="539B6446" w14:textId="36A4DEBE" w:rsidR="00856D02" w:rsidRPr="00C51A44" w:rsidRDefault="00856D02" w:rsidP="00C51A44">
      <w:pPr>
        <w:spacing w:line="480" w:lineRule="auto"/>
        <w:rPr>
          <w:rFonts w:ascii="Arial" w:hAnsi="Arial" w:cs="Arial"/>
          <w:sz w:val="24"/>
          <w:szCs w:val="24"/>
        </w:rPr>
      </w:pPr>
      <w:r w:rsidRPr="00C51A44">
        <w:rPr>
          <w:rFonts w:ascii="Arial" w:hAnsi="Arial" w:cs="Arial"/>
          <w:sz w:val="24"/>
          <w:szCs w:val="24"/>
        </w:rPr>
        <w:lastRenderedPageBreak/>
        <w:t>Williams and Weatherburn (2022) note that efforts made to reduce reoffending inside prisons end up slacking due to the lack of contact with family</w:t>
      </w:r>
      <w:r w:rsidR="004223E2" w:rsidRPr="00C51A44">
        <w:rPr>
          <w:rFonts w:ascii="Arial" w:hAnsi="Arial" w:cs="Arial"/>
          <w:sz w:val="24"/>
          <w:szCs w:val="24"/>
        </w:rPr>
        <w:t>, deprivation from skills required for life outside of prison and the collection of education of further criminal means inside of prison. Whereby, they promote that the Electronic Tagging could reduce the issues found in attempting to rehabilitate prisoners, by ensuring the person serves a sentence outside of prison with restrictions on where they can go and what times they can leave certain addresses.</w:t>
      </w:r>
    </w:p>
    <w:p w14:paraId="130F20C8" w14:textId="4125FE57" w:rsidR="00167E78" w:rsidRPr="00C51A44" w:rsidRDefault="009A0B48" w:rsidP="00C51A44">
      <w:pPr>
        <w:spacing w:line="480" w:lineRule="auto"/>
        <w:rPr>
          <w:rFonts w:ascii="Arial" w:hAnsi="Arial" w:cs="Arial"/>
          <w:sz w:val="24"/>
          <w:szCs w:val="24"/>
        </w:rPr>
      </w:pPr>
      <w:r w:rsidRPr="00C51A44">
        <w:rPr>
          <w:rFonts w:ascii="Arial" w:hAnsi="Arial" w:cs="Arial"/>
          <w:sz w:val="24"/>
          <w:szCs w:val="24"/>
        </w:rPr>
        <w:t xml:space="preserve">As </w:t>
      </w:r>
      <w:proofErr w:type="spellStart"/>
      <w:r w:rsidRPr="00C51A44">
        <w:rPr>
          <w:rFonts w:ascii="Arial" w:hAnsi="Arial" w:cs="Arial"/>
          <w:sz w:val="24"/>
          <w:szCs w:val="24"/>
        </w:rPr>
        <w:t>Jugl</w:t>
      </w:r>
      <w:proofErr w:type="spellEnd"/>
      <w:r w:rsidRPr="00C51A44">
        <w:rPr>
          <w:rFonts w:ascii="Arial" w:hAnsi="Arial" w:cs="Arial"/>
          <w:sz w:val="24"/>
          <w:szCs w:val="24"/>
        </w:rPr>
        <w:t xml:space="preserve"> et al (2023) detail that sport is believed to assist in promoting positive behaviour and prevent criminal activity and is often used to reduce or prevent crime and criminal behaviour. The research conducted showed that these programs had a significant impact on decreasing criminal behaviour and reducing offending rates in participants, be it inside of prison or outside of prison.</w:t>
      </w:r>
    </w:p>
    <w:p w14:paraId="3CD71EDC" w14:textId="77777777" w:rsidR="009A0B48" w:rsidRPr="00C51A44" w:rsidRDefault="009A0B48" w:rsidP="00C51A44">
      <w:pPr>
        <w:spacing w:line="480" w:lineRule="auto"/>
        <w:rPr>
          <w:rFonts w:ascii="Arial" w:hAnsi="Arial" w:cs="Arial"/>
          <w:sz w:val="24"/>
          <w:szCs w:val="24"/>
        </w:rPr>
      </w:pPr>
    </w:p>
    <w:p w14:paraId="114B9214" w14:textId="5A965A60" w:rsidR="00B405CE" w:rsidRPr="00C51A44" w:rsidRDefault="00B405CE" w:rsidP="00C51A44">
      <w:pPr>
        <w:spacing w:line="480" w:lineRule="auto"/>
        <w:rPr>
          <w:rFonts w:ascii="Arial" w:hAnsi="Arial" w:cs="Arial"/>
          <w:sz w:val="24"/>
          <w:szCs w:val="24"/>
        </w:rPr>
      </w:pPr>
      <w:r w:rsidRPr="00C51A44">
        <w:rPr>
          <w:rFonts w:ascii="Arial" w:hAnsi="Arial" w:cs="Arial"/>
          <w:sz w:val="24"/>
          <w:szCs w:val="24"/>
        </w:rPr>
        <w:t xml:space="preserve">As Smith et al (2018) states that probation has an overall positive effect on reoffending rates, as they can assist the offender with obtaining employment which backs up what Williams and Weatherburn (2022) had stated about the deprivation of skills for like out of prison. However, Smith et al (2018) note that there is significant variation of supervision by probation across jurisdictions and only the most high-risk offenders end up under the National Probation Service, whereas the rest end up under by private sector organisations. </w:t>
      </w:r>
    </w:p>
    <w:p w14:paraId="2F5B7781" w14:textId="36790DCB" w:rsidR="00167E78" w:rsidRPr="00C51A44" w:rsidRDefault="004D6798" w:rsidP="00C51A44">
      <w:pPr>
        <w:spacing w:line="480" w:lineRule="auto"/>
        <w:rPr>
          <w:rFonts w:ascii="Arial" w:hAnsi="Arial" w:cs="Arial"/>
          <w:sz w:val="24"/>
          <w:szCs w:val="24"/>
        </w:rPr>
      </w:pPr>
      <w:r w:rsidRPr="00C51A44">
        <w:rPr>
          <w:rFonts w:ascii="Arial" w:hAnsi="Arial" w:cs="Arial"/>
          <w:sz w:val="24"/>
          <w:szCs w:val="24"/>
        </w:rPr>
        <w:t xml:space="preserve">As Rawlinson (2012) details that there is a link between the needs for accommodation, employment and that of offending. Whereby, if an Offender had issues with obtaining accommodation or employment, there was a likelihood of reoffending. </w:t>
      </w:r>
      <w:r w:rsidR="005B42C6" w:rsidRPr="00C51A44">
        <w:rPr>
          <w:rFonts w:ascii="Arial" w:hAnsi="Arial" w:cs="Arial"/>
          <w:sz w:val="24"/>
          <w:szCs w:val="24"/>
        </w:rPr>
        <w:t xml:space="preserve">Which supports what Williams and Weatherburn (2022) had noted on </w:t>
      </w:r>
      <w:r w:rsidR="005B42C6" w:rsidRPr="00C51A44">
        <w:rPr>
          <w:rFonts w:ascii="Arial" w:hAnsi="Arial" w:cs="Arial"/>
          <w:sz w:val="24"/>
          <w:szCs w:val="24"/>
        </w:rPr>
        <w:lastRenderedPageBreak/>
        <w:t xml:space="preserve">earlier and links in with Smith et al (2018) who noted that it is part of the duty of the probation service who supervises the offender to assist. </w:t>
      </w:r>
    </w:p>
    <w:p w14:paraId="3A452E9E" w14:textId="6219450D" w:rsidR="005B42C6" w:rsidRPr="00C51A44" w:rsidRDefault="005B42C6" w:rsidP="00C51A44">
      <w:pPr>
        <w:spacing w:line="480" w:lineRule="auto"/>
        <w:rPr>
          <w:rFonts w:ascii="Arial" w:hAnsi="Arial" w:cs="Arial"/>
          <w:sz w:val="24"/>
          <w:szCs w:val="24"/>
        </w:rPr>
      </w:pPr>
      <w:r w:rsidRPr="00C51A44">
        <w:rPr>
          <w:rFonts w:ascii="Arial" w:hAnsi="Arial" w:cs="Arial"/>
          <w:sz w:val="24"/>
          <w:szCs w:val="24"/>
        </w:rPr>
        <w:t xml:space="preserve">Rawlinson (2012) continued to state that 15% of prisoners had reported to be homeless prior to entering custody, whereas the normal rate is 3.5% in the general population. </w:t>
      </w:r>
      <w:r w:rsidR="00291847" w:rsidRPr="00C51A44">
        <w:rPr>
          <w:rFonts w:ascii="Arial" w:hAnsi="Arial" w:cs="Arial"/>
          <w:sz w:val="24"/>
          <w:szCs w:val="24"/>
        </w:rPr>
        <w:t>It was also noted that almost every prisoner who took part in the survey, would require some form of assistance when released.</w:t>
      </w:r>
    </w:p>
    <w:p w14:paraId="6A743FAE" w14:textId="77777777" w:rsidR="0017593B" w:rsidRPr="00C51A44" w:rsidRDefault="0017593B" w:rsidP="00C51A44">
      <w:pPr>
        <w:spacing w:line="480" w:lineRule="auto"/>
        <w:rPr>
          <w:rFonts w:ascii="Arial" w:hAnsi="Arial" w:cs="Arial"/>
          <w:sz w:val="24"/>
          <w:szCs w:val="24"/>
        </w:rPr>
      </w:pPr>
    </w:p>
    <w:p w14:paraId="2BAFEBCA" w14:textId="612FD5EA" w:rsidR="0017593B" w:rsidRPr="00C51A44" w:rsidRDefault="0017593B" w:rsidP="00C51A44">
      <w:pPr>
        <w:spacing w:line="480" w:lineRule="auto"/>
        <w:rPr>
          <w:rFonts w:ascii="Arial" w:hAnsi="Arial" w:cs="Arial"/>
          <w:sz w:val="24"/>
          <w:szCs w:val="24"/>
        </w:rPr>
      </w:pPr>
      <w:r w:rsidRPr="00C51A44">
        <w:rPr>
          <w:rFonts w:ascii="Arial" w:hAnsi="Arial" w:cs="Arial"/>
          <w:sz w:val="24"/>
          <w:szCs w:val="24"/>
        </w:rPr>
        <w:t xml:space="preserve">In conclusion, there are a plenty amount of tools used to help reduce reoffending that Barnett and Howard (2018) had labelled as ineffective. However, research from </w:t>
      </w:r>
      <w:proofErr w:type="spellStart"/>
      <w:r w:rsidRPr="00C51A44">
        <w:rPr>
          <w:rFonts w:ascii="Arial" w:hAnsi="Arial" w:cs="Arial"/>
          <w:sz w:val="24"/>
          <w:szCs w:val="24"/>
        </w:rPr>
        <w:t>Jugl</w:t>
      </w:r>
      <w:proofErr w:type="spellEnd"/>
      <w:r w:rsidRPr="00C51A44">
        <w:rPr>
          <w:rFonts w:ascii="Arial" w:hAnsi="Arial" w:cs="Arial"/>
          <w:sz w:val="24"/>
          <w:szCs w:val="24"/>
        </w:rPr>
        <w:t xml:space="preserve"> et al (2023) with Sport programmes, Smith et al (2018) detailing the Probation Service, have shown that some methods do provide significant assistance and can have significant impact on reoffending</w:t>
      </w:r>
      <w:r w:rsidR="00F11DEE" w:rsidRPr="00C51A44">
        <w:rPr>
          <w:rFonts w:ascii="Arial" w:hAnsi="Arial" w:cs="Arial"/>
          <w:sz w:val="24"/>
          <w:szCs w:val="24"/>
        </w:rPr>
        <w:t xml:space="preserve"> for almost all crimes, due to the wide array of people who partake in said aspects. Whilst, all require some form of risk assessment that allows services to manage appropriate methods in managing said reoffending that Viljoen (2018) had initially noted on earlier</w:t>
      </w:r>
      <w:r w:rsidRPr="00C51A44">
        <w:rPr>
          <w:rFonts w:ascii="Arial" w:hAnsi="Arial" w:cs="Arial"/>
          <w:sz w:val="24"/>
          <w:szCs w:val="24"/>
        </w:rPr>
        <w:t>.</w:t>
      </w:r>
      <w:r w:rsidR="00F11DEE" w:rsidRPr="00C51A44">
        <w:rPr>
          <w:rFonts w:ascii="Arial" w:hAnsi="Arial" w:cs="Arial"/>
          <w:sz w:val="24"/>
          <w:szCs w:val="24"/>
        </w:rPr>
        <w:t xml:space="preserve"> </w:t>
      </w:r>
      <w:r w:rsidR="0057323A" w:rsidRPr="00C51A44">
        <w:rPr>
          <w:rFonts w:ascii="Arial" w:hAnsi="Arial" w:cs="Arial"/>
          <w:sz w:val="24"/>
          <w:szCs w:val="24"/>
        </w:rPr>
        <w:t>However, the MoJ (2013) does back up what Barnett and Howard (2018) had noted on, that the methods implemented and being implemented to attempt at reducing reoffending are ineffective due to the amount of offenders who reoffend as shown by the MoJ report.</w:t>
      </w:r>
    </w:p>
    <w:p w14:paraId="6B19C710" w14:textId="77777777" w:rsidR="00F7101E" w:rsidRPr="00C51A44" w:rsidRDefault="00F7101E" w:rsidP="00C51A44">
      <w:pPr>
        <w:spacing w:line="480" w:lineRule="auto"/>
        <w:rPr>
          <w:rFonts w:ascii="Arial" w:hAnsi="Arial" w:cs="Arial"/>
          <w:sz w:val="24"/>
          <w:szCs w:val="24"/>
        </w:rPr>
      </w:pPr>
    </w:p>
    <w:p w14:paraId="5873DFC3" w14:textId="6DA9AF62" w:rsidR="00511F8B" w:rsidRPr="00C51A44" w:rsidRDefault="00511F8B" w:rsidP="00C51A44">
      <w:pPr>
        <w:spacing w:line="480" w:lineRule="auto"/>
        <w:rPr>
          <w:rFonts w:ascii="Arial" w:hAnsi="Arial" w:cs="Arial"/>
          <w:sz w:val="24"/>
          <w:szCs w:val="24"/>
        </w:rPr>
      </w:pPr>
      <w:r w:rsidRPr="00C51A44">
        <w:rPr>
          <w:rFonts w:ascii="Arial" w:hAnsi="Arial" w:cs="Arial"/>
          <w:b/>
          <w:bCs/>
          <w:sz w:val="24"/>
          <w:szCs w:val="24"/>
        </w:rPr>
        <w:t>Word count: 1036</w:t>
      </w:r>
    </w:p>
    <w:p w14:paraId="5983DD0F" w14:textId="77777777" w:rsidR="006523F0" w:rsidRDefault="006523F0">
      <w:pPr>
        <w:rPr>
          <w:rFonts w:ascii="Arial" w:hAnsi="Arial" w:cs="Arial"/>
          <w:sz w:val="24"/>
          <w:szCs w:val="24"/>
        </w:rPr>
      </w:pPr>
    </w:p>
    <w:p w14:paraId="4F39EC10" w14:textId="77777777" w:rsidR="00F7101E" w:rsidRDefault="00F7101E">
      <w:pPr>
        <w:rPr>
          <w:rFonts w:ascii="Arial" w:hAnsi="Arial" w:cs="Arial"/>
          <w:sz w:val="24"/>
          <w:szCs w:val="24"/>
        </w:rPr>
      </w:pPr>
    </w:p>
    <w:p w14:paraId="3B9A0D17" w14:textId="77777777" w:rsidR="00167E78" w:rsidRDefault="00167E78">
      <w:pPr>
        <w:rPr>
          <w:rFonts w:ascii="Arial" w:hAnsi="Arial" w:cs="Arial"/>
          <w:sz w:val="24"/>
          <w:szCs w:val="24"/>
        </w:rPr>
      </w:pPr>
    </w:p>
    <w:p w14:paraId="4850B32D" w14:textId="77777777" w:rsidR="00B405CE" w:rsidRDefault="00B405CE">
      <w:pPr>
        <w:rPr>
          <w:rFonts w:ascii="Arial" w:hAnsi="Arial" w:cs="Arial"/>
          <w:sz w:val="24"/>
          <w:szCs w:val="24"/>
        </w:rPr>
      </w:pPr>
    </w:p>
    <w:p w14:paraId="000E6614" w14:textId="77777777" w:rsidR="00B405CE" w:rsidRDefault="00B405CE">
      <w:pPr>
        <w:rPr>
          <w:rFonts w:ascii="Arial" w:hAnsi="Arial" w:cs="Arial"/>
          <w:sz w:val="24"/>
          <w:szCs w:val="24"/>
        </w:rPr>
      </w:pPr>
    </w:p>
    <w:p w14:paraId="0BED7ECD" w14:textId="77777777" w:rsidR="00B405CE" w:rsidRDefault="00B405CE">
      <w:pPr>
        <w:rPr>
          <w:rFonts w:ascii="Arial" w:hAnsi="Arial" w:cs="Arial"/>
          <w:sz w:val="24"/>
          <w:szCs w:val="24"/>
        </w:rPr>
      </w:pPr>
    </w:p>
    <w:p w14:paraId="251FF5CC" w14:textId="77777777" w:rsidR="00551BD5" w:rsidRDefault="00551BD5">
      <w:pPr>
        <w:rPr>
          <w:rFonts w:ascii="Arial" w:hAnsi="Arial" w:cs="Arial"/>
          <w:sz w:val="24"/>
          <w:szCs w:val="24"/>
        </w:rPr>
      </w:pPr>
    </w:p>
    <w:p w14:paraId="73C903D8" w14:textId="77777777" w:rsidR="00551BD5" w:rsidRDefault="00551BD5">
      <w:pPr>
        <w:rPr>
          <w:rFonts w:ascii="Arial" w:hAnsi="Arial" w:cs="Arial"/>
          <w:sz w:val="24"/>
          <w:szCs w:val="24"/>
        </w:rPr>
      </w:pPr>
    </w:p>
    <w:p w14:paraId="2DF3AA71" w14:textId="77777777" w:rsidR="009506FF" w:rsidRDefault="009506FF">
      <w:pPr>
        <w:rPr>
          <w:rFonts w:ascii="Arial" w:hAnsi="Arial" w:cs="Arial"/>
          <w:sz w:val="24"/>
          <w:szCs w:val="24"/>
        </w:rPr>
      </w:pPr>
    </w:p>
    <w:p w14:paraId="7BD14CE9" w14:textId="77777777" w:rsidR="009506FF" w:rsidRDefault="009506FF">
      <w:pPr>
        <w:rPr>
          <w:rFonts w:ascii="Arial" w:hAnsi="Arial" w:cs="Arial"/>
          <w:sz w:val="24"/>
          <w:szCs w:val="24"/>
        </w:rPr>
      </w:pPr>
    </w:p>
    <w:p w14:paraId="53C94487" w14:textId="77777777" w:rsidR="00F4268A" w:rsidRDefault="00F4268A">
      <w:pPr>
        <w:rPr>
          <w:rFonts w:ascii="Arial" w:hAnsi="Arial" w:cs="Arial"/>
          <w:sz w:val="24"/>
          <w:szCs w:val="24"/>
        </w:rPr>
      </w:pPr>
    </w:p>
    <w:p w14:paraId="08FEB672" w14:textId="77777777" w:rsidR="005108D5" w:rsidRDefault="005108D5">
      <w:pPr>
        <w:rPr>
          <w:rFonts w:ascii="Arial" w:hAnsi="Arial" w:cs="Arial"/>
          <w:sz w:val="24"/>
          <w:szCs w:val="24"/>
        </w:rPr>
      </w:pPr>
    </w:p>
    <w:p w14:paraId="58CE1AA4" w14:textId="77777777" w:rsidR="000760B5" w:rsidRDefault="000760B5">
      <w:pPr>
        <w:rPr>
          <w:rFonts w:ascii="Arial" w:hAnsi="Arial" w:cs="Arial"/>
          <w:sz w:val="24"/>
          <w:szCs w:val="24"/>
        </w:rPr>
      </w:pPr>
    </w:p>
    <w:p w14:paraId="52407701" w14:textId="77777777" w:rsidR="000760B5" w:rsidRDefault="000760B5">
      <w:pPr>
        <w:rPr>
          <w:rFonts w:ascii="Arial" w:hAnsi="Arial" w:cs="Arial"/>
          <w:sz w:val="24"/>
          <w:szCs w:val="24"/>
        </w:rPr>
      </w:pPr>
    </w:p>
    <w:p w14:paraId="7C6C44B4" w14:textId="77777777" w:rsidR="00124A21" w:rsidRPr="002A3ABE" w:rsidRDefault="00124A21">
      <w:pPr>
        <w:rPr>
          <w:rFonts w:ascii="Arial" w:hAnsi="Arial" w:cs="Arial"/>
          <w:sz w:val="24"/>
          <w:szCs w:val="24"/>
        </w:rPr>
      </w:pPr>
    </w:p>
    <w:p w14:paraId="6F378E1E" w14:textId="1C383F44" w:rsidR="00A42250" w:rsidRDefault="00A42250">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kern w:val="2"/>
          <w:sz w:val="22"/>
          <w:szCs w:val="22"/>
          <w:lang w:val="en-GB" w:eastAsia="ja-JP"/>
          <w14:ligatures w14:val="standardContextual"/>
        </w:rPr>
        <w:id w:val="-1350094290"/>
        <w:docPartObj>
          <w:docPartGallery w:val="Bibliographies"/>
          <w:docPartUnique/>
        </w:docPartObj>
      </w:sdtPr>
      <w:sdtEndPr>
        <w:rPr>
          <w:rFonts w:ascii="Arial" w:hAnsi="Arial" w:cs="Arial"/>
          <w:sz w:val="24"/>
          <w:szCs w:val="24"/>
        </w:rPr>
      </w:sdtEndPr>
      <w:sdtContent>
        <w:p w14:paraId="4CEDC39B" w14:textId="135C659C" w:rsidR="00A42250" w:rsidRDefault="00A42250">
          <w:pPr>
            <w:pStyle w:val="Heading1"/>
          </w:pPr>
          <w:r>
            <w:t>References</w:t>
          </w:r>
        </w:p>
        <w:sdt>
          <w:sdtPr>
            <w:id w:val="-573587230"/>
            <w:bibliography/>
          </w:sdtPr>
          <w:sdtEndPr>
            <w:rPr>
              <w:rFonts w:ascii="Arial" w:hAnsi="Arial" w:cs="Arial"/>
              <w:sz w:val="24"/>
              <w:szCs w:val="24"/>
            </w:rPr>
          </w:sdtEndPr>
          <w:sdtContent>
            <w:p w14:paraId="78C70A1C" w14:textId="77777777" w:rsidR="00884F11" w:rsidRDefault="00A42250" w:rsidP="00884F11">
              <w:pPr>
                <w:pStyle w:val="Bibliography"/>
                <w:spacing w:line="360" w:lineRule="auto"/>
                <w:rPr>
                  <w:rFonts w:ascii="Arial" w:hAnsi="Arial" w:cs="Arial"/>
                  <w:noProof/>
                  <w:sz w:val="24"/>
                  <w:szCs w:val="24"/>
                  <w:lang w:val="en-US"/>
                </w:rPr>
              </w:pPr>
              <w:r w:rsidRPr="00884F11">
                <w:rPr>
                  <w:rFonts w:ascii="Arial" w:hAnsi="Arial" w:cs="Arial"/>
                  <w:sz w:val="24"/>
                  <w:szCs w:val="24"/>
                </w:rPr>
                <w:fldChar w:fldCharType="begin"/>
              </w:r>
              <w:r w:rsidRPr="00884F11">
                <w:rPr>
                  <w:rFonts w:ascii="Arial" w:hAnsi="Arial" w:cs="Arial"/>
                  <w:sz w:val="24"/>
                  <w:szCs w:val="24"/>
                </w:rPr>
                <w:instrText xml:space="preserve"> BIBLIOGRAPHY </w:instrText>
              </w:r>
              <w:r w:rsidRPr="00884F11">
                <w:rPr>
                  <w:rFonts w:ascii="Arial" w:hAnsi="Arial" w:cs="Arial"/>
                  <w:sz w:val="24"/>
                  <w:szCs w:val="24"/>
                </w:rPr>
                <w:fldChar w:fldCharType="separate"/>
              </w:r>
              <w:r w:rsidR="00884F11" w:rsidRPr="00884F11">
                <w:rPr>
                  <w:rFonts w:ascii="Arial" w:hAnsi="Arial" w:cs="Arial"/>
                  <w:noProof/>
                  <w:sz w:val="24"/>
                  <w:szCs w:val="24"/>
                  <w:lang w:val="en-US"/>
                </w:rPr>
                <w:t>Barnett, G. D. &amp; Howard, F. F., 2018. What doesn’t work to reduce reoffending? A review of reviews of ineffective interventions for adults convicted of crimes.. 23(2), pp. 111-129.</w:t>
              </w:r>
            </w:p>
            <w:p w14:paraId="33DE2170" w14:textId="77777777" w:rsidR="00884F11" w:rsidRPr="00884F11" w:rsidRDefault="00884F11" w:rsidP="00884F11">
              <w:pPr>
                <w:rPr>
                  <w:lang w:val="en-US"/>
                </w:rPr>
              </w:pPr>
            </w:p>
            <w:p w14:paraId="06DBC7DD"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BMG Research, 2018. </w:t>
              </w:r>
              <w:r w:rsidRPr="00884F11">
                <w:rPr>
                  <w:rFonts w:ascii="Arial" w:hAnsi="Arial" w:cs="Arial"/>
                  <w:i/>
                  <w:iCs/>
                  <w:noProof/>
                  <w:sz w:val="24"/>
                  <w:szCs w:val="24"/>
                  <w:lang w:val="en-US"/>
                </w:rPr>
                <w:t xml:space="preserve">Public Perceptions of Policing in.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https://www.bmgresearch.co.uk/wp-content/uploads/2019/01/1578-HMICFRS-Public-Perceptions-of-Policing-2018_FINAL.pdf</w:t>
              </w:r>
              <w:r w:rsidRPr="00884F11">
                <w:rPr>
                  <w:rFonts w:ascii="Arial" w:hAnsi="Arial" w:cs="Arial"/>
                  <w:noProof/>
                  <w:sz w:val="24"/>
                  <w:szCs w:val="24"/>
                  <w:lang w:val="en-US"/>
                </w:rPr>
                <w:br/>
                <w:t>[Accessed 24 05 2024].</w:t>
              </w:r>
            </w:p>
            <w:p w14:paraId="32FD80F9" w14:textId="77777777" w:rsidR="00884F11" w:rsidRPr="00884F11" w:rsidRDefault="00884F11" w:rsidP="00884F11">
              <w:pPr>
                <w:rPr>
                  <w:lang w:val="en-US"/>
                </w:rPr>
              </w:pPr>
            </w:p>
            <w:p w14:paraId="388F2E2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Brookings, C., 2013. Gangs and sexual violence and exploitation. </w:t>
              </w:r>
              <w:r w:rsidRPr="00884F11">
                <w:rPr>
                  <w:rFonts w:ascii="Arial" w:hAnsi="Arial" w:cs="Arial"/>
                  <w:i/>
                  <w:iCs/>
                  <w:noProof/>
                  <w:sz w:val="24"/>
                  <w:szCs w:val="24"/>
                  <w:lang w:val="en-US"/>
                </w:rPr>
                <w:t xml:space="preserve">Sexually Transmitted Infections, </w:t>
              </w:r>
              <w:r w:rsidRPr="00884F11">
                <w:rPr>
                  <w:rFonts w:ascii="Arial" w:hAnsi="Arial" w:cs="Arial"/>
                  <w:noProof/>
                  <w:sz w:val="24"/>
                  <w:szCs w:val="24"/>
                  <w:lang w:val="en-US"/>
                </w:rPr>
                <w:t>89(1).</w:t>
              </w:r>
            </w:p>
            <w:p w14:paraId="1D9B885B" w14:textId="77777777" w:rsidR="00884F11" w:rsidRPr="00884F11" w:rsidRDefault="00884F11" w:rsidP="00884F11">
              <w:pPr>
                <w:rPr>
                  <w:lang w:val="en-US"/>
                </w:rPr>
              </w:pPr>
            </w:p>
            <w:p w14:paraId="67EA1882"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Police, 2024. </w:t>
              </w:r>
              <w:r w:rsidRPr="00884F11">
                <w:rPr>
                  <w:rFonts w:ascii="Arial" w:hAnsi="Arial" w:cs="Arial"/>
                  <w:i/>
                  <w:iCs/>
                  <w:noProof/>
                  <w:sz w:val="24"/>
                  <w:szCs w:val="24"/>
                  <w:lang w:val="en-US"/>
                </w:rPr>
                <w:t xml:space="preserve">Ethical Policing Principles.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https://www.college.police.uk/ethics/code-of-ethics/principles</w:t>
              </w:r>
              <w:r w:rsidRPr="00884F11">
                <w:rPr>
                  <w:rFonts w:ascii="Arial" w:hAnsi="Arial" w:cs="Arial"/>
                  <w:noProof/>
                  <w:sz w:val="24"/>
                  <w:szCs w:val="24"/>
                  <w:lang w:val="en-US"/>
                </w:rPr>
                <w:br/>
                <w:t>[Accessed 24 05 2024].</w:t>
              </w:r>
            </w:p>
            <w:p w14:paraId="67F39451" w14:textId="77777777" w:rsidR="00884F11" w:rsidRPr="00884F11" w:rsidRDefault="00884F11" w:rsidP="00884F11">
              <w:pPr>
                <w:rPr>
                  <w:lang w:val="en-US"/>
                </w:rPr>
              </w:pPr>
            </w:p>
            <w:p w14:paraId="1ABB0F9E"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Policing, 2015. </w:t>
              </w:r>
              <w:r w:rsidRPr="00884F11">
                <w:rPr>
                  <w:rFonts w:ascii="Arial" w:hAnsi="Arial" w:cs="Arial"/>
                  <w:i/>
                  <w:iCs/>
                  <w:noProof/>
                  <w:sz w:val="24"/>
                  <w:szCs w:val="24"/>
                  <w:lang w:val="en-US"/>
                </w:rPr>
                <w:t xml:space="preserve">Professional standards.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https://www.college.police.uk/app/professional-standards</w:t>
              </w:r>
              <w:r w:rsidRPr="00884F11">
                <w:rPr>
                  <w:rFonts w:ascii="Arial" w:hAnsi="Arial" w:cs="Arial"/>
                  <w:noProof/>
                  <w:sz w:val="24"/>
                  <w:szCs w:val="24"/>
                  <w:lang w:val="en-US"/>
                </w:rPr>
                <w:br/>
                <w:t>[Accessed 24 05 2024].</w:t>
              </w:r>
            </w:p>
            <w:p w14:paraId="0B8BEDB8" w14:textId="77777777" w:rsidR="00884F11" w:rsidRPr="00884F11" w:rsidRDefault="00884F11" w:rsidP="00884F11">
              <w:pPr>
                <w:rPr>
                  <w:lang w:val="en-US"/>
                </w:rPr>
              </w:pPr>
            </w:p>
            <w:p w14:paraId="1552D274"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Policing, 2021. </w:t>
              </w:r>
              <w:r w:rsidRPr="00884F11">
                <w:rPr>
                  <w:rFonts w:ascii="Arial" w:hAnsi="Arial" w:cs="Arial"/>
                  <w:i/>
                  <w:iCs/>
                  <w:noProof/>
                  <w:sz w:val="24"/>
                  <w:szCs w:val="24"/>
                  <w:lang w:val="en-US"/>
                </w:rPr>
                <w:t xml:space="preserve">Context and dynamics of domestic abuse.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https://www.college.police.uk/app/major-investigation-and-public-protection/domestic-abuse/context-and-dynamics-domestic-abuse</w:t>
              </w:r>
              <w:r w:rsidRPr="00884F11">
                <w:rPr>
                  <w:rFonts w:ascii="Arial" w:hAnsi="Arial" w:cs="Arial"/>
                  <w:noProof/>
                  <w:sz w:val="24"/>
                  <w:szCs w:val="24"/>
                  <w:lang w:val="en-US"/>
                </w:rPr>
                <w:br/>
                <w:t>[Accessed 24 05 2024].</w:t>
              </w:r>
            </w:p>
            <w:p w14:paraId="23736FCB" w14:textId="77777777" w:rsidR="00884F11" w:rsidRPr="00884F11" w:rsidRDefault="00884F11" w:rsidP="00884F11">
              <w:pPr>
                <w:rPr>
                  <w:lang w:val="en-US"/>
                </w:rPr>
              </w:pPr>
            </w:p>
            <w:p w14:paraId="25606C82"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Policing, 2021. </w:t>
              </w:r>
              <w:r w:rsidRPr="00884F11">
                <w:rPr>
                  <w:rFonts w:ascii="Arial" w:hAnsi="Arial" w:cs="Arial"/>
                  <w:i/>
                  <w:iCs/>
                  <w:noProof/>
                  <w:sz w:val="24"/>
                  <w:szCs w:val="24"/>
                  <w:lang w:val="en-US"/>
                </w:rPr>
                <w:t xml:space="preserve">Introduction to vulnerability-related risk.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https://www.college.police.uk/guidance/vulnerability-related-risks/introduction-vulnerability-related-risk</w:t>
              </w:r>
              <w:r w:rsidRPr="00884F11">
                <w:rPr>
                  <w:rFonts w:ascii="Arial" w:hAnsi="Arial" w:cs="Arial"/>
                  <w:noProof/>
                  <w:sz w:val="24"/>
                  <w:szCs w:val="24"/>
                  <w:lang w:val="en-US"/>
                </w:rPr>
                <w:br/>
                <w:t>[Accessed 25 05 2024].</w:t>
              </w:r>
            </w:p>
            <w:p w14:paraId="42222D08" w14:textId="77777777" w:rsidR="00884F11" w:rsidRPr="00884F11" w:rsidRDefault="00884F11" w:rsidP="00884F11">
              <w:pPr>
                <w:rPr>
                  <w:lang w:val="en-US"/>
                </w:rPr>
              </w:pPr>
            </w:p>
            <w:p w14:paraId="7F2F6BD3"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Policing, 2023. </w:t>
              </w:r>
              <w:r w:rsidRPr="00884F11">
                <w:rPr>
                  <w:rFonts w:ascii="Arial" w:hAnsi="Arial" w:cs="Arial"/>
                  <w:i/>
                  <w:iCs/>
                  <w:noProof/>
                  <w:sz w:val="24"/>
                  <w:szCs w:val="24"/>
                  <w:lang w:val="en-US"/>
                </w:rPr>
                <w:t xml:space="preserve">Guidance on outcomes.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https://www.college.police.uk/app/professional-standards/complaints-and-misconduct</w:t>
              </w:r>
              <w:r w:rsidRPr="00884F11">
                <w:rPr>
                  <w:rFonts w:ascii="Arial" w:hAnsi="Arial" w:cs="Arial"/>
                  <w:noProof/>
                  <w:sz w:val="24"/>
                  <w:szCs w:val="24"/>
                  <w:lang w:val="en-US"/>
                </w:rPr>
                <w:br/>
                <w:t>[Accessed 24 05 2024].</w:t>
              </w:r>
            </w:p>
            <w:p w14:paraId="3FB86675" w14:textId="77777777" w:rsidR="00884F11" w:rsidRPr="00884F11" w:rsidRDefault="00884F11" w:rsidP="00884F11">
              <w:pPr>
                <w:rPr>
                  <w:lang w:val="en-US"/>
                </w:rPr>
              </w:pPr>
            </w:p>
            <w:p w14:paraId="59486B1F"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College of Policing, 2023. </w:t>
              </w:r>
              <w:r w:rsidRPr="00884F11">
                <w:rPr>
                  <w:rFonts w:ascii="Arial" w:hAnsi="Arial" w:cs="Arial"/>
                  <w:i/>
                  <w:iCs/>
                  <w:noProof/>
                  <w:sz w:val="24"/>
                  <w:szCs w:val="24"/>
                  <w:lang w:val="en-US"/>
                </w:rPr>
                <w:t xml:space="preserve">Understanding risk and vulnerability in the context of domestic abuse.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https://www.college.police.uk/app/major-investigation-and-public-protection/domestic-abuse/understanding-risk-and-vulnerability-context-domestic-abuse</w:t>
              </w:r>
              <w:r w:rsidRPr="00884F11">
                <w:rPr>
                  <w:rFonts w:ascii="Arial" w:hAnsi="Arial" w:cs="Arial"/>
                  <w:noProof/>
                  <w:sz w:val="24"/>
                  <w:szCs w:val="24"/>
                  <w:lang w:val="en-US"/>
                </w:rPr>
                <w:br/>
                <w:t>[Accessed 25 05 2024].</w:t>
              </w:r>
            </w:p>
            <w:p w14:paraId="3AB4C970" w14:textId="77777777" w:rsidR="00884F11" w:rsidRPr="00884F11" w:rsidRDefault="00884F11" w:rsidP="00884F11">
              <w:pPr>
                <w:rPr>
                  <w:lang w:val="en-US"/>
                </w:rPr>
              </w:pPr>
            </w:p>
            <w:p w14:paraId="4A426CA3"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Connell, C., 2016. Forensic occupational therapy to reduce risk of reoffending: a survey of practice in the United Kingdom. </w:t>
              </w:r>
              <w:r w:rsidRPr="00884F11">
                <w:rPr>
                  <w:rFonts w:ascii="Arial" w:hAnsi="Arial" w:cs="Arial"/>
                  <w:i/>
                  <w:iCs/>
                  <w:noProof/>
                  <w:sz w:val="24"/>
                  <w:szCs w:val="24"/>
                  <w:lang w:val="en-US"/>
                </w:rPr>
                <w:t xml:space="preserve">The journal of forensic psychiatry &amp; psychology, </w:t>
              </w:r>
              <w:r w:rsidRPr="00884F11">
                <w:rPr>
                  <w:rFonts w:ascii="Arial" w:hAnsi="Arial" w:cs="Arial"/>
                  <w:noProof/>
                  <w:sz w:val="24"/>
                  <w:szCs w:val="24"/>
                  <w:lang w:val="en-US"/>
                </w:rPr>
                <w:t>27(6), pp. 907-928.</w:t>
              </w:r>
            </w:p>
            <w:p w14:paraId="60DD8802" w14:textId="77777777" w:rsidR="00884F11" w:rsidRPr="00884F11" w:rsidRDefault="00884F11" w:rsidP="00884F11">
              <w:pPr>
                <w:rPr>
                  <w:lang w:val="en-US"/>
                </w:rPr>
              </w:pPr>
            </w:p>
            <w:p w14:paraId="714E8406"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Finelli, G. A., 2019. Slash, Shoot, Kill: Gang Recruitment of Children and the Penalties Gangs Face. </w:t>
              </w:r>
              <w:r w:rsidRPr="00884F11">
                <w:rPr>
                  <w:rFonts w:ascii="Arial" w:hAnsi="Arial" w:cs="Arial"/>
                  <w:i/>
                  <w:iCs/>
                  <w:noProof/>
                  <w:sz w:val="24"/>
                  <w:szCs w:val="24"/>
                  <w:lang w:val="en-US"/>
                </w:rPr>
                <w:t xml:space="preserve">Family Court Review, </w:t>
              </w:r>
              <w:r w:rsidRPr="00884F11">
                <w:rPr>
                  <w:rFonts w:ascii="Arial" w:hAnsi="Arial" w:cs="Arial"/>
                  <w:noProof/>
                  <w:sz w:val="24"/>
                  <w:szCs w:val="24"/>
                  <w:lang w:val="en-US"/>
                </w:rPr>
                <w:t>57(2), pp. 243-257.</w:t>
              </w:r>
            </w:p>
            <w:p w14:paraId="78E77FAF" w14:textId="77777777" w:rsidR="00884F11" w:rsidRPr="00884F11" w:rsidRDefault="00884F11" w:rsidP="00884F11">
              <w:pPr>
                <w:rPr>
                  <w:lang w:val="en-US"/>
                </w:rPr>
              </w:pPr>
            </w:p>
            <w:p w14:paraId="6C2BE013"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Frevel, B. &amp; Rogers, C., 2016. Community partnerships (UK) vs Crime Prevention Councils (GER): Differences and similarities. </w:t>
              </w:r>
              <w:r w:rsidRPr="00884F11">
                <w:rPr>
                  <w:rFonts w:ascii="Arial" w:hAnsi="Arial" w:cs="Arial"/>
                  <w:i/>
                  <w:iCs/>
                  <w:noProof/>
                  <w:sz w:val="24"/>
                  <w:szCs w:val="24"/>
                  <w:lang w:val="en-US"/>
                </w:rPr>
                <w:t xml:space="preserve">The Police Journal: Theory, Practice and Principles, </w:t>
              </w:r>
              <w:r w:rsidRPr="00884F11">
                <w:rPr>
                  <w:rFonts w:ascii="Arial" w:hAnsi="Arial" w:cs="Arial"/>
                  <w:noProof/>
                  <w:sz w:val="24"/>
                  <w:szCs w:val="24"/>
                  <w:lang w:val="en-US"/>
                </w:rPr>
                <w:t>89(2).</w:t>
              </w:r>
            </w:p>
            <w:p w14:paraId="638B42D9" w14:textId="77777777" w:rsidR="00884F11" w:rsidRPr="00884F11" w:rsidRDefault="00884F11" w:rsidP="00884F11">
              <w:pPr>
                <w:rPr>
                  <w:lang w:val="en-US"/>
                </w:rPr>
              </w:pPr>
            </w:p>
            <w:p w14:paraId="6A402984"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Hanway, P. &amp; Hambly, O., 2023. </w:t>
              </w:r>
              <w:r w:rsidRPr="00884F11">
                <w:rPr>
                  <w:rFonts w:ascii="Arial" w:hAnsi="Arial" w:cs="Arial"/>
                  <w:i/>
                  <w:iCs/>
                  <w:noProof/>
                  <w:sz w:val="24"/>
                  <w:szCs w:val="24"/>
                  <w:lang w:val="en-US"/>
                </w:rPr>
                <w:t xml:space="preserve">Public perceptions of policing: A review of research and literature.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t xml:space="preserve">Available at: </w:t>
              </w:r>
              <w:r w:rsidRPr="00884F11">
                <w:rPr>
                  <w:rFonts w:ascii="Arial" w:hAnsi="Arial" w:cs="Arial"/>
                  <w:noProof/>
                  <w:sz w:val="24"/>
                  <w:szCs w:val="24"/>
                  <w:u w:val="single"/>
                  <w:lang w:val="en-US"/>
                </w:rPr>
                <w:t>https://www.gov.uk/government/publications/public-perceptions-of-policing-a-review-of-research-and-literature/public-perceptions-of-policing-a-review-of-research-and-literature</w:t>
              </w:r>
              <w:r w:rsidRPr="00884F11">
                <w:rPr>
                  <w:rFonts w:ascii="Arial" w:hAnsi="Arial" w:cs="Arial"/>
                  <w:noProof/>
                  <w:sz w:val="24"/>
                  <w:szCs w:val="24"/>
                  <w:lang w:val="en-US"/>
                </w:rPr>
                <w:br/>
                <w:t>[Accessed 24 05 2024].</w:t>
              </w:r>
            </w:p>
            <w:p w14:paraId="6DDFE20F" w14:textId="77777777" w:rsidR="00884F11" w:rsidRPr="00884F11" w:rsidRDefault="00884F11" w:rsidP="00884F11">
              <w:pPr>
                <w:rPr>
                  <w:lang w:val="en-US"/>
                </w:rPr>
              </w:pPr>
            </w:p>
            <w:p w14:paraId="3A85AD7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lastRenderedPageBreak/>
                <w:t xml:space="preserve">Harding, S., 2020. </w:t>
              </w:r>
              <w:r w:rsidRPr="00884F11">
                <w:rPr>
                  <w:rFonts w:ascii="Arial" w:hAnsi="Arial" w:cs="Arial"/>
                  <w:i/>
                  <w:iCs/>
                  <w:noProof/>
                  <w:sz w:val="24"/>
                  <w:szCs w:val="24"/>
                  <w:lang w:val="en-US"/>
                </w:rPr>
                <w:t xml:space="preserve">County Lines: Exploitation and Drug Dealing amongst Urban Street Gangs. </w:t>
              </w:r>
              <w:r w:rsidRPr="00884F11">
                <w:rPr>
                  <w:rFonts w:ascii="Arial" w:hAnsi="Arial" w:cs="Arial"/>
                  <w:noProof/>
                  <w:sz w:val="24"/>
                  <w:szCs w:val="24"/>
                  <w:lang w:val="en-US"/>
                </w:rPr>
                <w:t>1 ed. Bristol: Bristol University Press.</w:t>
              </w:r>
            </w:p>
            <w:p w14:paraId="47D84269" w14:textId="77777777" w:rsidR="00884F11" w:rsidRPr="00884F11" w:rsidRDefault="00884F11" w:rsidP="00884F11">
              <w:pPr>
                <w:rPr>
                  <w:lang w:val="en-US"/>
                </w:rPr>
              </w:pPr>
            </w:p>
            <w:p w14:paraId="355C28B0"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Havard, T. E., Densley, J. A. &amp; Wills, J., 2021. Street gangs and coercive control: The gendered exploitation of young women and girls in county lines. </w:t>
              </w:r>
              <w:r w:rsidRPr="00884F11">
                <w:rPr>
                  <w:rFonts w:ascii="Arial" w:hAnsi="Arial" w:cs="Arial"/>
                  <w:i/>
                  <w:iCs/>
                  <w:noProof/>
                  <w:sz w:val="24"/>
                  <w:szCs w:val="24"/>
                  <w:lang w:val="en-US"/>
                </w:rPr>
                <w:t xml:space="preserve">Criminology &amp; Criminal Justice, </w:t>
              </w:r>
              <w:r w:rsidRPr="00884F11">
                <w:rPr>
                  <w:rFonts w:ascii="Arial" w:hAnsi="Arial" w:cs="Arial"/>
                  <w:noProof/>
                  <w:sz w:val="24"/>
                  <w:szCs w:val="24"/>
                  <w:lang w:val="en-US"/>
                </w:rPr>
                <w:t>23(3).</w:t>
              </w:r>
            </w:p>
            <w:p w14:paraId="4A219322" w14:textId="77777777" w:rsidR="00884F11" w:rsidRPr="00884F11" w:rsidRDefault="00884F11" w:rsidP="00884F11">
              <w:pPr>
                <w:rPr>
                  <w:lang w:val="en-US"/>
                </w:rPr>
              </w:pPr>
            </w:p>
            <w:p w14:paraId="2B91B0D8"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Hunt, L. W., 2024. </w:t>
              </w:r>
              <w:r w:rsidRPr="00884F11">
                <w:rPr>
                  <w:rFonts w:ascii="Arial" w:hAnsi="Arial" w:cs="Arial"/>
                  <w:i/>
                  <w:iCs/>
                  <w:noProof/>
                  <w:sz w:val="24"/>
                  <w:szCs w:val="24"/>
                  <w:lang w:val="en-US"/>
                </w:rPr>
                <w:t xml:space="preserve">The Logic of Lying Five Presumed Justifications for Police Dishonesty. </w:t>
              </w:r>
              <w:r w:rsidRPr="00884F11">
                <w:rPr>
                  <w:rFonts w:ascii="Arial" w:hAnsi="Arial" w:cs="Arial"/>
                  <w:noProof/>
                  <w:sz w:val="24"/>
                  <w:szCs w:val="24"/>
                  <w:lang w:val="en-US"/>
                </w:rPr>
                <w:t>New York: Oxford University Press.</w:t>
              </w:r>
            </w:p>
            <w:p w14:paraId="005E3D90" w14:textId="77777777" w:rsidR="00884F11" w:rsidRPr="00884F11" w:rsidRDefault="00884F11" w:rsidP="00884F11">
              <w:pPr>
                <w:rPr>
                  <w:lang w:val="en-US"/>
                </w:rPr>
              </w:pPr>
            </w:p>
            <w:p w14:paraId="0F3A1E32"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Innes, M., Roberts, C., Lowe, T. &amp; Innes, H., 2020. </w:t>
              </w:r>
              <w:r w:rsidRPr="00884F11">
                <w:rPr>
                  <w:rFonts w:ascii="Arial" w:hAnsi="Arial" w:cs="Arial"/>
                  <w:i/>
                  <w:iCs/>
                  <w:noProof/>
                  <w:sz w:val="24"/>
                  <w:szCs w:val="24"/>
                  <w:lang w:val="en-US"/>
                </w:rPr>
                <w:t xml:space="preserve">Neighbourhood Policing : The Rise and Fall of a Policing Model. </w:t>
              </w:r>
              <w:r w:rsidRPr="00884F11">
                <w:rPr>
                  <w:rFonts w:ascii="Arial" w:hAnsi="Arial" w:cs="Arial"/>
                  <w:noProof/>
                  <w:sz w:val="24"/>
                  <w:szCs w:val="24"/>
                  <w:lang w:val="en-US"/>
                </w:rPr>
                <w:t>s.l.:Oxford University Press.</w:t>
              </w:r>
            </w:p>
            <w:p w14:paraId="6B893A11" w14:textId="77777777" w:rsidR="00884F11" w:rsidRPr="00884F11" w:rsidRDefault="00884F11" w:rsidP="00884F11">
              <w:pPr>
                <w:rPr>
                  <w:lang w:val="en-US"/>
                </w:rPr>
              </w:pPr>
            </w:p>
            <w:p w14:paraId="43A521D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Jugl, I., Bender, D. &amp; Losel, F., 2023. Do Sports Programs Prevent Crime and Reduce Reoffending? A Systematic Review and Meta-Analysis on the Effectiveness of Sports Programs. </w:t>
              </w:r>
              <w:r w:rsidRPr="00884F11">
                <w:rPr>
                  <w:rFonts w:ascii="Arial" w:hAnsi="Arial" w:cs="Arial"/>
                  <w:i/>
                  <w:iCs/>
                  <w:noProof/>
                  <w:sz w:val="24"/>
                  <w:szCs w:val="24"/>
                  <w:lang w:val="en-US"/>
                </w:rPr>
                <w:t xml:space="preserve">Journal of Quantitative Criminology, </w:t>
              </w:r>
              <w:r w:rsidRPr="00884F11">
                <w:rPr>
                  <w:rFonts w:ascii="Arial" w:hAnsi="Arial" w:cs="Arial"/>
                  <w:noProof/>
                  <w:sz w:val="24"/>
                  <w:szCs w:val="24"/>
                  <w:lang w:val="en-US"/>
                </w:rPr>
                <w:t>Volume 39, pp. 333-384.</w:t>
              </w:r>
            </w:p>
            <w:p w14:paraId="3E3D190F" w14:textId="77777777" w:rsidR="00884F11" w:rsidRPr="00884F11" w:rsidRDefault="00884F11" w:rsidP="00884F11">
              <w:pPr>
                <w:rPr>
                  <w:lang w:val="en-US"/>
                </w:rPr>
              </w:pPr>
            </w:p>
            <w:p w14:paraId="310FAEAA"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Levantakis, G. &amp; Haberfeld, M. R., 2018. </w:t>
              </w:r>
              <w:r w:rsidRPr="00884F11">
                <w:rPr>
                  <w:rFonts w:ascii="Arial" w:hAnsi="Arial" w:cs="Arial"/>
                  <w:i/>
                  <w:iCs/>
                  <w:noProof/>
                  <w:sz w:val="24"/>
                  <w:szCs w:val="24"/>
                  <w:lang w:val="en-US"/>
                </w:rPr>
                <w:t xml:space="preserve">Societal Implications of Community-Oriented Policing and Technology. </w:t>
              </w:r>
              <w:r w:rsidRPr="00884F11">
                <w:rPr>
                  <w:rFonts w:ascii="Arial" w:hAnsi="Arial" w:cs="Arial"/>
                  <w:noProof/>
                  <w:sz w:val="24"/>
                  <w:szCs w:val="24"/>
                  <w:lang w:val="en-US"/>
                </w:rPr>
                <w:t>1 ed. s.l.:Springer Cham.</w:t>
              </w:r>
            </w:p>
            <w:p w14:paraId="1A97550F" w14:textId="77777777" w:rsidR="00884F11" w:rsidRPr="00884F11" w:rsidRDefault="00884F11" w:rsidP="00884F11">
              <w:pPr>
                <w:rPr>
                  <w:lang w:val="en-US"/>
                </w:rPr>
              </w:pPr>
            </w:p>
            <w:p w14:paraId="41AC71C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Mccarthy, M., 2021. The role of social distance in the relationship between police-community engagement and police coercion. </w:t>
              </w:r>
              <w:r w:rsidRPr="00884F11">
                <w:rPr>
                  <w:rFonts w:ascii="Arial" w:hAnsi="Arial" w:cs="Arial"/>
                  <w:i/>
                  <w:iCs/>
                  <w:noProof/>
                  <w:sz w:val="24"/>
                  <w:szCs w:val="24"/>
                  <w:lang w:val="en-US"/>
                </w:rPr>
                <w:t xml:space="preserve">An International Journal of Research and Policy, </w:t>
              </w:r>
              <w:r w:rsidRPr="00884F11">
                <w:rPr>
                  <w:rFonts w:ascii="Arial" w:hAnsi="Arial" w:cs="Arial"/>
                  <w:noProof/>
                  <w:sz w:val="24"/>
                  <w:szCs w:val="24"/>
                  <w:lang w:val="en-US"/>
                </w:rPr>
                <w:t>31(4), pp. 434-453.</w:t>
              </w:r>
            </w:p>
            <w:p w14:paraId="16BEA1E1" w14:textId="77777777" w:rsidR="00884F11" w:rsidRPr="00884F11" w:rsidRDefault="00884F11" w:rsidP="00884F11">
              <w:pPr>
                <w:rPr>
                  <w:lang w:val="en-US"/>
                </w:rPr>
              </w:pPr>
            </w:p>
            <w:p w14:paraId="0F956D62"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Meyer, S., 2014. Police-led partnership responses to high risk youths and their families: challenges associated with forming successful and sustainable partnerships. </w:t>
              </w:r>
              <w:r w:rsidRPr="00884F11">
                <w:rPr>
                  <w:rFonts w:ascii="Arial" w:hAnsi="Arial" w:cs="Arial"/>
                  <w:i/>
                  <w:iCs/>
                  <w:noProof/>
                  <w:sz w:val="24"/>
                  <w:szCs w:val="24"/>
                  <w:lang w:val="en-US"/>
                </w:rPr>
                <w:t xml:space="preserve">An International Journal of Research and Policy, </w:t>
              </w:r>
              <w:r w:rsidRPr="00884F11">
                <w:rPr>
                  <w:rFonts w:ascii="Arial" w:hAnsi="Arial" w:cs="Arial"/>
                  <w:noProof/>
                  <w:sz w:val="24"/>
                  <w:szCs w:val="24"/>
                  <w:lang w:val="en-US"/>
                </w:rPr>
                <w:t>24(2), pp. 242-260.</w:t>
              </w:r>
            </w:p>
            <w:p w14:paraId="17C7875C" w14:textId="77777777" w:rsidR="00884F11" w:rsidRPr="00884F11" w:rsidRDefault="00884F11" w:rsidP="00884F11">
              <w:pPr>
                <w:rPr>
                  <w:lang w:val="en-US"/>
                </w:rPr>
              </w:pPr>
            </w:p>
            <w:p w14:paraId="729201C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Minister of Justice, 2013. </w:t>
              </w:r>
              <w:r w:rsidRPr="00884F11">
                <w:rPr>
                  <w:rFonts w:ascii="Arial" w:hAnsi="Arial" w:cs="Arial"/>
                  <w:i/>
                  <w:iCs/>
                  <w:noProof/>
                  <w:sz w:val="24"/>
                  <w:szCs w:val="24"/>
                  <w:lang w:val="en-US"/>
                </w:rPr>
                <w:t xml:space="preserve">Transforming Rehabilitation: A Summary of Evidence on reducing reoffending.. </w:t>
              </w:r>
              <w:r w:rsidRPr="00884F11">
                <w:rPr>
                  <w:rFonts w:ascii="Arial" w:hAnsi="Arial" w:cs="Arial"/>
                  <w:noProof/>
                  <w:sz w:val="24"/>
                  <w:szCs w:val="24"/>
                  <w:lang w:val="en-US"/>
                </w:rPr>
                <w:t xml:space="preserve">[Online] </w:t>
              </w:r>
              <w:r w:rsidRPr="00884F11">
                <w:rPr>
                  <w:rFonts w:ascii="Arial" w:hAnsi="Arial" w:cs="Arial"/>
                  <w:noProof/>
                  <w:sz w:val="24"/>
                  <w:szCs w:val="24"/>
                  <w:lang w:val="en-US"/>
                </w:rPr>
                <w:br/>
              </w:r>
              <w:r w:rsidRPr="00884F11">
                <w:rPr>
                  <w:rFonts w:ascii="Arial" w:hAnsi="Arial" w:cs="Arial"/>
                  <w:noProof/>
                  <w:sz w:val="24"/>
                  <w:szCs w:val="24"/>
                  <w:lang w:val="en-US"/>
                </w:rPr>
                <w:lastRenderedPageBreak/>
                <w:t xml:space="preserve">Available at: </w:t>
              </w:r>
              <w:r w:rsidRPr="00884F11">
                <w:rPr>
                  <w:rFonts w:ascii="Arial" w:hAnsi="Arial" w:cs="Arial"/>
                  <w:noProof/>
                  <w:sz w:val="24"/>
                  <w:szCs w:val="24"/>
                  <w:u w:val="single"/>
                  <w:lang w:val="en-US"/>
                </w:rPr>
                <w:t>https://assets.publishing.service.gov.uk/media/5a7565a8e5274a1baf95e408/evidence-reduce-reoffending.pdf</w:t>
              </w:r>
              <w:r w:rsidRPr="00884F11">
                <w:rPr>
                  <w:rFonts w:ascii="Arial" w:hAnsi="Arial" w:cs="Arial"/>
                  <w:noProof/>
                  <w:sz w:val="24"/>
                  <w:szCs w:val="24"/>
                  <w:lang w:val="en-US"/>
                </w:rPr>
                <w:br/>
                <w:t>[Accessed 25 05 2024].</w:t>
              </w:r>
            </w:p>
            <w:p w14:paraId="1825363A" w14:textId="77777777" w:rsidR="00884F11" w:rsidRPr="00884F11" w:rsidRDefault="00884F11" w:rsidP="00884F11">
              <w:pPr>
                <w:rPr>
                  <w:lang w:val="en-US"/>
                </w:rPr>
              </w:pPr>
            </w:p>
            <w:p w14:paraId="665AD31B"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Pycroft, A. &amp; Gough, D., 2019. </w:t>
              </w:r>
              <w:r w:rsidRPr="00884F11">
                <w:rPr>
                  <w:rFonts w:ascii="Arial" w:hAnsi="Arial" w:cs="Arial"/>
                  <w:i/>
                  <w:iCs/>
                  <w:noProof/>
                  <w:sz w:val="24"/>
                  <w:szCs w:val="24"/>
                  <w:lang w:val="en-US"/>
                </w:rPr>
                <w:t xml:space="preserve">Multi-Agency Working in Criminal Justice 2e: Theory, Policy and Practice. </w:t>
              </w:r>
              <w:r w:rsidRPr="00884F11">
                <w:rPr>
                  <w:rFonts w:ascii="Arial" w:hAnsi="Arial" w:cs="Arial"/>
                  <w:noProof/>
                  <w:sz w:val="24"/>
                  <w:szCs w:val="24"/>
                  <w:lang w:val="en-US"/>
                </w:rPr>
                <w:t>2 ed. Bristol: Bristol University Press.</w:t>
              </w:r>
            </w:p>
            <w:p w14:paraId="57364222" w14:textId="77777777" w:rsidR="00884F11" w:rsidRPr="00884F11" w:rsidRDefault="00884F11" w:rsidP="00884F11">
              <w:pPr>
                <w:rPr>
                  <w:lang w:val="en-US"/>
                </w:rPr>
              </w:pPr>
            </w:p>
            <w:p w14:paraId="4561AC6B"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Rawlinson, L., 2012. Accommodation, Homelessness and Reoffending of Prisoners. </w:t>
              </w:r>
              <w:r w:rsidRPr="00884F11">
                <w:rPr>
                  <w:rFonts w:ascii="Arial" w:hAnsi="Arial" w:cs="Arial"/>
                  <w:i/>
                  <w:iCs/>
                  <w:noProof/>
                  <w:sz w:val="24"/>
                  <w:szCs w:val="24"/>
                  <w:lang w:val="en-US"/>
                </w:rPr>
                <w:t xml:space="preserve">Probation Journal, </w:t>
              </w:r>
              <w:r w:rsidRPr="00884F11">
                <w:rPr>
                  <w:rFonts w:ascii="Arial" w:hAnsi="Arial" w:cs="Arial"/>
                  <w:noProof/>
                  <w:sz w:val="24"/>
                  <w:szCs w:val="24"/>
                  <w:lang w:val="en-US"/>
                </w:rPr>
                <w:t>59(3).</w:t>
              </w:r>
            </w:p>
            <w:p w14:paraId="62C74F3A" w14:textId="77777777" w:rsidR="00884F11" w:rsidRPr="00884F11" w:rsidRDefault="00884F11" w:rsidP="00884F11">
              <w:pPr>
                <w:rPr>
                  <w:lang w:val="en-US"/>
                </w:rPr>
              </w:pPr>
            </w:p>
            <w:p w14:paraId="4F205724"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Ross, J., Sebire, J. &amp; Strang, H., 2022. Tracking Repeat Victimisation After Domestic Abuse Cases Are Heard With and Without Independent Domestic Violence Advisors (IDVAs) in an English Magistrate’s Court. </w:t>
              </w:r>
              <w:r w:rsidRPr="00884F11">
                <w:rPr>
                  <w:rFonts w:ascii="Arial" w:hAnsi="Arial" w:cs="Arial"/>
                  <w:i/>
                  <w:iCs/>
                  <w:noProof/>
                  <w:sz w:val="24"/>
                  <w:szCs w:val="24"/>
                  <w:lang w:val="en-US"/>
                </w:rPr>
                <w:t xml:space="preserve">Cambridge Journal of Evidence-Based Policing, </w:t>
              </w:r>
              <w:r w:rsidRPr="00884F11">
                <w:rPr>
                  <w:rFonts w:ascii="Arial" w:hAnsi="Arial" w:cs="Arial"/>
                  <w:noProof/>
                  <w:sz w:val="24"/>
                  <w:szCs w:val="24"/>
                  <w:lang w:val="en-US"/>
                </w:rPr>
                <w:t>Volume 6, pp. 54-68.</w:t>
              </w:r>
            </w:p>
            <w:p w14:paraId="4C40036F" w14:textId="77777777" w:rsidR="00884F11" w:rsidRPr="00884F11" w:rsidRDefault="00884F11" w:rsidP="00884F11">
              <w:pPr>
                <w:rPr>
                  <w:lang w:val="en-US"/>
                </w:rPr>
              </w:pPr>
            </w:p>
            <w:p w14:paraId="26BBEADA"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Rowe, M., 2020. </w:t>
              </w:r>
              <w:r w:rsidRPr="00884F11">
                <w:rPr>
                  <w:rFonts w:ascii="Arial" w:hAnsi="Arial" w:cs="Arial"/>
                  <w:i/>
                  <w:iCs/>
                  <w:noProof/>
                  <w:sz w:val="24"/>
                  <w:szCs w:val="24"/>
                  <w:lang w:val="en-US"/>
                </w:rPr>
                <w:t xml:space="preserve">Policing the police: challenges of democracy and accountability. </w:t>
              </w:r>
              <w:r w:rsidRPr="00884F11">
                <w:rPr>
                  <w:rFonts w:ascii="Arial" w:hAnsi="Arial" w:cs="Arial"/>
                  <w:noProof/>
                  <w:sz w:val="24"/>
                  <w:szCs w:val="24"/>
                  <w:lang w:val="en-US"/>
                </w:rPr>
                <w:t>Britsol: The Policy Press.</w:t>
              </w:r>
            </w:p>
            <w:p w14:paraId="31C48E47" w14:textId="77777777" w:rsidR="00884F11" w:rsidRPr="00884F11" w:rsidRDefault="00884F11" w:rsidP="00884F11">
              <w:pPr>
                <w:rPr>
                  <w:lang w:val="en-US"/>
                </w:rPr>
              </w:pPr>
            </w:p>
            <w:p w14:paraId="122D80D2"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Sanders, B. et al., 2009. Gang Youth as a Vulnerable Population for Nursing Intervention. </w:t>
              </w:r>
              <w:r w:rsidRPr="00884F11">
                <w:rPr>
                  <w:rFonts w:ascii="Arial" w:hAnsi="Arial" w:cs="Arial"/>
                  <w:i/>
                  <w:iCs/>
                  <w:noProof/>
                  <w:sz w:val="24"/>
                  <w:szCs w:val="24"/>
                  <w:lang w:val="en-US"/>
                </w:rPr>
                <w:t xml:space="preserve">Public Health Nursing, </w:t>
              </w:r>
              <w:r w:rsidRPr="00884F11">
                <w:rPr>
                  <w:rFonts w:ascii="Arial" w:hAnsi="Arial" w:cs="Arial"/>
                  <w:noProof/>
                  <w:sz w:val="24"/>
                  <w:szCs w:val="24"/>
                  <w:lang w:val="en-US"/>
                </w:rPr>
                <w:t>26(4), pp. 346 - 352.</w:t>
              </w:r>
            </w:p>
            <w:p w14:paraId="0EFDDB34" w14:textId="77777777" w:rsidR="00884F11" w:rsidRPr="00884F11" w:rsidRDefault="00884F11" w:rsidP="00884F11">
              <w:pPr>
                <w:rPr>
                  <w:lang w:val="en-US"/>
                </w:rPr>
              </w:pPr>
            </w:p>
            <w:p w14:paraId="76B3A0AC"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Smith, A., Heyes, K. &amp; Bradbury, A., 2018. The effectiveness of probation supervision towards reducing reoffending: A Rapid Evidence Assessment. </w:t>
              </w:r>
              <w:r w:rsidRPr="00884F11">
                <w:rPr>
                  <w:rFonts w:ascii="Arial" w:hAnsi="Arial" w:cs="Arial"/>
                  <w:i/>
                  <w:iCs/>
                  <w:noProof/>
                  <w:sz w:val="24"/>
                  <w:szCs w:val="24"/>
                  <w:lang w:val="en-US"/>
                </w:rPr>
                <w:t xml:space="preserve">Probation Journal, </w:t>
              </w:r>
              <w:r w:rsidRPr="00884F11">
                <w:rPr>
                  <w:rFonts w:ascii="Arial" w:hAnsi="Arial" w:cs="Arial"/>
                  <w:noProof/>
                  <w:sz w:val="24"/>
                  <w:szCs w:val="24"/>
                  <w:lang w:val="en-US"/>
                </w:rPr>
                <w:t>65(4).</w:t>
              </w:r>
            </w:p>
            <w:p w14:paraId="48F3B97C" w14:textId="77777777" w:rsidR="00884F11" w:rsidRPr="00884F11" w:rsidRDefault="00884F11" w:rsidP="00884F11">
              <w:pPr>
                <w:rPr>
                  <w:lang w:val="en-US"/>
                </w:rPr>
              </w:pPr>
            </w:p>
            <w:p w14:paraId="6427E303"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Stephens, M. &amp; Fowler, G., 2004. A case study of a public sector partnership between a borough council and the police in the UK. </w:t>
              </w:r>
              <w:r w:rsidRPr="00884F11">
                <w:rPr>
                  <w:rFonts w:ascii="Arial" w:hAnsi="Arial" w:cs="Arial"/>
                  <w:i/>
                  <w:iCs/>
                  <w:noProof/>
                  <w:sz w:val="24"/>
                  <w:szCs w:val="24"/>
                  <w:lang w:val="en-US"/>
                </w:rPr>
                <w:t xml:space="preserve">Public Management Review, </w:t>
              </w:r>
              <w:r w:rsidRPr="00884F11">
                <w:rPr>
                  <w:rFonts w:ascii="Arial" w:hAnsi="Arial" w:cs="Arial"/>
                  <w:noProof/>
                  <w:sz w:val="24"/>
                  <w:szCs w:val="24"/>
                  <w:lang w:val="en-US"/>
                </w:rPr>
                <w:t>6(1), pp. 113-130.</w:t>
              </w:r>
            </w:p>
            <w:p w14:paraId="5F91309C" w14:textId="77777777" w:rsidR="00884F11" w:rsidRPr="00884F11" w:rsidRDefault="00884F11" w:rsidP="00884F11">
              <w:pPr>
                <w:rPr>
                  <w:lang w:val="en-US"/>
                </w:rPr>
              </w:pPr>
            </w:p>
            <w:p w14:paraId="693CE618"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lastRenderedPageBreak/>
                <w:t xml:space="preserve">Thompson, N., 2019. ‘It’s a No-Win Scenario, either the Police or the Gang Will Get You’: Young People and Organised Crime – Vulnerable or Criminal?. </w:t>
              </w:r>
              <w:r w:rsidRPr="00884F11">
                <w:rPr>
                  <w:rFonts w:ascii="Arial" w:hAnsi="Arial" w:cs="Arial"/>
                  <w:i/>
                  <w:iCs/>
                  <w:noProof/>
                  <w:sz w:val="24"/>
                  <w:szCs w:val="24"/>
                  <w:lang w:val="en-US"/>
                </w:rPr>
                <w:t xml:space="preserve">Youth Justice, </w:t>
              </w:r>
              <w:r w:rsidRPr="00884F11">
                <w:rPr>
                  <w:rFonts w:ascii="Arial" w:hAnsi="Arial" w:cs="Arial"/>
                  <w:noProof/>
                  <w:sz w:val="24"/>
                  <w:szCs w:val="24"/>
                  <w:lang w:val="en-US"/>
                </w:rPr>
                <w:t>19(2).</w:t>
              </w:r>
            </w:p>
            <w:p w14:paraId="64621215" w14:textId="77777777" w:rsidR="00884F11" w:rsidRPr="00884F11" w:rsidRDefault="00884F11" w:rsidP="00884F11">
              <w:pPr>
                <w:rPr>
                  <w:lang w:val="en-US"/>
                </w:rPr>
              </w:pPr>
            </w:p>
            <w:p w14:paraId="60541829"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Torrible, C., 2021. Police complaints and discipline: integrity, lesson learning, independence and accountability: some implications of the reforms under the Policing and Crime Act 2017. </w:t>
              </w:r>
              <w:r w:rsidRPr="00884F11">
                <w:rPr>
                  <w:rFonts w:ascii="Arial" w:hAnsi="Arial" w:cs="Arial"/>
                  <w:i/>
                  <w:iCs/>
                  <w:noProof/>
                  <w:sz w:val="24"/>
                  <w:szCs w:val="24"/>
                  <w:lang w:val="en-US"/>
                </w:rPr>
                <w:t xml:space="preserve">An International Journal of Research and Policy, </w:t>
              </w:r>
              <w:r w:rsidRPr="00884F11">
                <w:rPr>
                  <w:rFonts w:ascii="Arial" w:hAnsi="Arial" w:cs="Arial"/>
                  <w:noProof/>
                  <w:sz w:val="24"/>
                  <w:szCs w:val="24"/>
                  <w:lang w:val="en-US"/>
                </w:rPr>
                <w:t>31(9), pp. 1117-1132.</w:t>
              </w:r>
            </w:p>
            <w:p w14:paraId="7A7F1F4F" w14:textId="77777777" w:rsidR="00884F11" w:rsidRPr="00884F11" w:rsidRDefault="00884F11" w:rsidP="00884F11">
              <w:pPr>
                <w:rPr>
                  <w:lang w:val="en-US"/>
                </w:rPr>
              </w:pPr>
            </w:p>
            <w:p w14:paraId="152FB6E3"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Vanhaelemeesch, D. &amp; Beken, T. V., 2014. Between convict and ward: the experiences of people living with offenders subject to electronic monitoring. </w:t>
              </w:r>
              <w:r w:rsidRPr="00884F11">
                <w:rPr>
                  <w:rFonts w:ascii="Arial" w:hAnsi="Arial" w:cs="Arial"/>
                  <w:i/>
                  <w:iCs/>
                  <w:noProof/>
                  <w:sz w:val="24"/>
                  <w:szCs w:val="24"/>
                  <w:lang w:val="en-US"/>
                </w:rPr>
                <w:t xml:space="preserve">Crime, Law and Social Change, </w:t>
              </w:r>
              <w:r w:rsidRPr="00884F11">
                <w:rPr>
                  <w:rFonts w:ascii="Arial" w:hAnsi="Arial" w:cs="Arial"/>
                  <w:noProof/>
                  <w:sz w:val="24"/>
                  <w:szCs w:val="24"/>
                  <w:lang w:val="en-US"/>
                </w:rPr>
                <w:t>62(4), pp. 389-415.</w:t>
              </w:r>
            </w:p>
            <w:p w14:paraId="49BD1AE9" w14:textId="77777777" w:rsidR="00884F11" w:rsidRPr="00884F11" w:rsidRDefault="00884F11" w:rsidP="00884F11">
              <w:pPr>
                <w:rPr>
                  <w:lang w:val="en-US"/>
                </w:rPr>
              </w:pPr>
            </w:p>
            <w:p w14:paraId="6287DBB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Viljoen, J. L., Cochrane, D. M. &amp; Jonnson, M. R., 2018. Do risk assessment tools help manage and reduce risk of violence and reoffending? A systematic review.. </w:t>
              </w:r>
              <w:r w:rsidRPr="00884F11">
                <w:rPr>
                  <w:rFonts w:ascii="Arial" w:hAnsi="Arial" w:cs="Arial"/>
                  <w:i/>
                  <w:iCs/>
                  <w:noProof/>
                  <w:sz w:val="24"/>
                  <w:szCs w:val="24"/>
                  <w:lang w:val="en-US"/>
                </w:rPr>
                <w:t xml:space="preserve">Law and Human Behavior, </w:t>
              </w:r>
              <w:r w:rsidRPr="00884F11">
                <w:rPr>
                  <w:rFonts w:ascii="Arial" w:hAnsi="Arial" w:cs="Arial"/>
                  <w:noProof/>
                  <w:sz w:val="24"/>
                  <w:szCs w:val="24"/>
                  <w:lang w:val="en-US"/>
                </w:rPr>
                <w:t>42(3), pp. 181-214.</w:t>
              </w:r>
            </w:p>
            <w:p w14:paraId="78379BFF" w14:textId="77777777" w:rsidR="00884F11" w:rsidRPr="00884F11" w:rsidRDefault="00884F11" w:rsidP="00884F11">
              <w:pPr>
                <w:rPr>
                  <w:lang w:val="en-US"/>
                </w:rPr>
              </w:pPr>
            </w:p>
            <w:p w14:paraId="1104A645" w14:textId="77777777" w:rsid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Williams, B., 2023. </w:t>
              </w:r>
              <w:r w:rsidRPr="00884F11">
                <w:rPr>
                  <w:rFonts w:ascii="Arial" w:hAnsi="Arial" w:cs="Arial"/>
                  <w:i/>
                  <w:iCs/>
                  <w:noProof/>
                  <w:sz w:val="24"/>
                  <w:szCs w:val="24"/>
                  <w:lang w:val="en-US"/>
                </w:rPr>
                <w:t xml:space="preserve">Policing Mental Health, Vulnerability and Risk. </w:t>
              </w:r>
              <w:r w:rsidRPr="00884F11">
                <w:rPr>
                  <w:rFonts w:ascii="Arial" w:hAnsi="Arial" w:cs="Arial"/>
                  <w:noProof/>
                  <w:sz w:val="24"/>
                  <w:szCs w:val="24"/>
                  <w:lang w:val="en-US"/>
                </w:rPr>
                <w:t>s.l.:Critical Publishing.</w:t>
              </w:r>
            </w:p>
            <w:p w14:paraId="29068758" w14:textId="77777777" w:rsidR="00884F11" w:rsidRPr="00884F11" w:rsidRDefault="00884F11" w:rsidP="00884F11">
              <w:pPr>
                <w:rPr>
                  <w:lang w:val="en-US"/>
                </w:rPr>
              </w:pPr>
            </w:p>
            <w:p w14:paraId="7A6B4DAD" w14:textId="77777777" w:rsidR="00884F11" w:rsidRPr="00884F11" w:rsidRDefault="00884F11" w:rsidP="00884F11">
              <w:pPr>
                <w:pStyle w:val="Bibliography"/>
                <w:spacing w:line="360" w:lineRule="auto"/>
                <w:rPr>
                  <w:rFonts w:ascii="Arial" w:hAnsi="Arial" w:cs="Arial"/>
                  <w:noProof/>
                  <w:sz w:val="24"/>
                  <w:szCs w:val="24"/>
                  <w:lang w:val="en-US"/>
                </w:rPr>
              </w:pPr>
              <w:r w:rsidRPr="00884F11">
                <w:rPr>
                  <w:rFonts w:ascii="Arial" w:hAnsi="Arial" w:cs="Arial"/>
                  <w:noProof/>
                  <w:sz w:val="24"/>
                  <w:szCs w:val="24"/>
                  <w:lang w:val="en-US"/>
                </w:rPr>
                <w:t xml:space="preserve">Williams, J. &amp; Weatherburn, D., 2022. Can Electronic Monitoring Reduce Reoffending?. </w:t>
              </w:r>
              <w:r w:rsidRPr="00884F11">
                <w:rPr>
                  <w:rFonts w:ascii="Arial" w:hAnsi="Arial" w:cs="Arial"/>
                  <w:i/>
                  <w:iCs/>
                  <w:noProof/>
                  <w:sz w:val="24"/>
                  <w:szCs w:val="24"/>
                  <w:lang w:val="en-US"/>
                </w:rPr>
                <w:t xml:space="preserve">Review of Economics &amp; Statistics, </w:t>
              </w:r>
              <w:r w:rsidRPr="00884F11">
                <w:rPr>
                  <w:rFonts w:ascii="Arial" w:hAnsi="Arial" w:cs="Arial"/>
                  <w:noProof/>
                  <w:sz w:val="24"/>
                  <w:szCs w:val="24"/>
                  <w:lang w:val="en-US"/>
                </w:rPr>
                <w:t>104(2), pp. 232-245.</w:t>
              </w:r>
            </w:p>
            <w:p w14:paraId="5875E334" w14:textId="1E43ED87" w:rsidR="00A42250" w:rsidRPr="00884F11" w:rsidRDefault="00A42250" w:rsidP="00884F11">
              <w:pPr>
                <w:spacing w:line="360" w:lineRule="auto"/>
                <w:rPr>
                  <w:rFonts w:ascii="Arial" w:hAnsi="Arial" w:cs="Arial"/>
                  <w:sz w:val="24"/>
                  <w:szCs w:val="24"/>
                </w:rPr>
              </w:pPr>
              <w:r w:rsidRPr="00884F11">
                <w:rPr>
                  <w:rFonts w:ascii="Arial" w:hAnsi="Arial" w:cs="Arial"/>
                  <w:b/>
                  <w:bCs/>
                  <w:noProof/>
                  <w:sz w:val="24"/>
                  <w:szCs w:val="24"/>
                </w:rPr>
                <w:fldChar w:fldCharType="end"/>
              </w:r>
            </w:p>
          </w:sdtContent>
        </w:sdt>
      </w:sdtContent>
    </w:sdt>
    <w:p w14:paraId="75F2FA2B" w14:textId="77777777" w:rsidR="00A42250" w:rsidRPr="00884F11" w:rsidRDefault="00A42250" w:rsidP="00884F11">
      <w:pPr>
        <w:spacing w:line="360" w:lineRule="auto"/>
        <w:rPr>
          <w:rFonts w:ascii="Arial" w:hAnsi="Arial" w:cs="Arial"/>
          <w:sz w:val="28"/>
          <w:szCs w:val="28"/>
        </w:rPr>
      </w:pPr>
    </w:p>
    <w:sectPr w:rsidR="00A42250" w:rsidRPr="00884F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250"/>
    <w:rsid w:val="000116E5"/>
    <w:rsid w:val="00060030"/>
    <w:rsid w:val="00072C9A"/>
    <w:rsid w:val="000760B5"/>
    <w:rsid w:val="00080ED9"/>
    <w:rsid w:val="00084D9C"/>
    <w:rsid w:val="00087035"/>
    <w:rsid w:val="000C2840"/>
    <w:rsid w:val="000F2E56"/>
    <w:rsid w:val="00124A21"/>
    <w:rsid w:val="00131455"/>
    <w:rsid w:val="00137EC7"/>
    <w:rsid w:val="0014522F"/>
    <w:rsid w:val="00167E78"/>
    <w:rsid w:val="0017593B"/>
    <w:rsid w:val="0019199F"/>
    <w:rsid w:val="001A7056"/>
    <w:rsid w:val="001D61DF"/>
    <w:rsid w:val="001E0DB4"/>
    <w:rsid w:val="001E5F38"/>
    <w:rsid w:val="001F2D7B"/>
    <w:rsid w:val="001F513E"/>
    <w:rsid w:val="002146D9"/>
    <w:rsid w:val="0022104C"/>
    <w:rsid w:val="00233166"/>
    <w:rsid w:val="00236B60"/>
    <w:rsid w:val="00257989"/>
    <w:rsid w:val="00290B59"/>
    <w:rsid w:val="00291847"/>
    <w:rsid w:val="002A3ABE"/>
    <w:rsid w:val="002B7852"/>
    <w:rsid w:val="002C7D9C"/>
    <w:rsid w:val="002E02C4"/>
    <w:rsid w:val="00363FA9"/>
    <w:rsid w:val="003674A8"/>
    <w:rsid w:val="00371D56"/>
    <w:rsid w:val="00382593"/>
    <w:rsid w:val="003B6288"/>
    <w:rsid w:val="003C2426"/>
    <w:rsid w:val="003F3384"/>
    <w:rsid w:val="004223E2"/>
    <w:rsid w:val="00432803"/>
    <w:rsid w:val="00453714"/>
    <w:rsid w:val="00467859"/>
    <w:rsid w:val="0047555D"/>
    <w:rsid w:val="00477E9D"/>
    <w:rsid w:val="00492745"/>
    <w:rsid w:val="00495B70"/>
    <w:rsid w:val="004B2EE3"/>
    <w:rsid w:val="004B655F"/>
    <w:rsid w:val="004B787B"/>
    <w:rsid w:val="004D6798"/>
    <w:rsid w:val="00507C19"/>
    <w:rsid w:val="005108D5"/>
    <w:rsid w:val="00511F8B"/>
    <w:rsid w:val="0052312B"/>
    <w:rsid w:val="005328ED"/>
    <w:rsid w:val="00551BD5"/>
    <w:rsid w:val="0057323A"/>
    <w:rsid w:val="00594EC0"/>
    <w:rsid w:val="005B42C6"/>
    <w:rsid w:val="005D548A"/>
    <w:rsid w:val="005E2B49"/>
    <w:rsid w:val="005F3C7C"/>
    <w:rsid w:val="00606665"/>
    <w:rsid w:val="00614651"/>
    <w:rsid w:val="006432AF"/>
    <w:rsid w:val="006521F9"/>
    <w:rsid w:val="006523F0"/>
    <w:rsid w:val="00661953"/>
    <w:rsid w:val="006733C2"/>
    <w:rsid w:val="00683A2B"/>
    <w:rsid w:val="0069625B"/>
    <w:rsid w:val="006B26A3"/>
    <w:rsid w:val="006C7718"/>
    <w:rsid w:val="006D4D47"/>
    <w:rsid w:val="006D6678"/>
    <w:rsid w:val="006F3962"/>
    <w:rsid w:val="00704DD0"/>
    <w:rsid w:val="00707806"/>
    <w:rsid w:val="00720802"/>
    <w:rsid w:val="00734AF3"/>
    <w:rsid w:val="0073712F"/>
    <w:rsid w:val="0076436C"/>
    <w:rsid w:val="007956F8"/>
    <w:rsid w:val="007A4681"/>
    <w:rsid w:val="007A7BAF"/>
    <w:rsid w:val="007C58D8"/>
    <w:rsid w:val="007F2D84"/>
    <w:rsid w:val="0081042C"/>
    <w:rsid w:val="008218E8"/>
    <w:rsid w:val="008237E4"/>
    <w:rsid w:val="00830C3D"/>
    <w:rsid w:val="00835E39"/>
    <w:rsid w:val="00845D67"/>
    <w:rsid w:val="00856D02"/>
    <w:rsid w:val="00871E02"/>
    <w:rsid w:val="00884F11"/>
    <w:rsid w:val="0088512F"/>
    <w:rsid w:val="008A40A8"/>
    <w:rsid w:val="008C17EE"/>
    <w:rsid w:val="008C6D55"/>
    <w:rsid w:val="00913C38"/>
    <w:rsid w:val="00923BBC"/>
    <w:rsid w:val="009506FF"/>
    <w:rsid w:val="00960E99"/>
    <w:rsid w:val="00964591"/>
    <w:rsid w:val="00975097"/>
    <w:rsid w:val="009A0B48"/>
    <w:rsid w:val="009A4864"/>
    <w:rsid w:val="009B307D"/>
    <w:rsid w:val="009D477D"/>
    <w:rsid w:val="009D6A36"/>
    <w:rsid w:val="00A15A6E"/>
    <w:rsid w:val="00A21F3A"/>
    <w:rsid w:val="00A42250"/>
    <w:rsid w:val="00A63132"/>
    <w:rsid w:val="00A64860"/>
    <w:rsid w:val="00A76433"/>
    <w:rsid w:val="00A803A6"/>
    <w:rsid w:val="00A82B40"/>
    <w:rsid w:val="00AA1E94"/>
    <w:rsid w:val="00B33683"/>
    <w:rsid w:val="00B405CE"/>
    <w:rsid w:val="00B475C6"/>
    <w:rsid w:val="00B47FFE"/>
    <w:rsid w:val="00B772F1"/>
    <w:rsid w:val="00B82040"/>
    <w:rsid w:val="00BA1D81"/>
    <w:rsid w:val="00BF09C1"/>
    <w:rsid w:val="00C112F9"/>
    <w:rsid w:val="00C1133C"/>
    <w:rsid w:val="00C25C86"/>
    <w:rsid w:val="00C446EA"/>
    <w:rsid w:val="00C45E0A"/>
    <w:rsid w:val="00C51A44"/>
    <w:rsid w:val="00C73E12"/>
    <w:rsid w:val="00C8003E"/>
    <w:rsid w:val="00CA6E16"/>
    <w:rsid w:val="00CD095A"/>
    <w:rsid w:val="00CD220B"/>
    <w:rsid w:val="00D03AD6"/>
    <w:rsid w:val="00D1265C"/>
    <w:rsid w:val="00D4428C"/>
    <w:rsid w:val="00D511A3"/>
    <w:rsid w:val="00D94CB2"/>
    <w:rsid w:val="00DA37A4"/>
    <w:rsid w:val="00DC12DF"/>
    <w:rsid w:val="00DC5ECE"/>
    <w:rsid w:val="00DE0CD9"/>
    <w:rsid w:val="00DF7E60"/>
    <w:rsid w:val="00E252F3"/>
    <w:rsid w:val="00E65226"/>
    <w:rsid w:val="00E87D50"/>
    <w:rsid w:val="00EC3B14"/>
    <w:rsid w:val="00EF512C"/>
    <w:rsid w:val="00F00602"/>
    <w:rsid w:val="00F11DEE"/>
    <w:rsid w:val="00F157DA"/>
    <w:rsid w:val="00F23089"/>
    <w:rsid w:val="00F4268A"/>
    <w:rsid w:val="00F514E4"/>
    <w:rsid w:val="00F55ADA"/>
    <w:rsid w:val="00F7101E"/>
    <w:rsid w:val="00F81341"/>
    <w:rsid w:val="00F961CC"/>
    <w:rsid w:val="00FE3162"/>
    <w:rsid w:val="00FF5B8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6250"/>
  <w15:chartTrackingRefBased/>
  <w15:docId w15:val="{CEFAB449-668D-4306-87B0-B31661B6C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25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250"/>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221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680326">
      <w:bodyDiv w:val="1"/>
      <w:marLeft w:val="0"/>
      <w:marRight w:val="0"/>
      <w:marTop w:val="0"/>
      <w:marBottom w:val="0"/>
      <w:divBdr>
        <w:top w:val="none" w:sz="0" w:space="0" w:color="auto"/>
        <w:left w:val="none" w:sz="0" w:space="0" w:color="auto"/>
        <w:bottom w:val="none" w:sz="0" w:space="0" w:color="auto"/>
        <w:right w:val="none" w:sz="0" w:space="0" w:color="auto"/>
      </w:divBdr>
    </w:div>
    <w:div w:id="143133824">
      <w:bodyDiv w:val="1"/>
      <w:marLeft w:val="0"/>
      <w:marRight w:val="0"/>
      <w:marTop w:val="0"/>
      <w:marBottom w:val="0"/>
      <w:divBdr>
        <w:top w:val="none" w:sz="0" w:space="0" w:color="auto"/>
        <w:left w:val="none" w:sz="0" w:space="0" w:color="auto"/>
        <w:bottom w:val="none" w:sz="0" w:space="0" w:color="auto"/>
        <w:right w:val="none" w:sz="0" w:space="0" w:color="auto"/>
      </w:divBdr>
    </w:div>
    <w:div w:id="171723261">
      <w:bodyDiv w:val="1"/>
      <w:marLeft w:val="0"/>
      <w:marRight w:val="0"/>
      <w:marTop w:val="0"/>
      <w:marBottom w:val="0"/>
      <w:divBdr>
        <w:top w:val="none" w:sz="0" w:space="0" w:color="auto"/>
        <w:left w:val="none" w:sz="0" w:space="0" w:color="auto"/>
        <w:bottom w:val="none" w:sz="0" w:space="0" w:color="auto"/>
        <w:right w:val="none" w:sz="0" w:space="0" w:color="auto"/>
      </w:divBdr>
    </w:div>
    <w:div w:id="199435602">
      <w:bodyDiv w:val="1"/>
      <w:marLeft w:val="0"/>
      <w:marRight w:val="0"/>
      <w:marTop w:val="0"/>
      <w:marBottom w:val="0"/>
      <w:divBdr>
        <w:top w:val="none" w:sz="0" w:space="0" w:color="auto"/>
        <w:left w:val="none" w:sz="0" w:space="0" w:color="auto"/>
        <w:bottom w:val="none" w:sz="0" w:space="0" w:color="auto"/>
        <w:right w:val="none" w:sz="0" w:space="0" w:color="auto"/>
      </w:divBdr>
    </w:div>
    <w:div w:id="237130275">
      <w:bodyDiv w:val="1"/>
      <w:marLeft w:val="0"/>
      <w:marRight w:val="0"/>
      <w:marTop w:val="0"/>
      <w:marBottom w:val="0"/>
      <w:divBdr>
        <w:top w:val="none" w:sz="0" w:space="0" w:color="auto"/>
        <w:left w:val="none" w:sz="0" w:space="0" w:color="auto"/>
        <w:bottom w:val="none" w:sz="0" w:space="0" w:color="auto"/>
        <w:right w:val="none" w:sz="0" w:space="0" w:color="auto"/>
      </w:divBdr>
    </w:div>
    <w:div w:id="244848354">
      <w:bodyDiv w:val="1"/>
      <w:marLeft w:val="0"/>
      <w:marRight w:val="0"/>
      <w:marTop w:val="0"/>
      <w:marBottom w:val="0"/>
      <w:divBdr>
        <w:top w:val="none" w:sz="0" w:space="0" w:color="auto"/>
        <w:left w:val="none" w:sz="0" w:space="0" w:color="auto"/>
        <w:bottom w:val="none" w:sz="0" w:space="0" w:color="auto"/>
        <w:right w:val="none" w:sz="0" w:space="0" w:color="auto"/>
      </w:divBdr>
    </w:div>
    <w:div w:id="509416325">
      <w:bodyDiv w:val="1"/>
      <w:marLeft w:val="0"/>
      <w:marRight w:val="0"/>
      <w:marTop w:val="0"/>
      <w:marBottom w:val="0"/>
      <w:divBdr>
        <w:top w:val="none" w:sz="0" w:space="0" w:color="auto"/>
        <w:left w:val="none" w:sz="0" w:space="0" w:color="auto"/>
        <w:bottom w:val="none" w:sz="0" w:space="0" w:color="auto"/>
        <w:right w:val="none" w:sz="0" w:space="0" w:color="auto"/>
      </w:divBdr>
    </w:div>
    <w:div w:id="612638920">
      <w:bodyDiv w:val="1"/>
      <w:marLeft w:val="0"/>
      <w:marRight w:val="0"/>
      <w:marTop w:val="0"/>
      <w:marBottom w:val="0"/>
      <w:divBdr>
        <w:top w:val="none" w:sz="0" w:space="0" w:color="auto"/>
        <w:left w:val="none" w:sz="0" w:space="0" w:color="auto"/>
        <w:bottom w:val="none" w:sz="0" w:space="0" w:color="auto"/>
        <w:right w:val="none" w:sz="0" w:space="0" w:color="auto"/>
      </w:divBdr>
    </w:div>
    <w:div w:id="662271935">
      <w:bodyDiv w:val="1"/>
      <w:marLeft w:val="0"/>
      <w:marRight w:val="0"/>
      <w:marTop w:val="0"/>
      <w:marBottom w:val="0"/>
      <w:divBdr>
        <w:top w:val="none" w:sz="0" w:space="0" w:color="auto"/>
        <w:left w:val="none" w:sz="0" w:space="0" w:color="auto"/>
        <w:bottom w:val="none" w:sz="0" w:space="0" w:color="auto"/>
        <w:right w:val="none" w:sz="0" w:space="0" w:color="auto"/>
      </w:divBdr>
    </w:div>
    <w:div w:id="715199449">
      <w:bodyDiv w:val="1"/>
      <w:marLeft w:val="0"/>
      <w:marRight w:val="0"/>
      <w:marTop w:val="0"/>
      <w:marBottom w:val="0"/>
      <w:divBdr>
        <w:top w:val="none" w:sz="0" w:space="0" w:color="auto"/>
        <w:left w:val="none" w:sz="0" w:space="0" w:color="auto"/>
        <w:bottom w:val="none" w:sz="0" w:space="0" w:color="auto"/>
        <w:right w:val="none" w:sz="0" w:space="0" w:color="auto"/>
      </w:divBdr>
    </w:div>
    <w:div w:id="727843149">
      <w:bodyDiv w:val="1"/>
      <w:marLeft w:val="0"/>
      <w:marRight w:val="0"/>
      <w:marTop w:val="0"/>
      <w:marBottom w:val="0"/>
      <w:divBdr>
        <w:top w:val="none" w:sz="0" w:space="0" w:color="auto"/>
        <w:left w:val="none" w:sz="0" w:space="0" w:color="auto"/>
        <w:bottom w:val="none" w:sz="0" w:space="0" w:color="auto"/>
        <w:right w:val="none" w:sz="0" w:space="0" w:color="auto"/>
      </w:divBdr>
    </w:div>
    <w:div w:id="735935039">
      <w:bodyDiv w:val="1"/>
      <w:marLeft w:val="0"/>
      <w:marRight w:val="0"/>
      <w:marTop w:val="0"/>
      <w:marBottom w:val="0"/>
      <w:divBdr>
        <w:top w:val="none" w:sz="0" w:space="0" w:color="auto"/>
        <w:left w:val="none" w:sz="0" w:space="0" w:color="auto"/>
        <w:bottom w:val="none" w:sz="0" w:space="0" w:color="auto"/>
        <w:right w:val="none" w:sz="0" w:space="0" w:color="auto"/>
      </w:divBdr>
    </w:div>
    <w:div w:id="782846518">
      <w:bodyDiv w:val="1"/>
      <w:marLeft w:val="0"/>
      <w:marRight w:val="0"/>
      <w:marTop w:val="0"/>
      <w:marBottom w:val="0"/>
      <w:divBdr>
        <w:top w:val="none" w:sz="0" w:space="0" w:color="auto"/>
        <w:left w:val="none" w:sz="0" w:space="0" w:color="auto"/>
        <w:bottom w:val="none" w:sz="0" w:space="0" w:color="auto"/>
        <w:right w:val="none" w:sz="0" w:space="0" w:color="auto"/>
      </w:divBdr>
    </w:div>
    <w:div w:id="824517630">
      <w:bodyDiv w:val="1"/>
      <w:marLeft w:val="0"/>
      <w:marRight w:val="0"/>
      <w:marTop w:val="0"/>
      <w:marBottom w:val="0"/>
      <w:divBdr>
        <w:top w:val="none" w:sz="0" w:space="0" w:color="auto"/>
        <w:left w:val="none" w:sz="0" w:space="0" w:color="auto"/>
        <w:bottom w:val="none" w:sz="0" w:space="0" w:color="auto"/>
        <w:right w:val="none" w:sz="0" w:space="0" w:color="auto"/>
      </w:divBdr>
    </w:div>
    <w:div w:id="972173276">
      <w:bodyDiv w:val="1"/>
      <w:marLeft w:val="0"/>
      <w:marRight w:val="0"/>
      <w:marTop w:val="0"/>
      <w:marBottom w:val="0"/>
      <w:divBdr>
        <w:top w:val="none" w:sz="0" w:space="0" w:color="auto"/>
        <w:left w:val="none" w:sz="0" w:space="0" w:color="auto"/>
        <w:bottom w:val="none" w:sz="0" w:space="0" w:color="auto"/>
        <w:right w:val="none" w:sz="0" w:space="0" w:color="auto"/>
      </w:divBdr>
    </w:div>
    <w:div w:id="1060981585">
      <w:bodyDiv w:val="1"/>
      <w:marLeft w:val="0"/>
      <w:marRight w:val="0"/>
      <w:marTop w:val="0"/>
      <w:marBottom w:val="0"/>
      <w:divBdr>
        <w:top w:val="none" w:sz="0" w:space="0" w:color="auto"/>
        <w:left w:val="none" w:sz="0" w:space="0" w:color="auto"/>
        <w:bottom w:val="none" w:sz="0" w:space="0" w:color="auto"/>
        <w:right w:val="none" w:sz="0" w:space="0" w:color="auto"/>
      </w:divBdr>
    </w:div>
    <w:div w:id="1078284129">
      <w:bodyDiv w:val="1"/>
      <w:marLeft w:val="0"/>
      <w:marRight w:val="0"/>
      <w:marTop w:val="0"/>
      <w:marBottom w:val="0"/>
      <w:divBdr>
        <w:top w:val="none" w:sz="0" w:space="0" w:color="auto"/>
        <w:left w:val="none" w:sz="0" w:space="0" w:color="auto"/>
        <w:bottom w:val="none" w:sz="0" w:space="0" w:color="auto"/>
        <w:right w:val="none" w:sz="0" w:space="0" w:color="auto"/>
      </w:divBdr>
    </w:div>
    <w:div w:id="1142575655">
      <w:bodyDiv w:val="1"/>
      <w:marLeft w:val="0"/>
      <w:marRight w:val="0"/>
      <w:marTop w:val="0"/>
      <w:marBottom w:val="0"/>
      <w:divBdr>
        <w:top w:val="none" w:sz="0" w:space="0" w:color="auto"/>
        <w:left w:val="none" w:sz="0" w:space="0" w:color="auto"/>
        <w:bottom w:val="none" w:sz="0" w:space="0" w:color="auto"/>
        <w:right w:val="none" w:sz="0" w:space="0" w:color="auto"/>
      </w:divBdr>
    </w:div>
    <w:div w:id="1179463509">
      <w:bodyDiv w:val="1"/>
      <w:marLeft w:val="0"/>
      <w:marRight w:val="0"/>
      <w:marTop w:val="0"/>
      <w:marBottom w:val="0"/>
      <w:divBdr>
        <w:top w:val="none" w:sz="0" w:space="0" w:color="auto"/>
        <w:left w:val="none" w:sz="0" w:space="0" w:color="auto"/>
        <w:bottom w:val="none" w:sz="0" w:space="0" w:color="auto"/>
        <w:right w:val="none" w:sz="0" w:space="0" w:color="auto"/>
      </w:divBdr>
    </w:div>
    <w:div w:id="1196849408">
      <w:bodyDiv w:val="1"/>
      <w:marLeft w:val="0"/>
      <w:marRight w:val="0"/>
      <w:marTop w:val="0"/>
      <w:marBottom w:val="0"/>
      <w:divBdr>
        <w:top w:val="none" w:sz="0" w:space="0" w:color="auto"/>
        <w:left w:val="none" w:sz="0" w:space="0" w:color="auto"/>
        <w:bottom w:val="none" w:sz="0" w:space="0" w:color="auto"/>
        <w:right w:val="none" w:sz="0" w:space="0" w:color="auto"/>
      </w:divBdr>
    </w:div>
    <w:div w:id="1231498696">
      <w:bodyDiv w:val="1"/>
      <w:marLeft w:val="0"/>
      <w:marRight w:val="0"/>
      <w:marTop w:val="0"/>
      <w:marBottom w:val="0"/>
      <w:divBdr>
        <w:top w:val="none" w:sz="0" w:space="0" w:color="auto"/>
        <w:left w:val="none" w:sz="0" w:space="0" w:color="auto"/>
        <w:bottom w:val="none" w:sz="0" w:space="0" w:color="auto"/>
        <w:right w:val="none" w:sz="0" w:space="0" w:color="auto"/>
      </w:divBdr>
    </w:div>
    <w:div w:id="1242914304">
      <w:bodyDiv w:val="1"/>
      <w:marLeft w:val="0"/>
      <w:marRight w:val="0"/>
      <w:marTop w:val="0"/>
      <w:marBottom w:val="0"/>
      <w:divBdr>
        <w:top w:val="none" w:sz="0" w:space="0" w:color="auto"/>
        <w:left w:val="none" w:sz="0" w:space="0" w:color="auto"/>
        <w:bottom w:val="none" w:sz="0" w:space="0" w:color="auto"/>
        <w:right w:val="none" w:sz="0" w:space="0" w:color="auto"/>
      </w:divBdr>
    </w:div>
    <w:div w:id="1272126525">
      <w:bodyDiv w:val="1"/>
      <w:marLeft w:val="0"/>
      <w:marRight w:val="0"/>
      <w:marTop w:val="0"/>
      <w:marBottom w:val="0"/>
      <w:divBdr>
        <w:top w:val="none" w:sz="0" w:space="0" w:color="auto"/>
        <w:left w:val="none" w:sz="0" w:space="0" w:color="auto"/>
        <w:bottom w:val="none" w:sz="0" w:space="0" w:color="auto"/>
        <w:right w:val="none" w:sz="0" w:space="0" w:color="auto"/>
      </w:divBdr>
    </w:div>
    <w:div w:id="1415399290">
      <w:bodyDiv w:val="1"/>
      <w:marLeft w:val="0"/>
      <w:marRight w:val="0"/>
      <w:marTop w:val="0"/>
      <w:marBottom w:val="0"/>
      <w:divBdr>
        <w:top w:val="none" w:sz="0" w:space="0" w:color="auto"/>
        <w:left w:val="none" w:sz="0" w:space="0" w:color="auto"/>
        <w:bottom w:val="none" w:sz="0" w:space="0" w:color="auto"/>
        <w:right w:val="none" w:sz="0" w:space="0" w:color="auto"/>
      </w:divBdr>
    </w:div>
    <w:div w:id="1500119716">
      <w:bodyDiv w:val="1"/>
      <w:marLeft w:val="0"/>
      <w:marRight w:val="0"/>
      <w:marTop w:val="0"/>
      <w:marBottom w:val="0"/>
      <w:divBdr>
        <w:top w:val="none" w:sz="0" w:space="0" w:color="auto"/>
        <w:left w:val="none" w:sz="0" w:space="0" w:color="auto"/>
        <w:bottom w:val="none" w:sz="0" w:space="0" w:color="auto"/>
        <w:right w:val="none" w:sz="0" w:space="0" w:color="auto"/>
      </w:divBdr>
    </w:div>
    <w:div w:id="1517576931">
      <w:bodyDiv w:val="1"/>
      <w:marLeft w:val="0"/>
      <w:marRight w:val="0"/>
      <w:marTop w:val="0"/>
      <w:marBottom w:val="0"/>
      <w:divBdr>
        <w:top w:val="none" w:sz="0" w:space="0" w:color="auto"/>
        <w:left w:val="none" w:sz="0" w:space="0" w:color="auto"/>
        <w:bottom w:val="none" w:sz="0" w:space="0" w:color="auto"/>
        <w:right w:val="none" w:sz="0" w:space="0" w:color="auto"/>
      </w:divBdr>
    </w:div>
    <w:div w:id="1532572523">
      <w:bodyDiv w:val="1"/>
      <w:marLeft w:val="0"/>
      <w:marRight w:val="0"/>
      <w:marTop w:val="0"/>
      <w:marBottom w:val="0"/>
      <w:divBdr>
        <w:top w:val="none" w:sz="0" w:space="0" w:color="auto"/>
        <w:left w:val="none" w:sz="0" w:space="0" w:color="auto"/>
        <w:bottom w:val="none" w:sz="0" w:space="0" w:color="auto"/>
        <w:right w:val="none" w:sz="0" w:space="0" w:color="auto"/>
      </w:divBdr>
    </w:div>
    <w:div w:id="1625773276">
      <w:bodyDiv w:val="1"/>
      <w:marLeft w:val="0"/>
      <w:marRight w:val="0"/>
      <w:marTop w:val="0"/>
      <w:marBottom w:val="0"/>
      <w:divBdr>
        <w:top w:val="none" w:sz="0" w:space="0" w:color="auto"/>
        <w:left w:val="none" w:sz="0" w:space="0" w:color="auto"/>
        <w:bottom w:val="none" w:sz="0" w:space="0" w:color="auto"/>
        <w:right w:val="none" w:sz="0" w:space="0" w:color="auto"/>
      </w:divBdr>
    </w:div>
    <w:div w:id="1808624633">
      <w:bodyDiv w:val="1"/>
      <w:marLeft w:val="0"/>
      <w:marRight w:val="0"/>
      <w:marTop w:val="0"/>
      <w:marBottom w:val="0"/>
      <w:divBdr>
        <w:top w:val="none" w:sz="0" w:space="0" w:color="auto"/>
        <w:left w:val="none" w:sz="0" w:space="0" w:color="auto"/>
        <w:bottom w:val="none" w:sz="0" w:space="0" w:color="auto"/>
        <w:right w:val="none" w:sz="0" w:space="0" w:color="auto"/>
      </w:divBdr>
    </w:div>
    <w:div w:id="1851291232">
      <w:bodyDiv w:val="1"/>
      <w:marLeft w:val="0"/>
      <w:marRight w:val="0"/>
      <w:marTop w:val="0"/>
      <w:marBottom w:val="0"/>
      <w:divBdr>
        <w:top w:val="none" w:sz="0" w:space="0" w:color="auto"/>
        <w:left w:val="none" w:sz="0" w:space="0" w:color="auto"/>
        <w:bottom w:val="none" w:sz="0" w:space="0" w:color="auto"/>
        <w:right w:val="none" w:sz="0" w:space="0" w:color="auto"/>
      </w:divBdr>
    </w:div>
    <w:div w:id="1862082968">
      <w:bodyDiv w:val="1"/>
      <w:marLeft w:val="0"/>
      <w:marRight w:val="0"/>
      <w:marTop w:val="0"/>
      <w:marBottom w:val="0"/>
      <w:divBdr>
        <w:top w:val="none" w:sz="0" w:space="0" w:color="auto"/>
        <w:left w:val="none" w:sz="0" w:space="0" w:color="auto"/>
        <w:bottom w:val="none" w:sz="0" w:space="0" w:color="auto"/>
        <w:right w:val="none" w:sz="0" w:space="0" w:color="auto"/>
      </w:divBdr>
    </w:div>
    <w:div w:id="1918859251">
      <w:bodyDiv w:val="1"/>
      <w:marLeft w:val="0"/>
      <w:marRight w:val="0"/>
      <w:marTop w:val="0"/>
      <w:marBottom w:val="0"/>
      <w:divBdr>
        <w:top w:val="none" w:sz="0" w:space="0" w:color="auto"/>
        <w:left w:val="none" w:sz="0" w:space="0" w:color="auto"/>
        <w:bottom w:val="none" w:sz="0" w:space="0" w:color="auto"/>
        <w:right w:val="none" w:sz="0" w:space="0" w:color="auto"/>
      </w:divBdr>
    </w:div>
    <w:div w:id="1923903395">
      <w:bodyDiv w:val="1"/>
      <w:marLeft w:val="0"/>
      <w:marRight w:val="0"/>
      <w:marTop w:val="0"/>
      <w:marBottom w:val="0"/>
      <w:divBdr>
        <w:top w:val="none" w:sz="0" w:space="0" w:color="auto"/>
        <w:left w:val="none" w:sz="0" w:space="0" w:color="auto"/>
        <w:bottom w:val="none" w:sz="0" w:space="0" w:color="auto"/>
        <w:right w:val="none" w:sz="0" w:space="0" w:color="auto"/>
      </w:divBdr>
    </w:div>
    <w:div w:id="200666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BMG18</b:Tag>
    <b:SourceType>InternetSite</b:SourceType>
    <b:Guid>{D36B7046-2DA8-4B19-BFB0-85697781E01C}</b:Guid>
    <b:Author>
      <b:Author>
        <b:Corporate>BMG Research</b:Corporate>
      </b:Author>
    </b:Author>
    <b:Title>Public Perceptions of Policing in</b:Title>
    <b:Year>2018</b:Year>
    <b:YearAccessed>2024</b:YearAccessed>
    <b:MonthAccessed>05</b:MonthAccessed>
    <b:DayAccessed>24</b:DayAccessed>
    <b:URL>https://www.bmgresearch.co.uk/wp-content/uploads/2019/01/1578-HMICFRS-Public-Perceptions-of-Policing-2018_FINAL.pdf</b:URL>
    <b:RefOrder>1</b:RefOrder>
  </b:Source>
  <b:Source>
    <b:Tag>Han23</b:Tag>
    <b:SourceType>InternetSite</b:SourceType>
    <b:Guid>{ABC93974-061F-4A10-B0A0-A3F1BE682B75}</b:Guid>
    <b:Title>Public perceptions of policing: A review of research and literature</b:Title>
    <b:Year>2023</b:Year>
    <b:YearAccessed>2024</b:YearAccessed>
    <b:MonthAccessed>05</b:MonthAccessed>
    <b:DayAccessed>24</b:DayAccessed>
    <b:URL>https://www.gov.uk/government/publications/public-perceptions-of-policing-a-review-of-research-and-literature/public-perceptions-of-policing-a-review-of-research-and-literature</b:URL>
    <b:Author>
      <b:Author>
        <b:NameList>
          <b:Person>
            <b:Last>Hanway</b:Last>
            <b:First>Pamela</b:First>
          </b:Person>
          <b:Person>
            <b:Last>Hambly</b:Last>
            <b:First>Olivia</b:First>
          </b:Person>
        </b:NameList>
      </b:Author>
    </b:Author>
    <b:RefOrder>2</b:RefOrder>
  </b:Source>
  <b:Source>
    <b:Tag>Col15</b:Tag>
    <b:SourceType>InternetSite</b:SourceType>
    <b:Guid>{F5560FCC-ACB4-452C-A192-B889943B1B41}</b:Guid>
    <b:Author>
      <b:Author>
        <b:Corporate>College of Policing</b:Corporate>
      </b:Author>
    </b:Author>
    <b:Title>Professional standards</b:Title>
    <b:Year>2015</b:Year>
    <b:YearAccessed>2024</b:YearAccessed>
    <b:MonthAccessed>05</b:MonthAccessed>
    <b:DayAccessed>24</b:DayAccessed>
    <b:URL>https://www.college.police.uk/app/professional-standards</b:URL>
    <b:RefOrder>3</b:RefOrder>
  </b:Source>
  <b:Source>
    <b:Tag>Hun24</b:Tag>
    <b:SourceType>Book</b:SourceType>
    <b:Guid>{D937289D-95C3-434F-BF86-B257840C340F}</b:Guid>
    <b:Title>The Logic of Lying Five Presumed Justifications for Police Dishonesty</b:Title>
    <b:Year>2024</b:Year>
    <b:City>New York</b:City>
    <b:Publisher>Oxford University Press</b:Publisher>
    <b:Author>
      <b:Author>
        <b:NameList>
          <b:Person>
            <b:Last>Hunt</b:Last>
            <b:Middle>William</b:Middle>
            <b:First>Luke</b:First>
          </b:Person>
        </b:NameList>
      </b:Author>
    </b:Author>
    <b:RefOrder>4</b:RefOrder>
  </b:Source>
  <b:Source>
    <b:Tag>Col24</b:Tag>
    <b:SourceType>InternetSite</b:SourceType>
    <b:Guid>{44735506-F1D7-4D1A-935B-D2694464BC5B}</b:Guid>
    <b:Author>
      <b:Author>
        <b:Corporate>College of Police</b:Corporate>
      </b:Author>
    </b:Author>
    <b:Title>Ethical Policing Principles</b:Title>
    <b:Year>2024</b:Year>
    <b:YearAccessed>2024</b:YearAccessed>
    <b:MonthAccessed>05</b:MonthAccessed>
    <b:DayAccessed>24</b:DayAccessed>
    <b:URL>https://www.college.police.uk/ethics/code-of-ethics/principles</b:URL>
    <b:RefOrder>5</b:RefOrder>
  </b:Source>
  <b:Source>
    <b:Tag>Tor21</b:Tag>
    <b:SourceType>JournalArticle</b:SourceType>
    <b:Guid>{DCADA879-2128-4D74-A02F-9B1B215A4145}</b:Guid>
    <b:Title>Police complaints and discipline: integrity, lesson learning, independence and accountability: some implications of the reforms under the Policing and Crime Act 2017</b:Title>
    <b:Year>2021</b:Year>
    <b:JournalName>An International Journal of Research and Policy</b:JournalName>
    <b:Pages>1117-1132</b:Pages>
    <b:Volume>31</b:Volume>
    <b:Issue>9</b:Issue>
    <b:Author>
      <b:Author>
        <b:NameList>
          <b:Person>
            <b:Last>Torrible</b:Last>
            <b:First>Clare</b:First>
          </b:Person>
        </b:NameList>
      </b:Author>
    </b:Author>
    <b:RefOrder>6</b:RefOrder>
  </b:Source>
  <b:Source>
    <b:Tag>Row20</b:Tag>
    <b:SourceType>Book</b:SourceType>
    <b:Guid>{708A19B5-3990-438B-9F20-0BE0820D1967}</b:Guid>
    <b:Title>Policing the police: challenges of democracy and accountability</b:Title>
    <b:Year>2020</b:Year>
    <b:City>Britsol</b:City>
    <b:Publisher>The Policy Press</b:Publisher>
    <b:Author>
      <b:Author>
        <b:NameList>
          <b:Person>
            <b:Last>Rowe</b:Last>
            <b:First>Michael</b:First>
          </b:Person>
        </b:NameList>
      </b:Author>
    </b:Author>
    <b:RefOrder>7</b:RefOrder>
  </b:Source>
  <b:Source>
    <b:Tag>Col23</b:Tag>
    <b:SourceType>DocumentFromInternetSite</b:SourceType>
    <b:Guid>{B40DFAAE-CD76-4574-AF43-CBFFBD97CD8B}</b:Guid>
    <b:Title>Guidance on outcomes</b:Title>
    <b:Year>2023</b:Year>
    <b:Author>
      <b:Author>
        <b:Corporate>College of Policing</b:Corporate>
      </b:Author>
    </b:Author>
    <b:Month>03</b:Month>
    <b:Day>10</b:Day>
    <b:YearAccessed>2024</b:YearAccessed>
    <b:MonthAccessed>05</b:MonthAccessed>
    <b:DayAccessed>24</b:DayAccessed>
    <b:URL>https://www.college.police.uk/app/professional-standards/complaints-and-misconduct</b:URL>
    <b:RefOrder>8</b:RefOrder>
  </b:Source>
  <b:Source>
    <b:Tag>Mcc21</b:Tag>
    <b:SourceType>JournalArticle</b:SourceType>
    <b:Guid>{EC42A925-6C1E-4593-9476-FABD77E0A047}</b:Guid>
    <b:Title>The role of social distance in the relationship between police-community engagement and police coercion</b:Title>
    <b:Year>2021</b:Year>
    <b:Author>
      <b:Author>
        <b:NameList>
          <b:Person>
            <b:Last>Mccarthy</b:Last>
            <b:First>Molly</b:First>
          </b:Person>
        </b:NameList>
      </b:Author>
    </b:Author>
    <b:JournalName>An International Journal of Research and Policy</b:JournalName>
    <b:Pages>434-453</b:Pages>
    <b:Volume>31</b:Volume>
    <b:Issue>4</b:Issue>
    <b:RefOrder>9</b:RefOrder>
  </b:Source>
  <b:Source>
    <b:Tag>Lev18</b:Tag>
    <b:SourceType>Book</b:SourceType>
    <b:Guid>{15B6FC95-5C3B-4690-8A87-BDA5D52DD061}</b:Guid>
    <b:Title>Societal Implications of Community-Oriented Policing and Technology</b:Title>
    <b:Year>2018</b:Year>
    <b:Publisher>Springer Cham</b:Publisher>
    <b:Edition>1</b:Edition>
    <b:Author>
      <b:Author>
        <b:NameList>
          <b:Person>
            <b:Last>Levantakis</b:Last>
            <b:First>Georgios</b:First>
          </b:Person>
          <b:Person>
            <b:Last>Haberfeld</b:Last>
            <b:Middle>R.</b:Middle>
            <b:First>M.</b:First>
          </b:Person>
        </b:NameList>
      </b:Author>
    </b:Author>
    <b:RefOrder>10</b:RefOrder>
  </b:Source>
  <b:Source>
    <b:Tag>Pol14</b:Tag>
    <b:SourceType>JournalArticle</b:SourceType>
    <b:Guid>{F89AC417-9A02-474C-9855-B2A1BA421C85}</b:Guid>
    <b:Title>Police-led partnership responses to high risk youths and their families: challenges associated with forming successful and sustainable partnerships</b:Title>
    <b:Year>2014</b:Year>
    <b:JournalName>An International Journal of Research and Policy</b:JournalName>
    <b:Pages>242-260</b:Pages>
    <b:Volume>24</b:Volume>
    <b:Issue>2</b:Issue>
    <b:Author>
      <b:Author>
        <b:NameList>
          <b:Person>
            <b:Last>Meyer</b:Last>
            <b:First>Silke</b:First>
          </b:Person>
        </b:NameList>
      </b:Author>
    </b:Author>
    <b:RefOrder>11</b:RefOrder>
  </b:Source>
  <b:Source>
    <b:Tag>Col212</b:Tag>
    <b:SourceType>InternetSite</b:SourceType>
    <b:Guid>{32CBA6BE-E9CC-42F7-9C13-0FD3E42CADE8}</b:Guid>
    <b:Title>Context and dynamics of domestic abuse</b:Title>
    <b:Year>2021</b:Year>
    <b:Author>
      <b:Author>
        <b:Corporate>College of Policing</b:Corporate>
      </b:Author>
    </b:Author>
    <b:YearAccessed>2024</b:YearAccessed>
    <b:MonthAccessed>05</b:MonthAccessed>
    <b:DayAccessed>24</b:DayAccessed>
    <b:URL>https://www.college.police.uk/app/major-investigation-and-public-protection/domestic-abuse/context-and-dynamics-domestic-abuse</b:URL>
    <b:RefOrder>12</b:RefOrder>
  </b:Source>
  <b:Source>
    <b:Tag>Ros22</b:Tag>
    <b:SourceType>JournalArticle</b:SourceType>
    <b:Guid>{B893F4C5-9E61-4B8A-87D7-C0E551023437}</b:Guid>
    <b:Title>Tracking Repeat Victimisation After Domestic Abuse Cases Are Heard With and Without Independent Domestic Violence Advisors (IDVAs) in an English Magistrate’s Court</b:Title>
    <b:Year>2022</b:Year>
    <b:JournalName>Cambridge Journal of Evidence-Based Policing</b:JournalName>
    <b:Pages>54-68</b:Pages>
    <b:Volume>6</b:Volume>
    <b:Author>
      <b:Author>
        <b:NameList>
          <b:Person>
            <b:Last>Ross</b:Last>
            <b:First>John</b:First>
          </b:Person>
          <b:Person>
            <b:Last>Sebire</b:Last>
            <b:First>Jaqueline</b:First>
          </b:Person>
          <b:Person>
            <b:Last>Strang</b:Last>
            <b:First>Heather</b:First>
          </b:Person>
        </b:NameList>
      </b:Author>
    </b:Author>
    <b:RefOrder>13</b:RefOrder>
  </b:Source>
  <b:Source>
    <b:Tag>Inn20</b:Tag>
    <b:SourceType>Book</b:SourceType>
    <b:Guid>{090025C7-24CB-47BA-80C3-DE3FBD65EE19}</b:Guid>
    <b:Title>Neighbourhood Policing : The Rise and Fall of a Policing Model</b:Title>
    <b:Year>2020</b:Year>
    <b:Publisher>Oxford University Press</b:Publisher>
    <b:Author>
      <b:Author>
        <b:NameList>
          <b:Person>
            <b:Last>Innes</b:Last>
            <b:First>Martin</b:First>
          </b:Person>
          <b:Person>
            <b:Last>Roberts</b:Last>
            <b:First>Colin</b:First>
          </b:Person>
          <b:Person>
            <b:Last>Lowe</b:Last>
            <b:First>Trudy</b:First>
          </b:Person>
          <b:Person>
            <b:Last>Innes</b:Last>
            <b:First>Helen</b:First>
          </b:Person>
        </b:NameList>
      </b:Author>
    </b:Author>
    <b:RefOrder>14</b:RefOrder>
  </b:Source>
  <b:Source>
    <b:Tag>Aca04</b:Tag>
    <b:SourceType>JournalArticle</b:SourceType>
    <b:Guid>{3271ABDE-C800-47A2-B8B9-8999C3540735}</b:Guid>
    <b:Title>A case study of a public sector partnership between a borough council and the police in the UK</b:Title>
    <b:Year>2004</b:Year>
    <b:JournalName>Public Management Review</b:JournalName>
    <b:Pages>113-130</b:Pages>
    <b:Volume>6</b:Volume>
    <b:Issue>1</b:Issue>
    <b:Author>
      <b:Author>
        <b:NameList>
          <b:Person>
            <b:Last>Stephens</b:Last>
            <b:First>Mike</b:First>
          </b:Person>
          <b:Person>
            <b:Last>Fowler</b:Last>
            <b:First>Geoff</b:First>
          </b:Person>
        </b:NameList>
      </b:Author>
    </b:Author>
    <b:RefOrder>15</b:RefOrder>
  </b:Source>
  <b:Source>
    <b:Tag>Fre16</b:Tag>
    <b:SourceType>JournalArticle</b:SourceType>
    <b:Guid>{3A71675E-D926-495F-846C-5367E0AF638B}</b:Guid>
    <b:Title>Community partnerships (UK) vs Crime Prevention Councils (GER): Differences and similarities</b:Title>
    <b:JournalName>The Police Journal: Theory, Practice and Principles</b:JournalName>
    <b:Year>2016</b:Year>
    <b:Volume>89</b:Volume>
    <b:Issue>2</b:Issue>
    <b:Author>
      <b:Author>
        <b:NameList>
          <b:Person>
            <b:Last>Frevel</b:Last>
            <b:First>Bernhard</b:First>
          </b:Person>
          <b:Person>
            <b:Last>Rogers</b:Last>
            <b:First>Colin</b:First>
          </b:Person>
        </b:NameList>
      </b:Author>
    </b:Author>
    <b:RefOrder>16</b:RefOrder>
  </b:Source>
  <b:Source>
    <b:Tag>Pyc19</b:Tag>
    <b:SourceType>Book</b:SourceType>
    <b:Guid>{95AD54ED-3E4C-4F6C-BBBC-5AD825910786}</b:Guid>
    <b:Title>Multi-Agency Working in Criminal Justice 2e: Theory, Policy and Practice</b:Title>
    <b:Year>2019</b:Year>
    <b:City>Bristol</b:City>
    <b:Publisher>Bristol University Press</b:Publisher>
    <b:Edition>2</b:Edition>
    <b:Author>
      <b:Author>
        <b:NameList>
          <b:Person>
            <b:Last>Pycroft</b:Last>
            <b:First>Aaron</b:First>
          </b:Person>
          <b:Person>
            <b:Last>Gough</b:Last>
            <b:First>Dennis</b:First>
          </b:Person>
        </b:NameList>
      </b:Author>
    </b:Author>
    <b:RefOrder>17</b:RefOrder>
  </b:Source>
  <b:Source>
    <b:Tag>Wil23</b:Tag>
    <b:SourceType>Book</b:SourceType>
    <b:Guid>{0B94BB99-6626-430C-82FE-73EDFAFBDBD9}</b:Guid>
    <b:Title>Policing Mental Health, Vulnerability and Risk</b:Title>
    <b:Year>2023</b:Year>
    <b:Publisher>Critical Publishing</b:Publisher>
    <b:Author>
      <b:Author>
        <b:NameList>
          <b:Person>
            <b:Last>Williams</b:Last>
            <b:First>Brian</b:First>
          </b:Person>
        </b:NameList>
      </b:Author>
    </b:Author>
    <b:RefOrder>18</b:RefOrder>
  </b:Source>
  <b:Source>
    <b:Tag>Tho19</b:Tag>
    <b:SourceType>JournalArticle</b:SourceType>
    <b:Guid>{81C820F2-8FEB-45DC-9905-5C1ACCEEC3DF}</b:Guid>
    <b:Title>‘It’s a No-Win Scenario, either the Police or the Gang Will Get You’: Young People and Organised Crime – Vulnerable or Criminal?</b:Title>
    <b:Year>2019</b:Year>
    <b:JournalName>Youth Justice</b:JournalName>
    <b:Volume>19</b:Volume>
    <b:Issue>2</b:Issue>
    <b:Author>
      <b:Author>
        <b:NameList>
          <b:Person>
            <b:Last>Thompson</b:Last>
            <b:First>Naomi</b:First>
          </b:Person>
        </b:NameList>
      </b:Author>
    </b:Author>
    <b:RefOrder>19</b:RefOrder>
  </b:Source>
  <b:Source>
    <b:Tag>San09</b:Tag>
    <b:SourceType>JournalArticle</b:SourceType>
    <b:Guid>{A2C399A8-3C73-4DC6-9372-AAA86D9F02DB}</b:Guid>
    <b:Title>Gang Youth as a Vulnerable Population for Nursing Intervention</b:Title>
    <b:JournalName>Public Health Nursing</b:JournalName>
    <b:Year>2009</b:Year>
    <b:Pages>346 - 352</b:Pages>
    <b:Volume>26</b:Volume>
    <b:Issue>4</b:Issue>
    <b:Author>
      <b:Author>
        <b:NameList>
          <b:Person>
            <b:Last>Sanders</b:Last>
            <b:First>Bill</b:First>
          </b:Person>
          <b:Person>
            <b:Last>Schneiderman</b:Last>
            <b:First>Janet</b:First>
          </b:Person>
          <b:Person>
            <b:Last>Loken</b:Last>
            <b:First>Alisha</b:First>
          </b:Person>
          <b:Person>
            <b:Last>Lankenau</b:Last>
            <b:First>Stephen</b:First>
          </b:Person>
          <b:Person>
            <b:Last>Bloom</b:Last>
            <b:First>Jennifer</b:First>
          </b:Person>
        </b:NameList>
      </b:Author>
    </b:Author>
    <b:RefOrder>20</b:RefOrder>
  </b:Source>
  <b:Source>
    <b:Tag>Fin19</b:Tag>
    <b:SourceType>JournalArticle</b:SourceType>
    <b:Guid>{8960169E-4C0A-4528-A163-65AF30C9F887}</b:Guid>
    <b:Title>Slash, Shoot, Kill: Gang Recruitment of Children and the Penalties Gangs Face</b:Title>
    <b:JournalName>Family Court Review</b:JournalName>
    <b:Year>2019</b:Year>
    <b:Pages>243-257</b:Pages>
    <b:Volume>57</b:Volume>
    <b:Issue>2</b:Issue>
    <b:Author>
      <b:Author>
        <b:NameList>
          <b:Person>
            <b:Last>Finelli</b:Last>
            <b:Middle>A.</b:Middle>
            <b:First>Giuseppe</b:First>
          </b:Person>
        </b:NameList>
      </b:Author>
    </b:Author>
    <b:RefOrder>21</b:RefOrder>
  </b:Source>
  <b:Source>
    <b:Tag>Bro13</b:Tag>
    <b:SourceType>JournalArticle</b:SourceType>
    <b:Guid>{06F9B321-55D5-476C-BB2D-A439806C21D4}</b:Guid>
    <b:Title>Gangs and sexual violence and exploitation</b:Title>
    <b:JournalName>Sexually Transmitted Infections</b:JournalName>
    <b:Year>2013</b:Year>
    <b:Volume>89</b:Volume>
    <b:Issue>1</b:Issue>
    <b:Author>
      <b:Author>
        <b:NameList>
          <b:Person>
            <b:Last>Brookings</b:Last>
            <b:First>Claire</b:First>
          </b:Person>
        </b:NameList>
      </b:Author>
    </b:Author>
    <b:RefOrder>22</b:RefOrder>
  </b:Source>
  <b:Source>
    <b:Tag>Hav21</b:Tag>
    <b:SourceType>JournalArticle</b:SourceType>
    <b:Guid>{05903C4A-EF4B-42AD-A706-4785E7F17DC1}</b:Guid>
    <b:Title>Street gangs and coercive control: The gendered exploitation of young women and girls in county lines</b:Title>
    <b:JournalName>Criminology &amp; Criminal Justice</b:JournalName>
    <b:Year>2021</b:Year>
    <b:Volume>23</b:Volume>
    <b:Issue>3</b:Issue>
    <b:Author>
      <b:Author>
        <b:NameList>
          <b:Person>
            <b:Last>Havard</b:Last>
            <b:Middle>Elizabeth</b:Middle>
            <b:First>Tirion</b:First>
          </b:Person>
          <b:Person>
            <b:Last>Densley</b:Last>
            <b:Middle>A.</b:Middle>
            <b:First>James</b:First>
          </b:Person>
          <b:Person>
            <b:Last>Wills</b:Last>
            <b:First>Jane</b:First>
          </b:Person>
        </b:NameList>
      </b:Author>
    </b:Author>
    <b:RefOrder>23</b:RefOrder>
  </b:Source>
  <b:Source>
    <b:Tag>Col231</b:Tag>
    <b:SourceType>InternetSite</b:SourceType>
    <b:Guid>{63F0F0F8-8498-4CE7-8F4A-6B1C37769DA8}</b:Guid>
    <b:Title>Understanding risk and vulnerability in the context of domestic abuse</b:Title>
    <b:Year>2023</b:Year>
    <b:Author>
      <b:Author>
        <b:Corporate>College of Policing</b:Corporate>
      </b:Author>
    </b:Author>
    <b:YearAccessed>2024</b:YearAccessed>
    <b:MonthAccessed>05</b:MonthAccessed>
    <b:DayAccessed>25</b:DayAccessed>
    <b:URL>https://www.college.police.uk/app/major-investigation-and-public-protection/domestic-abuse/understanding-risk-and-vulnerability-context-domestic-abuse</b:URL>
    <b:RefOrder>24</b:RefOrder>
  </b:Source>
  <b:Source>
    <b:Tag>Har201</b:Tag>
    <b:SourceType>Book</b:SourceType>
    <b:Guid>{9F4892D7-B421-4AFB-999D-F0DA11F15BEB}</b:Guid>
    <b:Title>County Lines: Exploitation and Drug Dealing amongst Urban Street Gangs</b:Title>
    <b:Year>2020</b:Year>
    <b:City>Bristol</b:City>
    <b:Publisher>Bristol University Press</b:Publisher>
    <b:Edition>1</b:Edition>
    <b:Author>
      <b:Author>
        <b:NameList>
          <b:Person>
            <b:Last>Harding</b:Last>
            <b:First>Simon</b:First>
          </b:Person>
        </b:NameList>
      </b:Author>
    </b:Author>
    <b:RefOrder>25</b:RefOrder>
  </b:Source>
  <b:Source>
    <b:Tag>Bar18</b:Tag>
    <b:SourceType>JournalArticle</b:SourceType>
    <b:Guid>{A3447183-9A2C-4C7B-8394-A9C7B9F37B44}</b:Guid>
    <b:Title>What doesn’t work to reduce reoffending? A review of reviews of ineffective interventions for adults convicted of crimes.</b:Title>
    <b:Year>2018</b:Year>
    <b:Pages>111-129</b:Pages>
    <b:Volume>23</b:Volume>
    <b:Issue>2</b:Issue>
    <b:Author>
      <b:Author>
        <b:NameList>
          <b:Person>
            <b:Last>Barnett</b:Last>
            <b:Middle>D.</b:Middle>
            <b:First>Georgia</b:First>
          </b:Person>
          <b:Person>
            <b:Last>Howard</b:Last>
            <b:Middle>Fitzalan</b:Middle>
            <b:First>Flora</b:First>
          </b:Person>
        </b:NameList>
      </b:Author>
    </b:Author>
    <b:RefOrder>26</b:RefOrder>
  </b:Source>
  <b:Source>
    <b:Tag>Vil18</b:Tag>
    <b:SourceType>JournalArticle</b:SourceType>
    <b:Guid>{CD4C6620-5E83-4989-BAF8-B91B02C52EA2}</b:Guid>
    <b:Title>Do risk assessment tools help manage and reduce risk of violence and reoffending? A systematic review.</b:Title>
    <b:JournalName>Law and Human Behavior</b:JournalName>
    <b:Year>2018</b:Year>
    <b:Pages>181-214</b:Pages>
    <b:Volume>42</b:Volume>
    <b:Issue>3</b:Issue>
    <b:Author>
      <b:Author>
        <b:NameList>
          <b:Person>
            <b:Last>Viljoen</b:Last>
            <b:Middle>L.</b:Middle>
            <b:First>Jodi</b:First>
          </b:Person>
          <b:Person>
            <b:Last>Cochrane</b:Last>
            <b:Middle>M.</b:Middle>
            <b:First>Dana</b:First>
          </b:Person>
          <b:Person>
            <b:Last>Jonnson</b:Last>
            <b:Middle>R.</b:Middle>
            <b:First>Melissa</b:First>
          </b:Person>
        </b:NameList>
      </b:Author>
    </b:Author>
    <b:RefOrder>27</b:RefOrder>
  </b:Source>
  <b:Source>
    <b:Tag>Col213</b:Tag>
    <b:SourceType>InternetSite</b:SourceType>
    <b:Guid>{191F5A93-2722-4730-9B8F-5A3433734534}</b:Guid>
    <b:Title>Introduction to vulnerability-related risk</b:Title>
    <b:Year>2021</b:Year>
    <b:Author>
      <b:Author>
        <b:Corporate>College of Policing</b:Corporate>
      </b:Author>
    </b:Author>
    <b:YearAccessed>2024</b:YearAccessed>
    <b:MonthAccessed>05</b:MonthAccessed>
    <b:DayAccessed>25</b:DayAccessed>
    <b:URL>https://www.college.police.uk/guidance/vulnerability-related-risks/introduction-vulnerability-related-risk</b:URL>
    <b:RefOrder>28</b:RefOrder>
  </b:Source>
  <b:Source>
    <b:Tag>Wil22</b:Tag>
    <b:SourceType>JournalArticle</b:SourceType>
    <b:Guid>{5F341C7E-7991-442E-868A-463A8420D985}</b:Guid>
    <b:Title>Can Electronic Monitoring Reduce Reoffending?</b:Title>
    <b:Year>2022</b:Year>
    <b:JournalName>Review of Economics &amp; Statistics</b:JournalName>
    <b:Pages>232-245</b:Pages>
    <b:Volume>104</b:Volume>
    <b:Issue>2</b:Issue>
    <b:Author>
      <b:Author>
        <b:NameList>
          <b:Person>
            <b:Last>Williams</b:Last>
            <b:First>Jenny</b:First>
          </b:Person>
          <b:Person>
            <b:Last>Weatherburn</b:Last>
            <b:First>Don</b:First>
          </b:Person>
        </b:NameList>
      </b:Author>
    </b:Author>
    <b:RefOrder>29</b:RefOrder>
  </b:Source>
  <b:Source>
    <b:Tag>Van14</b:Tag>
    <b:SourceType>JournalArticle</b:SourceType>
    <b:Guid>{70BE4A25-41CA-4339-BB34-69B366B81134}</b:Guid>
    <b:Title>Between convict and ward: the experiences of people living with offenders subject to electronic monitoring</b:Title>
    <b:JournalName>Crime, Law and Social Change</b:JournalName>
    <b:Year>2014</b:Year>
    <b:Pages>389-415</b:Pages>
    <b:Volume>62</b:Volume>
    <b:Issue>4</b:Issue>
    <b:Author>
      <b:Author>
        <b:NameList>
          <b:Person>
            <b:Last>Vanhaelemeesch</b:Last>
            <b:First>Delphine</b:First>
          </b:Person>
          <b:Person>
            <b:Last>Beken</b:Last>
            <b:Middle>Vander</b:Middle>
            <b:First>Tom</b:First>
          </b:Person>
        </b:NameList>
      </b:Author>
    </b:Author>
    <b:RefOrder>30</b:RefOrder>
  </b:Source>
  <b:Source>
    <b:Tag>Con16</b:Tag>
    <b:SourceType>JournalArticle</b:SourceType>
    <b:Guid>{C6828A58-733E-40F8-BB01-A2798C5FD9F2}</b:Guid>
    <b:Title>Forensic occupational therapy to reduce risk of reoffending: a survey of practice in the United Kingdom</b:Title>
    <b:JournalName>The journal of forensic psychiatry &amp; psychology</b:JournalName>
    <b:Year>2016</b:Year>
    <b:Pages>907-928</b:Pages>
    <b:Volume>27</b:Volume>
    <b:Issue>6</b:Issue>
    <b:Author>
      <b:Author>
        <b:NameList>
          <b:Person>
            <b:Last>Connell</b:Last>
            <b:First>Catriona</b:First>
          </b:Person>
        </b:NameList>
      </b:Author>
    </b:Author>
    <b:RefOrder>31</b:RefOrder>
  </b:Source>
  <b:Source>
    <b:Tag>Smi18</b:Tag>
    <b:SourceType>JournalArticle</b:SourceType>
    <b:Guid>{13E3ABFB-A2D7-4EAE-8C80-0329FC97A9D2}</b:Guid>
    <b:Title>The effectiveness of probation supervision towards reducing reoffending: A Rapid Evidence Assessment</b:Title>
    <b:JournalName>Probation Journal</b:JournalName>
    <b:Year>2018</b:Year>
    <b:Volume>65</b:Volume>
    <b:Issue>4</b:Issue>
    <b:Author>
      <b:Author>
        <b:NameList>
          <b:Person>
            <b:Last>Smith</b:Last>
            <b:First>Andrew</b:First>
          </b:Person>
          <b:Person>
            <b:Last>Heyes</b:Last>
            <b:First>Kim</b:First>
          </b:Person>
          <b:Person>
            <b:Last>Bradbury</b:Last>
            <b:First>Andrew</b:First>
          </b:Person>
        </b:NameList>
      </b:Author>
    </b:Author>
    <b:RefOrder>32</b:RefOrder>
  </b:Source>
  <b:Source>
    <b:Tag>Raw12</b:Tag>
    <b:SourceType>JournalArticle</b:SourceType>
    <b:Guid>{BEF0C484-5C17-4F84-B782-5BD9BC06617A}</b:Guid>
    <b:Title>Accommodation, Homelessness and Reoffending of Prisoners</b:Title>
    <b:JournalName>Probation Journal</b:JournalName>
    <b:Year>2012</b:Year>
    <b:Volume>59</b:Volume>
    <b:Issue>3</b:Issue>
    <b:Author>
      <b:Author>
        <b:NameList>
          <b:Person>
            <b:Last>Rawlinson</b:Last>
            <b:First>Laura</b:First>
          </b:Person>
        </b:NameList>
      </b:Author>
    </b:Author>
    <b:RefOrder>33</b:RefOrder>
  </b:Source>
  <b:Source>
    <b:Tag>Min13</b:Tag>
    <b:SourceType>DocumentFromInternetSite</b:SourceType>
    <b:Guid>{3CC693AD-CDE3-4389-B960-E8FC9E636BA3}</b:Guid>
    <b:Title>Transforming Rehabilitation: A Summary of Evidence on reducing reoffending.</b:Title>
    <b:Year>2013</b:Year>
    <b:YearAccessed>2024</b:YearAccessed>
    <b:MonthAccessed>05</b:MonthAccessed>
    <b:DayAccessed>25</b:DayAccessed>
    <b:URL>https://assets.publishing.service.gov.uk/media/5a7565a8e5274a1baf95e408/evidence-reduce-reoffending.pdf</b:URL>
    <b:Author>
      <b:Author>
        <b:Corporate>Minister of Justice</b:Corporate>
      </b:Author>
    </b:Author>
    <b:RefOrder>34</b:RefOrder>
  </b:Source>
  <b:Source>
    <b:Tag>Jug23</b:Tag>
    <b:SourceType>JournalArticle</b:SourceType>
    <b:Guid>{7B1C4380-2906-404A-B4A0-67AC52FFEC4F}</b:Guid>
    <b:Title>Do Sports Programs Prevent Crime and Reduce Reoffending? A Systematic Review and Meta-Analysis on the Effectiveness of Sports Programs</b:Title>
    <b:Year>2023</b:Year>
    <b:JournalName>Journal of Quantitative Criminology</b:JournalName>
    <b:Pages>333-384</b:Pages>
    <b:Volume>39</b:Volume>
    <b:Author>
      <b:Author>
        <b:NameList>
          <b:Person>
            <b:Last>Jugl</b:Last>
            <b:First>Irina</b:First>
          </b:Person>
          <b:Person>
            <b:Last>Bender</b:Last>
            <b:First>Doris</b:First>
          </b:Person>
          <b:Person>
            <b:Last>Losel</b:Last>
            <b:First>Friedrich</b:First>
          </b:Person>
        </b:NameList>
      </b:Author>
    </b:Author>
    <b:RefOrder>35</b:RefOrder>
  </b:Source>
</b:Sources>
</file>

<file path=customXml/itemProps1.xml><?xml version="1.0" encoding="utf-8"?>
<ds:datastoreItem xmlns:ds="http://schemas.openxmlformats.org/officeDocument/2006/customXml" ds:itemID="{6215E8F7-6480-4539-A97E-3F591B4E4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22</Pages>
  <Words>4723</Words>
  <Characters>26923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Holmes</dc:creator>
  <cp:keywords/>
  <dc:description/>
  <cp:lastModifiedBy>Sean Holmes</cp:lastModifiedBy>
  <cp:revision>148</cp:revision>
  <dcterms:created xsi:type="dcterms:W3CDTF">2024-05-24T16:46:00Z</dcterms:created>
  <dcterms:modified xsi:type="dcterms:W3CDTF">2024-05-25T21:33:00Z</dcterms:modified>
</cp:coreProperties>
</file>