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FAAEC" w14:textId="77777777" w:rsidR="00D33C9F" w:rsidRDefault="00D33C9F" w:rsidP="008F691E">
      <w:pPr>
        <w:jc w:val="center"/>
        <w:rPr>
          <w:rFonts w:ascii="Times New Roman" w:hAnsi="Times New Roman" w:cs="Times New Roman"/>
          <w:sz w:val="40"/>
          <w:szCs w:val="40"/>
          <w:lang w:val="en-US"/>
        </w:rPr>
      </w:pPr>
    </w:p>
    <w:p w14:paraId="2E04C3E4" w14:textId="77777777" w:rsidR="00FD7C6A" w:rsidRDefault="008F691E" w:rsidP="0032416C">
      <w:pPr>
        <w:spacing w:line="360" w:lineRule="auto"/>
        <w:jc w:val="center"/>
        <w:rPr>
          <w:rFonts w:ascii="Times New Roman" w:hAnsi="Times New Roman" w:cs="Times New Roman"/>
          <w:sz w:val="40"/>
          <w:szCs w:val="40"/>
          <w:lang w:val="en-US"/>
        </w:rPr>
      </w:pPr>
      <w:r w:rsidRPr="008F691E">
        <w:rPr>
          <w:rFonts w:ascii="Times New Roman" w:hAnsi="Times New Roman" w:cs="Times New Roman"/>
          <w:sz w:val="40"/>
          <w:szCs w:val="40"/>
          <w:lang w:val="en-US"/>
        </w:rPr>
        <w:t xml:space="preserve">Analytical Assessment of </w:t>
      </w:r>
    </w:p>
    <w:p w14:paraId="7C525DB6" w14:textId="6350CE3C" w:rsidR="008F691E" w:rsidRPr="008F691E" w:rsidRDefault="008F691E" w:rsidP="0032416C">
      <w:pPr>
        <w:spacing w:line="360" w:lineRule="auto"/>
        <w:jc w:val="center"/>
        <w:rPr>
          <w:rFonts w:ascii="Times New Roman" w:hAnsi="Times New Roman" w:cs="Times New Roman"/>
          <w:sz w:val="40"/>
          <w:szCs w:val="40"/>
          <w:lang w:val="en-US"/>
        </w:rPr>
      </w:pPr>
      <w:r w:rsidRPr="008F691E">
        <w:rPr>
          <w:rFonts w:ascii="Times New Roman" w:hAnsi="Times New Roman" w:cs="Times New Roman"/>
          <w:sz w:val="40"/>
          <w:szCs w:val="40"/>
          <w:lang w:val="en-US"/>
        </w:rPr>
        <w:t>Engine Internal Components</w:t>
      </w:r>
    </w:p>
    <w:p w14:paraId="7EE1F8FD" w14:textId="77777777" w:rsidR="008F691E" w:rsidRPr="008F691E" w:rsidRDefault="008F691E" w:rsidP="0032416C">
      <w:pPr>
        <w:spacing w:line="360" w:lineRule="auto"/>
        <w:jc w:val="center"/>
        <w:rPr>
          <w:rFonts w:ascii="Times New Roman" w:hAnsi="Times New Roman" w:cs="Times New Roman"/>
          <w:lang w:val="en-US"/>
        </w:rPr>
      </w:pPr>
    </w:p>
    <w:p w14:paraId="3E19F513" w14:textId="77777777"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University of Wales Trinity St David</w:t>
      </w:r>
    </w:p>
    <w:p w14:paraId="04DBBACA" w14:textId="77777777"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School of Engineering</w:t>
      </w:r>
    </w:p>
    <w:p w14:paraId="7C998589" w14:textId="77777777" w:rsidR="008F691E" w:rsidRPr="008F691E" w:rsidRDefault="008F691E" w:rsidP="0032416C">
      <w:pPr>
        <w:spacing w:line="360" w:lineRule="auto"/>
        <w:jc w:val="center"/>
        <w:rPr>
          <w:rFonts w:ascii="Times New Roman" w:hAnsi="Times New Roman" w:cs="Times New Roman"/>
          <w:lang w:val="en-US"/>
        </w:rPr>
      </w:pPr>
    </w:p>
    <w:p w14:paraId="28A4D4C7" w14:textId="6166ABBC" w:rsidR="008F691E" w:rsidRPr="008F691E" w:rsidRDefault="008F691E" w:rsidP="0032416C">
      <w:pPr>
        <w:spacing w:line="360" w:lineRule="auto"/>
        <w:jc w:val="center"/>
        <w:rPr>
          <w:rFonts w:ascii="Times New Roman" w:hAnsi="Times New Roman" w:cs="Times New Roman"/>
          <w:lang w:val="en-US"/>
        </w:rPr>
      </w:pPr>
      <w:r w:rsidRPr="008F691E">
        <w:rPr>
          <w:rFonts w:ascii="Times New Roman" w:hAnsi="Times New Roman" w:cs="Times New Roman"/>
          <w:noProof/>
          <w:lang w:val="en-US"/>
        </w:rPr>
        <w:drawing>
          <wp:inline distT="0" distB="0" distL="0" distR="0" wp14:anchorId="2C48B4F1" wp14:editId="7BA4EF77">
            <wp:extent cx="3352800" cy="1495425"/>
            <wp:effectExtent l="0" t="0" r="0" b="9525"/>
            <wp:docPr id="805656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382075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2800" cy="1495425"/>
                    </a:xfrm>
                    <a:prstGeom prst="rect">
                      <a:avLst/>
                    </a:prstGeom>
                    <a:noFill/>
                    <a:ln>
                      <a:noFill/>
                    </a:ln>
                  </pic:spPr>
                </pic:pic>
              </a:graphicData>
            </a:graphic>
          </wp:inline>
        </w:drawing>
      </w:r>
    </w:p>
    <w:p w14:paraId="5683A172" w14:textId="77777777" w:rsidR="008F691E" w:rsidRPr="008F691E" w:rsidRDefault="008F691E" w:rsidP="0032416C">
      <w:pPr>
        <w:spacing w:line="360" w:lineRule="auto"/>
        <w:jc w:val="center"/>
        <w:rPr>
          <w:rFonts w:ascii="Times New Roman" w:hAnsi="Times New Roman" w:cs="Times New Roman"/>
          <w:lang w:val="en-US"/>
        </w:rPr>
      </w:pPr>
    </w:p>
    <w:p w14:paraId="12D57360" w14:textId="77777777" w:rsidR="008F691E" w:rsidRPr="008F691E" w:rsidRDefault="008F691E" w:rsidP="0032416C">
      <w:pPr>
        <w:spacing w:line="360" w:lineRule="auto"/>
        <w:jc w:val="center"/>
        <w:rPr>
          <w:rFonts w:ascii="Times New Roman" w:hAnsi="Times New Roman" w:cs="Times New Roman"/>
          <w:lang w:val="en-US"/>
        </w:rPr>
      </w:pPr>
    </w:p>
    <w:p w14:paraId="21B7DF00" w14:textId="77777777" w:rsidR="008F691E" w:rsidRPr="008F691E" w:rsidRDefault="008F691E" w:rsidP="0032416C">
      <w:pPr>
        <w:spacing w:line="360" w:lineRule="auto"/>
        <w:jc w:val="center"/>
        <w:rPr>
          <w:rFonts w:ascii="Times New Roman" w:hAnsi="Times New Roman" w:cs="Times New Roman"/>
          <w:lang w:val="en-US"/>
        </w:rPr>
      </w:pPr>
    </w:p>
    <w:p w14:paraId="25F2D486" w14:textId="77777777"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Efa Glyn Jones</w:t>
      </w:r>
    </w:p>
    <w:p w14:paraId="6FCFE421" w14:textId="77777777"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2306114</w:t>
      </w:r>
    </w:p>
    <w:p w14:paraId="156FC2D2" w14:textId="77777777"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BEng Motorsport Engineering</w:t>
      </w:r>
    </w:p>
    <w:p w14:paraId="7B91BD70" w14:textId="4F5BDB00" w:rsidR="008F691E" w:rsidRP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22/03/2026</w:t>
      </w:r>
    </w:p>
    <w:p w14:paraId="211D7903" w14:textId="08537CA9" w:rsidR="008F691E" w:rsidRPr="008F691E" w:rsidRDefault="008F691E" w:rsidP="0032416C">
      <w:pPr>
        <w:spacing w:line="360" w:lineRule="auto"/>
        <w:jc w:val="center"/>
        <w:rPr>
          <w:rFonts w:ascii="Times New Roman" w:hAnsi="Times New Roman" w:cs="Times New Roman"/>
          <w:sz w:val="22"/>
          <w:szCs w:val="22"/>
          <w:lang w:val="en-US"/>
        </w:rPr>
      </w:pPr>
      <w:r w:rsidRPr="00EE03C2">
        <w:rPr>
          <w:rFonts w:ascii="Times New Roman" w:hAnsi="Times New Roman" w:cs="Times New Roman"/>
          <w:sz w:val="22"/>
          <w:szCs w:val="22"/>
          <w:lang w:val="en-US"/>
        </w:rPr>
        <w:t>Contemporary Powertrain</w:t>
      </w:r>
    </w:p>
    <w:p w14:paraId="02B81D5E" w14:textId="6B1E6284" w:rsidR="008F691E" w:rsidRDefault="008F691E" w:rsidP="0032416C">
      <w:pPr>
        <w:spacing w:line="360" w:lineRule="auto"/>
        <w:jc w:val="center"/>
        <w:rPr>
          <w:rFonts w:ascii="Times New Roman" w:hAnsi="Times New Roman" w:cs="Times New Roman"/>
          <w:sz w:val="22"/>
          <w:szCs w:val="22"/>
          <w:lang w:val="en-US"/>
        </w:rPr>
      </w:pPr>
      <w:r w:rsidRPr="008F691E">
        <w:rPr>
          <w:rFonts w:ascii="Times New Roman" w:hAnsi="Times New Roman" w:cs="Times New Roman"/>
          <w:sz w:val="22"/>
          <w:szCs w:val="22"/>
          <w:lang w:val="en-US"/>
        </w:rPr>
        <w:t>ACHA6006</w:t>
      </w:r>
    </w:p>
    <w:p w14:paraId="0F030024" w14:textId="74725C79" w:rsidR="000B72C8" w:rsidRPr="008F691E" w:rsidRDefault="000B72C8" w:rsidP="0032416C">
      <w:pPr>
        <w:spacing w:line="360" w:lineRule="auto"/>
        <w:jc w:val="center"/>
        <w:rPr>
          <w:rFonts w:ascii="Times New Roman" w:hAnsi="Times New Roman" w:cs="Times New Roman"/>
          <w:sz w:val="22"/>
          <w:szCs w:val="22"/>
          <w:lang w:val="en-US"/>
        </w:rPr>
      </w:pPr>
      <w:r>
        <w:rPr>
          <w:rFonts w:ascii="Times New Roman" w:hAnsi="Times New Roman" w:cs="Times New Roman"/>
          <w:sz w:val="22"/>
          <w:szCs w:val="22"/>
          <w:lang w:val="en-US"/>
        </w:rPr>
        <w:t xml:space="preserve">Word Count - </w:t>
      </w:r>
      <w:r w:rsidR="00E56989">
        <w:rPr>
          <w:rFonts w:ascii="Times New Roman" w:hAnsi="Times New Roman" w:cs="Times New Roman"/>
          <w:sz w:val="22"/>
          <w:szCs w:val="22"/>
          <w:lang w:val="en-US"/>
        </w:rPr>
        <w:t>2</w:t>
      </w:r>
      <w:r w:rsidR="00595A74">
        <w:rPr>
          <w:rFonts w:ascii="Times New Roman" w:hAnsi="Times New Roman" w:cs="Times New Roman"/>
          <w:sz w:val="22"/>
          <w:szCs w:val="22"/>
          <w:lang w:val="en-US"/>
        </w:rPr>
        <w:t>315</w:t>
      </w:r>
    </w:p>
    <w:p w14:paraId="236843D9" w14:textId="77777777" w:rsidR="00BC64E9" w:rsidRDefault="00BC64E9" w:rsidP="0032416C">
      <w:pPr>
        <w:spacing w:line="360" w:lineRule="auto"/>
      </w:pPr>
    </w:p>
    <w:p w14:paraId="664FAA51" w14:textId="77777777" w:rsidR="008F691E" w:rsidRDefault="008F691E" w:rsidP="0032416C">
      <w:pPr>
        <w:spacing w:line="360" w:lineRule="auto"/>
      </w:pPr>
    </w:p>
    <w:p w14:paraId="0DD94BF0" w14:textId="0B27105C" w:rsidR="008F691E" w:rsidRPr="0032416C" w:rsidRDefault="008F691E" w:rsidP="0032416C">
      <w:pPr>
        <w:pStyle w:val="Heading1"/>
        <w:rPr>
          <w:rFonts w:ascii="Times New Roman" w:hAnsi="Times New Roman" w:cs="Times New Roman"/>
          <w:color w:val="auto"/>
        </w:rPr>
      </w:pPr>
      <w:r w:rsidRPr="0032416C">
        <w:rPr>
          <w:rFonts w:ascii="Times New Roman" w:hAnsi="Times New Roman" w:cs="Times New Roman"/>
          <w:color w:val="auto"/>
        </w:rPr>
        <w:lastRenderedPageBreak/>
        <w:t>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73"/>
        <w:gridCol w:w="295"/>
      </w:tblGrid>
      <w:tr w:rsidR="0061452D" w:rsidRPr="0061452D" w14:paraId="0840628B" w14:textId="77777777">
        <w:trPr>
          <w:tblCellSpacing w:w="15" w:type="dxa"/>
        </w:trPr>
        <w:tc>
          <w:tcPr>
            <w:tcW w:w="0" w:type="auto"/>
            <w:vAlign w:val="center"/>
            <w:hideMark/>
          </w:tcPr>
          <w:p w14:paraId="7B987165"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1. Introduction</w:t>
            </w:r>
          </w:p>
        </w:tc>
        <w:tc>
          <w:tcPr>
            <w:tcW w:w="0" w:type="auto"/>
            <w:vAlign w:val="center"/>
            <w:hideMark/>
          </w:tcPr>
          <w:p w14:paraId="22433B23"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3</w:t>
            </w:r>
          </w:p>
        </w:tc>
      </w:tr>
      <w:tr w:rsidR="0061452D" w:rsidRPr="0061452D" w14:paraId="6E1E0D34" w14:textId="77777777">
        <w:trPr>
          <w:tblCellSpacing w:w="15" w:type="dxa"/>
        </w:trPr>
        <w:tc>
          <w:tcPr>
            <w:tcW w:w="0" w:type="auto"/>
            <w:vAlign w:val="center"/>
            <w:hideMark/>
          </w:tcPr>
          <w:p w14:paraId="29112425"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2. Connecting Rod Force Analysis</w:t>
            </w:r>
          </w:p>
        </w:tc>
        <w:tc>
          <w:tcPr>
            <w:tcW w:w="0" w:type="auto"/>
            <w:vAlign w:val="center"/>
            <w:hideMark/>
          </w:tcPr>
          <w:p w14:paraId="11A47B62"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4</w:t>
            </w:r>
          </w:p>
        </w:tc>
      </w:tr>
      <w:tr w:rsidR="0061452D" w:rsidRPr="0061452D" w14:paraId="7B01B8AE" w14:textId="77777777">
        <w:trPr>
          <w:tblCellSpacing w:w="15" w:type="dxa"/>
        </w:trPr>
        <w:tc>
          <w:tcPr>
            <w:tcW w:w="0" w:type="auto"/>
            <w:vAlign w:val="center"/>
            <w:hideMark/>
          </w:tcPr>
          <w:p w14:paraId="11ED8359"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2.1 Parameter Table</w:t>
            </w:r>
          </w:p>
        </w:tc>
        <w:tc>
          <w:tcPr>
            <w:tcW w:w="0" w:type="auto"/>
            <w:vAlign w:val="center"/>
            <w:hideMark/>
          </w:tcPr>
          <w:p w14:paraId="5FD49FC2"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4</w:t>
            </w:r>
          </w:p>
        </w:tc>
      </w:tr>
      <w:tr w:rsidR="0061452D" w:rsidRPr="0061452D" w14:paraId="7635F965" w14:textId="77777777">
        <w:trPr>
          <w:tblCellSpacing w:w="15" w:type="dxa"/>
        </w:trPr>
        <w:tc>
          <w:tcPr>
            <w:tcW w:w="0" w:type="auto"/>
            <w:vAlign w:val="center"/>
            <w:hideMark/>
          </w:tcPr>
          <w:p w14:paraId="0C16D7EF"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2.2 Analysis</w:t>
            </w:r>
          </w:p>
        </w:tc>
        <w:tc>
          <w:tcPr>
            <w:tcW w:w="0" w:type="auto"/>
            <w:vAlign w:val="center"/>
            <w:hideMark/>
          </w:tcPr>
          <w:p w14:paraId="6366B4E1"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4</w:t>
            </w:r>
          </w:p>
        </w:tc>
      </w:tr>
      <w:tr w:rsidR="0061452D" w:rsidRPr="0061452D" w14:paraId="4E4981B4" w14:textId="77777777">
        <w:trPr>
          <w:tblCellSpacing w:w="15" w:type="dxa"/>
        </w:trPr>
        <w:tc>
          <w:tcPr>
            <w:tcW w:w="0" w:type="auto"/>
            <w:vAlign w:val="center"/>
            <w:hideMark/>
          </w:tcPr>
          <w:p w14:paraId="0FAD99D8"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3. Connecting Rod Bolt Stress Analysis</w:t>
            </w:r>
          </w:p>
        </w:tc>
        <w:tc>
          <w:tcPr>
            <w:tcW w:w="0" w:type="auto"/>
            <w:vAlign w:val="center"/>
            <w:hideMark/>
          </w:tcPr>
          <w:p w14:paraId="11F3BA94"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w:t>
            </w:r>
          </w:p>
        </w:tc>
      </w:tr>
      <w:tr w:rsidR="0061452D" w:rsidRPr="0061452D" w14:paraId="20476319" w14:textId="77777777">
        <w:trPr>
          <w:tblCellSpacing w:w="15" w:type="dxa"/>
        </w:trPr>
        <w:tc>
          <w:tcPr>
            <w:tcW w:w="0" w:type="auto"/>
            <w:vAlign w:val="center"/>
            <w:hideMark/>
          </w:tcPr>
          <w:p w14:paraId="7501AA3C"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3.1 Bolt Parameters</w:t>
            </w:r>
          </w:p>
        </w:tc>
        <w:tc>
          <w:tcPr>
            <w:tcW w:w="0" w:type="auto"/>
            <w:vAlign w:val="center"/>
            <w:hideMark/>
          </w:tcPr>
          <w:p w14:paraId="5BECA373"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w:t>
            </w:r>
          </w:p>
        </w:tc>
      </w:tr>
      <w:tr w:rsidR="0061452D" w:rsidRPr="0061452D" w14:paraId="17152798" w14:textId="77777777">
        <w:trPr>
          <w:tblCellSpacing w:w="15" w:type="dxa"/>
        </w:trPr>
        <w:tc>
          <w:tcPr>
            <w:tcW w:w="0" w:type="auto"/>
            <w:vAlign w:val="center"/>
            <w:hideMark/>
          </w:tcPr>
          <w:p w14:paraId="6DB17445"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3.2 Connecting Rod Bolt Analysis</w:t>
            </w:r>
          </w:p>
        </w:tc>
        <w:tc>
          <w:tcPr>
            <w:tcW w:w="0" w:type="auto"/>
            <w:vAlign w:val="center"/>
            <w:hideMark/>
          </w:tcPr>
          <w:p w14:paraId="4BC67221"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w:t>
            </w:r>
          </w:p>
        </w:tc>
      </w:tr>
      <w:tr w:rsidR="0061452D" w:rsidRPr="0061452D" w14:paraId="36BD6237" w14:textId="77777777">
        <w:trPr>
          <w:tblCellSpacing w:w="15" w:type="dxa"/>
        </w:trPr>
        <w:tc>
          <w:tcPr>
            <w:tcW w:w="0" w:type="auto"/>
            <w:vAlign w:val="center"/>
            <w:hideMark/>
          </w:tcPr>
          <w:p w14:paraId="219CB043"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4. Bolt Design Improvement</w:t>
            </w:r>
          </w:p>
        </w:tc>
        <w:tc>
          <w:tcPr>
            <w:tcW w:w="0" w:type="auto"/>
            <w:vAlign w:val="center"/>
            <w:hideMark/>
          </w:tcPr>
          <w:p w14:paraId="1322BD1B"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9</w:t>
            </w:r>
          </w:p>
        </w:tc>
      </w:tr>
      <w:tr w:rsidR="0061452D" w:rsidRPr="0061452D" w14:paraId="365EEC9A" w14:textId="77777777">
        <w:trPr>
          <w:tblCellSpacing w:w="15" w:type="dxa"/>
        </w:trPr>
        <w:tc>
          <w:tcPr>
            <w:tcW w:w="0" w:type="auto"/>
            <w:vAlign w:val="center"/>
            <w:hideMark/>
          </w:tcPr>
          <w:p w14:paraId="1A6DB4AB"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 xml:space="preserve">4.1 </w:t>
            </w:r>
            <w:proofErr w:type="spellStart"/>
            <w:r w:rsidRPr="0061452D">
              <w:rPr>
                <w:rFonts w:ascii="Times New Roman" w:hAnsi="Times New Roman" w:cs="Times New Roman"/>
                <w:color w:val="auto"/>
                <w:sz w:val="22"/>
                <w:szCs w:val="22"/>
              </w:rPr>
              <w:t>Duratec</w:t>
            </w:r>
            <w:proofErr w:type="spellEnd"/>
            <w:r w:rsidRPr="0061452D">
              <w:rPr>
                <w:rFonts w:ascii="Times New Roman" w:hAnsi="Times New Roman" w:cs="Times New Roman"/>
                <w:color w:val="auto"/>
                <w:sz w:val="22"/>
                <w:szCs w:val="22"/>
              </w:rPr>
              <w:t xml:space="preserve"> Bolt Parameters</w:t>
            </w:r>
          </w:p>
        </w:tc>
        <w:tc>
          <w:tcPr>
            <w:tcW w:w="0" w:type="auto"/>
            <w:vAlign w:val="center"/>
            <w:hideMark/>
          </w:tcPr>
          <w:p w14:paraId="7DB8D20B"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9</w:t>
            </w:r>
          </w:p>
        </w:tc>
      </w:tr>
      <w:tr w:rsidR="0061452D" w:rsidRPr="0061452D" w14:paraId="3FB024E8" w14:textId="77777777">
        <w:trPr>
          <w:tblCellSpacing w:w="15" w:type="dxa"/>
        </w:trPr>
        <w:tc>
          <w:tcPr>
            <w:tcW w:w="0" w:type="auto"/>
            <w:vAlign w:val="center"/>
            <w:hideMark/>
          </w:tcPr>
          <w:p w14:paraId="72A7AC7B"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4.2 Bolt Design Improvement Analysis</w:t>
            </w:r>
          </w:p>
        </w:tc>
        <w:tc>
          <w:tcPr>
            <w:tcW w:w="0" w:type="auto"/>
            <w:vAlign w:val="center"/>
            <w:hideMark/>
          </w:tcPr>
          <w:p w14:paraId="2590D10A"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9</w:t>
            </w:r>
          </w:p>
        </w:tc>
      </w:tr>
      <w:tr w:rsidR="0061452D" w:rsidRPr="0061452D" w14:paraId="47DBC920" w14:textId="77777777">
        <w:trPr>
          <w:tblCellSpacing w:w="15" w:type="dxa"/>
        </w:trPr>
        <w:tc>
          <w:tcPr>
            <w:tcW w:w="0" w:type="auto"/>
            <w:vAlign w:val="center"/>
            <w:hideMark/>
          </w:tcPr>
          <w:p w14:paraId="63849B91"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5. Crankshaft Torque Investigation</w:t>
            </w:r>
          </w:p>
        </w:tc>
        <w:tc>
          <w:tcPr>
            <w:tcW w:w="0" w:type="auto"/>
            <w:vAlign w:val="center"/>
            <w:hideMark/>
          </w:tcPr>
          <w:p w14:paraId="7150E7DC"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10</w:t>
            </w:r>
          </w:p>
        </w:tc>
      </w:tr>
      <w:tr w:rsidR="0061452D" w:rsidRPr="0061452D" w14:paraId="41D8F4DE" w14:textId="77777777">
        <w:trPr>
          <w:tblCellSpacing w:w="15" w:type="dxa"/>
        </w:trPr>
        <w:tc>
          <w:tcPr>
            <w:tcW w:w="0" w:type="auto"/>
            <w:vAlign w:val="center"/>
            <w:hideMark/>
          </w:tcPr>
          <w:p w14:paraId="55BFA12C"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6. Results Evaluation</w:t>
            </w:r>
          </w:p>
        </w:tc>
        <w:tc>
          <w:tcPr>
            <w:tcW w:w="0" w:type="auto"/>
            <w:vAlign w:val="center"/>
            <w:hideMark/>
          </w:tcPr>
          <w:p w14:paraId="3396F8F1"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14</w:t>
            </w:r>
          </w:p>
        </w:tc>
      </w:tr>
      <w:tr w:rsidR="0061452D" w:rsidRPr="0061452D" w14:paraId="0355C0C7" w14:textId="77777777">
        <w:trPr>
          <w:tblCellSpacing w:w="15" w:type="dxa"/>
        </w:trPr>
        <w:tc>
          <w:tcPr>
            <w:tcW w:w="0" w:type="auto"/>
            <w:vAlign w:val="center"/>
            <w:hideMark/>
          </w:tcPr>
          <w:p w14:paraId="3B36AEC8"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6.1 Connecting Rod Force Analysis Evaluation</w:t>
            </w:r>
          </w:p>
        </w:tc>
        <w:tc>
          <w:tcPr>
            <w:tcW w:w="0" w:type="auto"/>
            <w:vAlign w:val="center"/>
            <w:hideMark/>
          </w:tcPr>
          <w:p w14:paraId="3BDC0918"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14</w:t>
            </w:r>
          </w:p>
        </w:tc>
      </w:tr>
      <w:tr w:rsidR="0061452D" w:rsidRPr="0061452D" w14:paraId="72C91255" w14:textId="77777777">
        <w:trPr>
          <w:tblCellSpacing w:w="15" w:type="dxa"/>
        </w:trPr>
        <w:tc>
          <w:tcPr>
            <w:tcW w:w="0" w:type="auto"/>
            <w:vAlign w:val="center"/>
            <w:hideMark/>
          </w:tcPr>
          <w:p w14:paraId="0BD14AB8"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6.2 Connecting Rod Bolt Analysis Evaluation</w:t>
            </w:r>
          </w:p>
        </w:tc>
        <w:tc>
          <w:tcPr>
            <w:tcW w:w="0" w:type="auto"/>
            <w:vAlign w:val="center"/>
            <w:hideMark/>
          </w:tcPr>
          <w:p w14:paraId="772C1FB3"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14</w:t>
            </w:r>
          </w:p>
        </w:tc>
      </w:tr>
      <w:tr w:rsidR="0061452D" w:rsidRPr="0061452D" w14:paraId="06E2C1F9" w14:textId="77777777">
        <w:trPr>
          <w:tblCellSpacing w:w="15" w:type="dxa"/>
        </w:trPr>
        <w:tc>
          <w:tcPr>
            <w:tcW w:w="0" w:type="auto"/>
            <w:vAlign w:val="center"/>
            <w:hideMark/>
          </w:tcPr>
          <w:p w14:paraId="26D12DE8"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6.3 Crankshaft Torque Investigation Evaluation</w:t>
            </w:r>
          </w:p>
        </w:tc>
        <w:tc>
          <w:tcPr>
            <w:tcW w:w="0" w:type="auto"/>
            <w:vAlign w:val="center"/>
            <w:hideMark/>
          </w:tcPr>
          <w:p w14:paraId="41DAEDD4"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14</w:t>
            </w:r>
          </w:p>
        </w:tc>
      </w:tr>
      <w:tr w:rsidR="0061452D" w:rsidRPr="0061452D" w14:paraId="22FD3641" w14:textId="77777777">
        <w:trPr>
          <w:tblCellSpacing w:w="15" w:type="dxa"/>
        </w:trPr>
        <w:tc>
          <w:tcPr>
            <w:tcW w:w="0" w:type="auto"/>
            <w:vAlign w:val="center"/>
            <w:hideMark/>
          </w:tcPr>
          <w:p w14:paraId="44382CC6"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7. Conclusion</w:t>
            </w:r>
          </w:p>
        </w:tc>
        <w:tc>
          <w:tcPr>
            <w:tcW w:w="0" w:type="auto"/>
            <w:vAlign w:val="center"/>
            <w:hideMark/>
          </w:tcPr>
          <w:p w14:paraId="3A1A6E10"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15</w:t>
            </w:r>
          </w:p>
        </w:tc>
      </w:tr>
      <w:tr w:rsidR="0061452D" w:rsidRPr="0061452D" w14:paraId="7E11417B" w14:textId="77777777">
        <w:trPr>
          <w:tblCellSpacing w:w="15" w:type="dxa"/>
        </w:trPr>
        <w:tc>
          <w:tcPr>
            <w:tcW w:w="0" w:type="auto"/>
            <w:vAlign w:val="center"/>
            <w:hideMark/>
          </w:tcPr>
          <w:p w14:paraId="6717184E"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b/>
                <w:bCs/>
                <w:color w:val="auto"/>
                <w:sz w:val="22"/>
                <w:szCs w:val="22"/>
              </w:rPr>
              <w:t>8. References</w:t>
            </w:r>
          </w:p>
        </w:tc>
        <w:tc>
          <w:tcPr>
            <w:tcW w:w="0" w:type="auto"/>
            <w:vAlign w:val="center"/>
            <w:hideMark/>
          </w:tcPr>
          <w:p w14:paraId="7C0C471E" w14:textId="77777777" w:rsidR="0061452D" w:rsidRPr="0061452D" w:rsidRDefault="0061452D" w:rsidP="0061452D">
            <w:pPr>
              <w:pStyle w:val="TOCHeading"/>
              <w:rPr>
                <w:rFonts w:ascii="Times New Roman" w:hAnsi="Times New Roman" w:cs="Times New Roman"/>
                <w:color w:val="auto"/>
                <w:sz w:val="22"/>
                <w:szCs w:val="22"/>
              </w:rPr>
            </w:pPr>
            <w:r w:rsidRPr="0061452D">
              <w:rPr>
                <w:rFonts w:ascii="Times New Roman" w:hAnsi="Times New Roman" w:cs="Times New Roman"/>
                <w:color w:val="auto"/>
                <w:sz w:val="22"/>
                <w:szCs w:val="22"/>
              </w:rPr>
              <w:t>16</w:t>
            </w:r>
          </w:p>
        </w:tc>
      </w:tr>
    </w:tbl>
    <w:p w14:paraId="468418B5" w14:textId="3928462D" w:rsidR="000B72C8" w:rsidRPr="000B72C8" w:rsidRDefault="000B72C8" w:rsidP="0061452D">
      <w:pPr>
        <w:pStyle w:val="TOCHeading"/>
        <w:rPr>
          <w:rFonts w:ascii="Times New Roman" w:hAnsi="Times New Roman" w:cs="Times New Roman"/>
          <w:sz w:val="22"/>
          <w:szCs w:val="22"/>
        </w:rPr>
      </w:pPr>
    </w:p>
    <w:p w14:paraId="6A3FB1F2" w14:textId="1AE55DCB" w:rsidR="00EE03C2" w:rsidRDefault="00EE03C2" w:rsidP="0032416C">
      <w:pPr>
        <w:spacing w:line="360" w:lineRule="auto"/>
      </w:pPr>
    </w:p>
    <w:p w14:paraId="3BD0F3AF" w14:textId="77777777" w:rsidR="008F691E" w:rsidRPr="00EE03C2" w:rsidRDefault="008F691E" w:rsidP="0032416C">
      <w:pPr>
        <w:spacing w:line="360" w:lineRule="auto"/>
        <w:rPr>
          <w:rFonts w:ascii="Times New Roman" w:hAnsi="Times New Roman" w:cs="Times New Roman"/>
          <w:sz w:val="22"/>
          <w:szCs w:val="22"/>
        </w:rPr>
      </w:pPr>
    </w:p>
    <w:p w14:paraId="5501B04E" w14:textId="77777777" w:rsidR="008F691E" w:rsidRDefault="008F691E" w:rsidP="0032416C">
      <w:pPr>
        <w:spacing w:line="360" w:lineRule="auto"/>
      </w:pPr>
    </w:p>
    <w:p w14:paraId="6A6778D1" w14:textId="77777777" w:rsidR="000B72C8" w:rsidRDefault="000B72C8" w:rsidP="000B72C8">
      <w:pPr>
        <w:spacing w:line="360" w:lineRule="auto"/>
      </w:pPr>
      <w:bookmarkStart w:id="0" w:name="_Toc224383475"/>
    </w:p>
    <w:p w14:paraId="149D8FDE" w14:textId="2E43E8A6" w:rsidR="008F691E" w:rsidRPr="000B72C8" w:rsidRDefault="00D33C9F" w:rsidP="00624FC8">
      <w:pPr>
        <w:pStyle w:val="Heading1"/>
        <w:numPr>
          <w:ilvl w:val="0"/>
          <w:numId w:val="6"/>
        </w:numPr>
        <w:rPr>
          <w:rFonts w:ascii="Times New Roman" w:hAnsi="Times New Roman" w:cs="Times New Roman"/>
          <w:color w:val="auto"/>
        </w:rPr>
      </w:pPr>
      <w:bookmarkStart w:id="1" w:name="_Toc224564548"/>
      <w:r w:rsidRPr="000B72C8">
        <w:rPr>
          <w:rFonts w:ascii="Times New Roman" w:hAnsi="Times New Roman" w:cs="Times New Roman"/>
          <w:color w:val="auto"/>
        </w:rPr>
        <w:lastRenderedPageBreak/>
        <w:t>Introduction</w:t>
      </w:r>
      <w:bookmarkEnd w:id="0"/>
      <w:bookmarkEnd w:id="1"/>
    </w:p>
    <w:p w14:paraId="68250EB6" w14:textId="3458D86F" w:rsidR="00D33C9F" w:rsidRDefault="00D33C9F" w:rsidP="0032416C">
      <w:pPr>
        <w:spacing w:line="360" w:lineRule="auto"/>
        <w:rPr>
          <w:rFonts w:ascii="Times New Roman" w:hAnsi="Times New Roman" w:cs="Times New Roman"/>
          <w:sz w:val="22"/>
          <w:szCs w:val="22"/>
        </w:rPr>
      </w:pPr>
      <w:r w:rsidRPr="0032416C">
        <w:rPr>
          <w:rFonts w:ascii="Times New Roman" w:hAnsi="Times New Roman" w:cs="Times New Roman"/>
          <w:sz w:val="22"/>
          <w:szCs w:val="22"/>
        </w:rPr>
        <w:t xml:space="preserve">Internal combustion engine (ICE) components are subjected to significant cyclic loading </w:t>
      </w:r>
      <w:r w:rsidR="00FD7C6A" w:rsidRPr="0032416C">
        <w:rPr>
          <w:rFonts w:ascii="Times New Roman" w:hAnsi="Times New Roman" w:cs="Times New Roman"/>
          <w:sz w:val="22"/>
          <w:szCs w:val="22"/>
        </w:rPr>
        <w:t>due to combustion pressure and reciprocating inertia forces, particularly at high engine speeds. These loads induce high stresses on critical components such as the connecting rod, rod bolts and crankshaft. This investigation uses MATLAB to analyse the forces experienced by these components</w:t>
      </w:r>
      <w:r w:rsidR="00DF222E" w:rsidRPr="0032416C">
        <w:rPr>
          <w:rFonts w:ascii="Times New Roman" w:hAnsi="Times New Roman" w:cs="Times New Roman"/>
          <w:sz w:val="22"/>
          <w:szCs w:val="22"/>
        </w:rPr>
        <w:t xml:space="preserve"> (from a 1.6 Ford EcoBoost engine)</w:t>
      </w:r>
      <w:r w:rsidR="00FD7C6A" w:rsidRPr="0032416C">
        <w:rPr>
          <w:rFonts w:ascii="Times New Roman" w:hAnsi="Times New Roman" w:cs="Times New Roman"/>
          <w:sz w:val="22"/>
          <w:szCs w:val="22"/>
        </w:rPr>
        <w:t xml:space="preserve"> through Goodman diagrams and torque characteristics analysis.</w:t>
      </w:r>
      <w:r w:rsidR="00FD7C6A">
        <w:rPr>
          <w:rFonts w:ascii="Times New Roman" w:hAnsi="Times New Roman" w:cs="Times New Roman"/>
          <w:sz w:val="22"/>
          <w:szCs w:val="22"/>
        </w:rPr>
        <w:t xml:space="preserve"> </w:t>
      </w:r>
    </w:p>
    <w:p w14:paraId="6B4C8D5F" w14:textId="2D3804AA" w:rsidR="00FD7C6A" w:rsidRPr="00D33C9F" w:rsidRDefault="00EE03C2" w:rsidP="0032416C">
      <w:pPr>
        <w:spacing w:line="360" w:lineRule="auto"/>
        <w:rPr>
          <w:rFonts w:ascii="Times New Roman" w:hAnsi="Times New Roman" w:cs="Times New Roman"/>
          <w:sz w:val="22"/>
          <w:szCs w:val="22"/>
        </w:rPr>
      </w:pPr>
      <w:r>
        <w:rPr>
          <w:rFonts w:ascii="Times New Roman" w:hAnsi="Times New Roman" w:cs="Times New Roman"/>
          <w:sz w:val="22"/>
          <w:szCs w:val="22"/>
        </w:rPr>
        <w:br w:type="page"/>
      </w:r>
    </w:p>
    <w:p w14:paraId="0A80FAC1" w14:textId="3546B095" w:rsidR="00D33C9F" w:rsidRDefault="00D33C9F" w:rsidP="00624FC8">
      <w:pPr>
        <w:pStyle w:val="Heading1"/>
        <w:numPr>
          <w:ilvl w:val="0"/>
          <w:numId w:val="6"/>
        </w:numPr>
        <w:spacing w:line="360" w:lineRule="auto"/>
        <w:rPr>
          <w:rFonts w:ascii="Times New Roman" w:hAnsi="Times New Roman" w:cs="Times New Roman"/>
          <w:color w:val="auto"/>
        </w:rPr>
      </w:pPr>
      <w:bookmarkStart w:id="2" w:name="_Toc224383476"/>
      <w:bookmarkStart w:id="3" w:name="_Toc224564549"/>
      <w:r w:rsidRPr="00D33C9F">
        <w:rPr>
          <w:rFonts w:ascii="Times New Roman" w:hAnsi="Times New Roman" w:cs="Times New Roman"/>
          <w:color w:val="auto"/>
        </w:rPr>
        <w:lastRenderedPageBreak/>
        <w:t>Connecting Rod Force Analysis</w:t>
      </w:r>
      <w:bookmarkEnd w:id="2"/>
      <w:bookmarkEnd w:id="3"/>
    </w:p>
    <w:p w14:paraId="60E17477" w14:textId="47DF4EE0" w:rsidR="00DC0008" w:rsidRDefault="008355FD" w:rsidP="00755532">
      <w:pPr>
        <w:pStyle w:val="Heading2"/>
        <w:numPr>
          <w:ilvl w:val="1"/>
          <w:numId w:val="6"/>
        </w:numPr>
        <w:rPr>
          <w:rFonts w:ascii="Times New Roman" w:hAnsi="Times New Roman" w:cs="Times New Roman"/>
          <w:color w:val="auto"/>
        </w:rPr>
      </w:pPr>
      <w:bookmarkStart w:id="4" w:name="_Toc224564550"/>
      <w:r>
        <w:rPr>
          <w:rFonts w:ascii="Times New Roman" w:hAnsi="Times New Roman" w:cs="Times New Roman"/>
          <w:color w:val="auto"/>
        </w:rPr>
        <w:t xml:space="preserve">- </w:t>
      </w:r>
      <w:r w:rsidR="00DC0008" w:rsidRPr="00DC0008">
        <w:rPr>
          <w:rFonts w:ascii="Times New Roman" w:hAnsi="Times New Roman" w:cs="Times New Roman"/>
          <w:color w:val="auto"/>
        </w:rPr>
        <w:t>Parameter Table</w:t>
      </w:r>
      <w:bookmarkEnd w:id="4"/>
    </w:p>
    <w:p w14:paraId="3BFF2FF3" w14:textId="25C30247" w:rsidR="00755532" w:rsidRPr="00755532" w:rsidRDefault="00755532" w:rsidP="00755532">
      <w:pPr>
        <w:rPr>
          <w:rFonts w:ascii="Times New Roman" w:hAnsi="Times New Roman" w:cs="Times New Roman"/>
          <w:sz w:val="22"/>
          <w:szCs w:val="22"/>
        </w:rPr>
      </w:pPr>
      <w:r w:rsidRPr="00755532">
        <w:rPr>
          <w:rFonts w:ascii="Times New Roman" w:hAnsi="Times New Roman" w:cs="Times New Roman"/>
          <w:sz w:val="22"/>
          <w:szCs w:val="22"/>
        </w:rPr>
        <w:t>Table 2.1.1 – Key parameters for the analysis to follow.</w:t>
      </w:r>
    </w:p>
    <w:tbl>
      <w:tblPr>
        <w:tblStyle w:val="TableGrid"/>
        <w:tblW w:w="0" w:type="auto"/>
        <w:tblLook w:val="04A0" w:firstRow="1" w:lastRow="0" w:firstColumn="1" w:lastColumn="0" w:noHBand="0" w:noVBand="1"/>
      </w:tblPr>
      <w:tblGrid>
        <w:gridCol w:w="3005"/>
        <w:gridCol w:w="3005"/>
        <w:gridCol w:w="3006"/>
      </w:tblGrid>
      <w:tr w:rsidR="00D77AD9" w14:paraId="7865C653" w14:textId="77777777" w:rsidTr="00755532">
        <w:tc>
          <w:tcPr>
            <w:tcW w:w="3005" w:type="dxa"/>
            <w:shd w:val="clear" w:color="auto" w:fill="E8E8E8" w:themeFill="background2"/>
          </w:tcPr>
          <w:p w14:paraId="4857C95C" w14:textId="6C990350" w:rsidR="00D77AD9" w:rsidRPr="001875D1" w:rsidRDefault="00933131" w:rsidP="008355FD">
            <w:pPr>
              <w:rPr>
                <w:rFonts w:ascii="Times New Roman" w:hAnsi="Times New Roman" w:cs="Times New Roman"/>
                <w:b/>
                <w:bCs/>
                <w:sz w:val="22"/>
                <w:szCs w:val="22"/>
              </w:rPr>
            </w:pPr>
            <w:r w:rsidRPr="001875D1">
              <w:rPr>
                <w:rFonts w:ascii="Times New Roman" w:hAnsi="Times New Roman" w:cs="Times New Roman"/>
                <w:b/>
                <w:bCs/>
                <w:sz w:val="22"/>
                <w:szCs w:val="22"/>
              </w:rPr>
              <w:t>Component</w:t>
            </w:r>
          </w:p>
        </w:tc>
        <w:tc>
          <w:tcPr>
            <w:tcW w:w="3005" w:type="dxa"/>
            <w:shd w:val="clear" w:color="auto" w:fill="E8E8E8" w:themeFill="background2"/>
          </w:tcPr>
          <w:p w14:paraId="6AD49D8C" w14:textId="018DED42" w:rsidR="00D77AD9" w:rsidRPr="001875D1" w:rsidRDefault="00933131" w:rsidP="008355FD">
            <w:pPr>
              <w:rPr>
                <w:rFonts w:ascii="Times New Roman" w:hAnsi="Times New Roman" w:cs="Times New Roman"/>
                <w:b/>
                <w:bCs/>
                <w:sz w:val="22"/>
                <w:szCs w:val="22"/>
              </w:rPr>
            </w:pPr>
            <w:r w:rsidRPr="001875D1">
              <w:rPr>
                <w:rFonts w:ascii="Times New Roman" w:hAnsi="Times New Roman" w:cs="Times New Roman"/>
                <w:b/>
                <w:bCs/>
                <w:sz w:val="22"/>
                <w:szCs w:val="22"/>
              </w:rPr>
              <w:t>Size</w:t>
            </w:r>
          </w:p>
        </w:tc>
        <w:tc>
          <w:tcPr>
            <w:tcW w:w="3006" w:type="dxa"/>
            <w:shd w:val="clear" w:color="auto" w:fill="E8E8E8" w:themeFill="background2"/>
          </w:tcPr>
          <w:p w14:paraId="79ACE1F7" w14:textId="42707A6E" w:rsidR="00D77AD9" w:rsidRPr="001875D1" w:rsidRDefault="00933131" w:rsidP="008355FD">
            <w:pPr>
              <w:rPr>
                <w:rFonts w:ascii="Times New Roman" w:hAnsi="Times New Roman" w:cs="Times New Roman"/>
                <w:b/>
                <w:bCs/>
                <w:sz w:val="22"/>
                <w:szCs w:val="22"/>
              </w:rPr>
            </w:pPr>
            <w:r w:rsidRPr="001875D1">
              <w:rPr>
                <w:rFonts w:ascii="Times New Roman" w:hAnsi="Times New Roman" w:cs="Times New Roman"/>
                <w:b/>
                <w:bCs/>
                <w:sz w:val="22"/>
                <w:szCs w:val="22"/>
              </w:rPr>
              <w:t>Unit</w:t>
            </w:r>
          </w:p>
        </w:tc>
      </w:tr>
      <w:tr w:rsidR="00D77AD9" w:rsidRPr="001875D1" w14:paraId="2839275A" w14:textId="77777777" w:rsidTr="00D77AD9">
        <w:tc>
          <w:tcPr>
            <w:tcW w:w="3005" w:type="dxa"/>
          </w:tcPr>
          <w:p w14:paraId="73765942" w14:textId="200BA9AA" w:rsidR="00D77AD9" w:rsidRPr="001875D1" w:rsidRDefault="001875D1" w:rsidP="008355FD">
            <w:pPr>
              <w:rPr>
                <w:rFonts w:ascii="Times New Roman" w:hAnsi="Times New Roman" w:cs="Times New Roman"/>
                <w:sz w:val="22"/>
                <w:szCs w:val="22"/>
              </w:rPr>
            </w:pPr>
            <w:r>
              <w:rPr>
                <w:rFonts w:ascii="Times New Roman" w:hAnsi="Times New Roman" w:cs="Times New Roman"/>
                <w:sz w:val="22"/>
                <w:szCs w:val="22"/>
              </w:rPr>
              <w:t>Crank Radius</w:t>
            </w:r>
          </w:p>
        </w:tc>
        <w:tc>
          <w:tcPr>
            <w:tcW w:w="3005" w:type="dxa"/>
          </w:tcPr>
          <w:p w14:paraId="1E4B239A" w14:textId="6473A37F" w:rsidR="00D77AD9" w:rsidRPr="001875D1" w:rsidRDefault="001875D1" w:rsidP="008355FD">
            <w:pPr>
              <w:rPr>
                <w:rFonts w:ascii="Times New Roman" w:hAnsi="Times New Roman" w:cs="Times New Roman"/>
                <w:sz w:val="22"/>
                <w:szCs w:val="22"/>
              </w:rPr>
            </w:pPr>
            <w:r>
              <w:rPr>
                <w:rFonts w:ascii="Times New Roman" w:hAnsi="Times New Roman" w:cs="Times New Roman"/>
                <w:sz w:val="22"/>
                <w:szCs w:val="22"/>
              </w:rPr>
              <w:t>0.0407</w:t>
            </w:r>
          </w:p>
        </w:tc>
        <w:tc>
          <w:tcPr>
            <w:tcW w:w="3006" w:type="dxa"/>
          </w:tcPr>
          <w:p w14:paraId="43A190B4" w14:textId="08955F94" w:rsidR="00755532"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m</w:t>
            </w:r>
          </w:p>
        </w:tc>
      </w:tr>
      <w:tr w:rsidR="00D77AD9" w:rsidRPr="001875D1" w14:paraId="6D951428" w14:textId="77777777" w:rsidTr="00D77AD9">
        <w:tc>
          <w:tcPr>
            <w:tcW w:w="3005" w:type="dxa"/>
          </w:tcPr>
          <w:p w14:paraId="33A778FE" w14:textId="12E3553A" w:rsidR="00D77AD9" w:rsidRPr="001875D1" w:rsidRDefault="001875D1" w:rsidP="008355FD">
            <w:pPr>
              <w:rPr>
                <w:rFonts w:ascii="Times New Roman" w:hAnsi="Times New Roman" w:cs="Times New Roman"/>
                <w:sz w:val="22"/>
                <w:szCs w:val="22"/>
              </w:rPr>
            </w:pPr>
            <w:r>
              <w:rPr>
                <w:rFonts w:ascii="Times New Roman" w:hAnsi="Times New Roman" w:cs="Times New Roman"/>
                <w:sz w:val="22"/>
                <w:szCs w:val="22"/>
              </w:rPr>
              <w:t>Connecting Rod Length</w:t>
            </w:r>
          </w:p>
        </w:tc>
        <w:tc>
          <w:tcPr>
            <w:tcW w:w="3005" w:type="dxa"/>
          </w:tcPr>
          <w:p w14:paraId="3AD9852F" w14:textId="49FCB8E4"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0.134</w:t>
            </w:r>
          </w:p>
        </w:tc>
        <w:tc>
          <w:tcPr>
            <w:tcW w:w="3006" w:type="dxa"/>
          </w:tcPr>
          <w:p w14:paraId="45D73EE8" w14:textId="65807759"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m</w:t>
            </w:r>
          </w:p>
        </w:tc>
      </w:tr>
      <w:tr w:rsidR="00D77AD9" w:rsidRPr="001875D1" w14:paraId="7E727D4C" w14:textId="77777777" w:rsidTr="00D77AD9">
        <w:tc>
          <w:tcPr>
            <w:tcW w:w="3005" w:type="dxa"/>
          </w:tcPr>
          <w:p w14:paraId="0B33467C" w14:textId="72E06D87" w:rsidR="00D77AD9" w:rsidRPr="001875D1" w:rsidRDefault="001875D1" w:rsidP="008355FD">
            <w:pPr>
              <w:rPr>
                <w:rFonts w:ascii="Times New Roman" w:hAnsi="Times New Roman" w:cs="Times New Roman"/>
                <w:sz w:val="22"/>
                <w:szCs w:val="22"/>
              </w:rPr>
            </w:pPr>
            <w:r>
              <w:rPr>
                <w:rFonts w:ascii="Times New Roman" w:hAnsi="Times New Roman" w:cs="Times New Roman"/>
                <w:sz w:val="22"/>
                <w:szCs w:val="22"/>
              </w:rPr>
              <w:t>Reciprocating Mass</w:t>
            </w:r>
          </w:p>
        </w:tc>
        <w:tc>
          <w:tcPr>
            <w:tcW w:w="3005" w:type="dxa"/>
          </w:tcPr>
          <w:p w14:paraId="4923B194" w14:textId="41C4A935"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0.347</w:t>
            </w:r>
          </w:p>
        </w:tc>
        <w:tc>
          <w:tcPr>
            <w:tcW w:w="3006" w:type="dxa"/>
          </w:tcPr>
          <w:p w14:paraId="79604CE2" w14:textId="2A0A81AD"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kg</w:t>
            </w:r>
          </w:p>
        </w:tc>
      </w:tr>
      <w:tr w:rsidR="00D77AD9" w:rsidRPr="001875D1" w14:paraId="2673EB3C" w14:textId="77777777" w:rsidTr="00D77AD9">
        <w:tc>
          <w:tcPr>
            <w:tcW w:w="3005" w:type="dxa"/>
          </w:tcPr>
          <w:p w14:paraId="093DCEEA" w14:textId="0E7ABB29" w:rsidR="00D77AD9" w:rsidRPr="001875D1" w:rsidRDefault="001875D1" w:rsidP="008355FD">
            <w:pPr>
              <w:rPr>
                <w:rFonts w:ascii="Times New Roman" w:hAnsi="Times New Roman" w:cs="Times New Roman"/>
                <w:sz w:val="22"/>
                <w:szCs w:val="22"/>
              </w:rPr>
            </w:pPr>
            <w:r>
              <w:rPr>
                <w:rFonts w:ascii="Times New Roman" w:hAnsi="Times New Roman" w:cs="Times New Roman"/>
                <w:sz w:val="22"/>
                <w:szCs w:val="22"/>
              </w:rPr>
              <w:t>Bore</w:t>
            </w:r>
          </w:p>
        </w:tc>
        <w:tc>
          <w:tcPr>
            <w:tcW w:w="3005" w:type="dxa"/>
          </w:tcPr>
          <w:p w14:paraId="233795B1" w14:textId="15217621"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0.079</w:t>
            </w:r>
          </w:p>
        </w:tc>
        <w:tc>
          <w:tcPr>
            <w:tcW w:w="3006" w:type="dxa"/>
          </w:tcPr>
          <w:p w14:paraId="267660FF" w14:textId="701D8484" w:rsidR="00D77AD9" w:rsidRPr="001875D1" w:rsidRDefault="00755532" w:rsidP="008355FD">
            <w:pPr>
              <w:rPr>
                <w:rFonts w:ascii="Times New Roman" w:hAnsi="Times New Roman" w:cs="Times New Roman"/>
                <w:sz w:val="22"/>
                <w:szCs w:val="22"/>
              </w:rPr>
            </w:pPr>
            <w:r>
              <w:rPr>
                <w:rFonts w:ascii="Times New Roman" w:hAnsi="Times New Roman" w:cs="Times New Roman"/>
                <w:sz w:val="22"/>
                <w:szCs w:val="22"/>
              </w:rPr>
              <w:t>m</w:t>
            </w:r>
          </w:p>
        </w:tc>
      </w:tr>
    </w:tbl>
    <w:p w14:paraId="50C985D4" w14:textId="77777777" w:rsidR="008355FD" w:rsidRPr="008355FD" w:rsidRDefault="008355FD" w:rsidP="008355FD"/>
    <w:p w14:paraId="199F8005" w14:textId="69E74104" w:rsidR="00DC0008" w:rsidRPr="008355FD" w:rsidRDefault="00DC0008" w:rsidP="008355FD">
      <w:pPr>
        <w:pStyle w:val="Heading2"/>
        <w:rPr>
          <w:rFonts w:ascii="Times New Roman" w:hAnsi="Times New Roman" w:cs="Times New Roman"/>
          <w:color w:val="auto"/>
        </w:rPr>
      </w:pPr>
      <w:bookmarkStart w:id="5" w:name="_Toc224564551"/>
      <w:r w:rsidRPr="00DC0008">
        <w:rPr>
          <w:rFonts w:ascii="Times New Roman" w:hAnsi="Times New Roman" w:cs="Times New Roman"/>
          <w:color w:val="auto"/>
        </w:rPr>
        <w:t>2.</w:t>
      </w:r>
      <w:r>
        <w:rPr>
          <w:rFonts w:ascii="Times New Roman" w:hAnsi="Times New Roman" w:cs="Times New Roman"/>
          <w:color w:val="auto"/>
        </w:rPr>
        <w:t>2</w:t>
      </w:r>
      <w:r w:rsidRPr="00DC0008">
        <w:rPr>
          <w:rFonts w:ascii="Times New Roman" w:hAnsi="Times New Roman" w:cs="Times New Roman"/>
          <w:color w:val="auto"/>
        </w:rPr>
        <w:t xml:space="preserve"> - </w:t>
      </w:r>
      <w:r w:rsidR="008355FD">
        <w:rPr>
          <w:rFonts w:ascii="Times New Roman" w:hAnsi="Times New Roman" w:cs="Times New Roman"/>
          <w:color w:val="auto"/>
        </w:rPr>
        <w:t>Analysis</w:t>
      </w:r>
      <w:bookmarkEnd w:id="5"/>
    </w:p>
    <w:p w14:paraId="3D009628" w14:textId="129FC225" w:rsidR="005F0795" w:rsidRPr="005F0795" w:rsidRDefault="005F0795" w:rsidP="0032416C">
      <w:pPr>
        <w:spacing w:line="360" w:lineRule="auto"/>
        <w:rPr>
          <w:rFonts w:ascii="Times New Roman" w:hAnsi="Times New Roman" w:cs="Times New Roman"/>
          <w:sz w:val="22"/>
          <w:szCs w:val="22"/>
        </w:rPr>
      </w:pPr>
      <w:r>
        <w:rPr>
          <w:rFonts w:ascii="Times New Roman" w:hAnsi="Times New Roman" w:cs="Times New Roman"/>
          <w:sz w:val="22"/>
          <w:szCs w:val="22"/>
        </w:rPr>
        <w:t xml:space="preserve">Gas force acting on the piston is generated by the combustion pressure </w:t>
      </w:r>
      <w:r w:rsidR="00A56886">
        <w:rPr>
          <w:rFonts w:ascii="Times New Roman" w:hAnsi="Times New Roman" w:cs="Times New Roman"/>
          <w:sz w:val="22"/>
          <w:szCs w:val="22"/>
        </w:rPr>
        <w:t xml:space="preserve">within the cylinder and can be </w:t>
      </w:r>
      <w:r w:rsidR="00C20419">
        <w:rPr>
          <w:rFonts w:ascii="Times New Roman" w:hAnsi="Times New Roman" w:cs="Times New Roman"/>
          <w:sz w:val="22"/>
          <w:szCs w:val="22"/>
        </w:rPr>
        <w:t xml:space="preserve">expressed as the product of </w:t>
      </w:r>
      <w:r w:rsidR="00834DEA">
        <w:rPr>
          <w:rFonts w:ascii="Times New Roman" w:hAnsi="Times New Roman" w:cs="Times New Roman"/>
          <w:sz w:val="22"/>
          <w:szCs w:val="22"/>
        </w:rPr>
        <w:t xml:space="preserve">instantaneous cylinder pressure and piston area. The force is transmitted through the piston assembly and </w:t>
      </w:r>
      <w:r w:rsidR="00927E69">
        <w:rPr>
          <w:rFonts w:ascii="Times New Roman" w:hAnsi="Times New Roman" w:cs="Times New Roman"/>
          <w:sz w:val="22"/>
          <w:szCs w:val="22"/>
        </w:rPr>
        <w:t xml:space="preserve">connecting rod to the crankshaft during the engine cycle (Heywood, 2018). </w:t>
      </w:r>
      <w:r w:rsidR="00A92FFC">
        <w:rPr>
          <w:rFonts w:ascii="Times New Roman" w:hAnsi="Times New Roman" w:cs="Times New Roman"/>
          <w:sz w:val="22"/>
          <w:szCs w:val="22"/>
        </w:rPr>
        <w:t>Therefore, the gas force closely follows the cylinder pressure profile</w:t>
      </w:r>
      <w:r w:rsidR="00EA41C5">
        <w:rPr>
          <w:rFonts w:ascii="Times New Roman" w:hAnsi="Times New Roman" w:cs="Times New Roman"/>
          <w:sz w:val="22"/>
          <w:szCs w:val="22"/>
        </w:rPr>
        <w:t xml:space="preserve">, reaching </w:t>
      </w:r>
      <w:r w:rsidR="00131347">
        <w:rPr>
          <w:rFonts w:ascii="Times New Roman" w:hAnsi="Times New Roman" w:cs="Times New Roman"/>
          <w:sz w:val="22"/>
          <w:szCs w:val="22"/>
        </w:rPr>
        <w:t>its</w:t>
      </w:r>
      <w:r w:rsidR="00EA41C5">
        <w:rPr>
          <w:rFonts w:ascii="Times New Roman" w:hAnsi="Times New Roman" w:cs="Times New Roman"/>
          <w:sz w:val="22"/>
          <w:szCs w:val="22"/>
        </w:rPr>
        <w:t xml:space="preserve"> maximum shortly after TDC (top dead </w:t>
      </w:r>
      <w:proofErr w:type="spellStart"/>
      <w:r w:rsidR="00EA41C5">
        <w:rPr>
          <w:rFonts w:ascii="Times New Roman" w:hAnsi="Times New Roman" w:cs="Times New Roman"/>
          <w:sz w:val="22"/>
          <w:szCs w:val="22"/>
        </w:rPr>
        <w:t>center</w:t>
      </w:r>
      <w:proofErr w:type="spellEnd"/>
      <w:r w:rsidR="00EA41C5">
        <w:rPr>
          <w:rFonts w:ascii="Times New Roman" w:hAnsi="Times New Roman" w:cs="Times New Roman"/>
          <w:sz w:val="22"/>
          <w:szCs w:val="22"/>
        </w:rPr>
        <w:t>)</w:t>
      </w:r>
      <w:r w:rsidR="001F2F6D">
        <w:rPr>
          <w:rFonts w:ascii="Times New Roman" w:hAnsi="Times New Roman" w:cs="Times New Roman"/>
          <w:sz w:val="22"/>
          <w:szCs w:val="22"/>
        </w:rPr>
        <w:t xml:space="preserve"> during </w:t>
      </w:r>
      <w:r w:rsidR="00012EDA">
        <w:rPr>
          <w:rFonts w:ascii="Times New Roman" w:hAnsi="Times New Roman" w:cs="Times New Roman"/>
          <w:sz w:val="22"/>
          <w:szCs w:val="22"/>
        </w:rPr>
        <w:t xml:space="preserve">combustion where peak pressure occurs. As </w:t>
      </w:r>
      <w:r w:rsidR="000624C0">
        <w:rPr>
          <w:rFonts w:ascii="Times New Roman" w:hAnsi="Times New Roman" w:cs="Times New Roman"/>
          <w:sz w:val="22"/>
          <w:szCs w:val="22"/>
        </w:rPr>
        <w:t xml:space="preserve">the piston moves back down during the expansion stroke, cylinder pressure decreases and </w:t>
      </w:r>
      <w:r w:rsidR="00C54A44">
        <w:rPr>
          <w:rFonts w:ascii="Times New Roman" w:hAnsi="Times New Roman" w:cs="Times New Roman"/>
          <w:sz w:val="22"/>
          <w:szCs w:val="22"/>
        </w:rPr>
        <w:t xml:space="preserve">so a reduction in gas force </w:t>
      </w:r>
      <w:r w:rsidR="00F74D21">
        <w:rPr>
          <w:rFonts w:ascii="Times New Roman" w:hAnsi="Times New Roman" w:cs="Times New Roman"/>
          <w:sz w:val="22"/>
          <w:szCs w:val="22"/>
        </w:rPr>
        <w:t xml:space="preserve">occurs </w:t>
      </w:r>
      <w:r w:rsidR="00C54A44">
        <w:rPr>
          <w:rFonts w:ascii="Times New Roman" w:hAnsi="Times New Roman" w:cs="Times New Roman"/>
          <w:sz w:val="22"/>
          <w:szCs w:val="22"/>
        </w:rPr>
        <w:t xml:space="preserve">throughout the remainder of the cycle (Pulkrabek, 2014). </w:t>
      </w:r>
    </w:p>
    <w:p w14:paraId="0F8D7B0D" w14:textId="77EBAE34" w:rsidR="00DF222E" w:rsidRDefault="00050BF1" w:rsidP="0032416C">
      <w:pPr>
        <w:spacing w:line="360" w:lineRule="auto"/>
      </w:pPr>
      <w:r>
        <w:rPr>
          <w:noProof/>
        </w:rPr>
        <w:drawing>
          <wp:inline distT="0" distB="0" distL="0" distR="0" wp14:anchorId="2787007F" wp14:editId="1165EFF4">
            <wp:extent cx="5731510" cy="3550285"/>
            <wp:effectExtent l="0" t="0" r="2540" b="0"/>
            <wp:docPr id="205327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76370" name=""/>
                    <pic:cNvPicPr/>
                  </pic:nvPicPr>
                  <pic:blipFill>
                    <a:blip r:embed="rId8"/>
                    <a:stretch>
                      <a:fillRect/>
                    </a:stretch>
                  </pic:blipFill>
                  <pic:spPr>
                    <a:xfrm>
                      <a:off x="0" y="0"/>
                      <a:ext cx="5731510" cy="3550285"/>
                    </a:xfrm>
                    <a:prstGeom prst="rect">
                      <a:avLst/>
                    </a:prstGeom>
                  </pic:spPr>
                </pic:pic>
              </a:graphicData>
            </a:graphic>
          </wp:inline>
        </w:drawing>
      </w:r>
    </w:p>
    <w:p w14:paraId="49BEE1AE" w14:textId="1B791761" w:rsidR="00DF222E" w:rsidRDefault="00E02480" w:rsidP="0032416C">
      <w:pPr>
        <w:spacing w:line="360" w:lineRule="auto"/>
        <w:rPr>
          <w:rFonts w:ascii="Times New Roman" w:hAnsi="Times New Roman" w:cs="Times New Roman"/>
          <w:i/>
          <w:iCs/>
          <w:sz w:val="22"/>
          <w:szCs w:val="22"/>
        </w:rPr>
      </w:pPr>
      <w:r w:rsidRPr="00CA25AF">
        <w:rPr>
          <w:rFonts w:ascii="Times New Roman" w:hAnsi="Times New Roman" w:cs="Times New Roman"/>
          <w:i/>
          <w:iCs/>
          <w:sz w:val="22"/>
          <w:szCs w:val="22"/>
        </w:rPr>
        <w:t>Figure</w:t>
      </w:r>
      <w:r w:rsidR="00CA25AF" w:rsidRPr="00CA25AF">
        <w:rPr>
          <w:rFonts w:ascii="Times New Roman" w:hAnsi="Times New Roman" w:cs="Times New Roman"/>
          <w:i/>
          <w:iCs/>
          <w:sz w:val="22"/>
          <w:szCs w:val="22"/>
        </w:rPr>
        <w:t xml:space="preserve"> 2.1</w:t>
      </w:r>
      <w:r w:rsidRPr="00CA25AF">
        <w:rPr>
          <w:rFonts w:ascii="Times New Roman" w:hAnsi="Times New Roman" w:cs="Times New Roman"/>
          <w:i/>
          <w:iCs/>
          <w:sz w:val="22"/>
          <w:szCs w:val="22"/>
        </w:rPr>
        <w:t xml:space="preserve"> - Graph displaying gas force vs. crank angle.</w:t>
      </w:r>
    </w:p>
    <w:p w14:paraId="71D4CDCA" w14:textId="0E301E82" w:rsidR="00350F05" w:rsidRPr="00350F05" w:rsidRDefault="00350F05" w:rsidP="0032416C">
      <w:pPr>
        <w:spacing w:line="360" w:lineRule="auto"/>
        <w:rPr>
          <w:rFonts w:ascii="Times New Roman" w:hAnsi="Times New Roman" w:cs="Times New Roman"/>
          <w:sz w:val="22"/>
          <w:szCs w:val="22"/>
        </w:rPr>
      </w:pPr>
      <w:r>
        <w:rPr>
          <w:rFonts w:ascii="Times New Roman" w:hAnsi="Times New Roman" w:cs="Times New Roman"/>
          <w:sz w:val="22"/>
          <w:szCs w:val="22"/>
        </w:rPr>
        <w:lastRenderedPageBreak/>
        <w:t>Inertia</w:t>
      </w:r>
      <w:r w:rsidR="00D0785A">
        <w:rPr>
          <w:rFonts w:ascii="Times New Roman" w:hAnsi="Times New Roman" w:cs="Times New Roman"/>
          <w:sz w:val="22"/>
          <w:szCs w:val="22"/>
        </w:rPr>
        <w:t xml:space="preserve"> forces arise from the acceleration and deceleration of the reciprocating </w:t>
      </w:r>
      <w:r w:rsidR="00DC067D">
        <w:rPr>
          <w:rFonts w:ascii="Times New Roman" w:hAnsi="Times New Roman" w:cs="Times New Roman"/>
          <w:sz w:val="22"/>
          <w:szCs w:val="22"/>
        </w:rPr>
        <w:t xml:space="preserve">piston assembly during the motion of the crank-slider mechanism </w:t>
      </w:r>
      <w:r w:rsidR="00F82B51" w:rsidRPr="00F82B51">
        <w:rPr>
          <w:rFonts w:ascii="Times New Roman" w:hAnsi="Times New Roman" w:cs="Times New Roman"/>
          <w:sz w:val="22"/>
          <w:szCs w:val="22"/>
        </w:rPr>
        <w:t>(Lučić, 2022; Ha</w:t>
      </w:r>
      <w:r w:rsidR="00562F98">
        <w:rPr>
          <w:rFonts w:ascii="Times New Roman" w:hAnsi="Times New Roman" w:cs="Times New Roman"/>
          <w:sz w:val="22"/>
          <w:szCs w:val="22"/>
        </w:rPr>
        <w:t xml:space="preserve"> et al</w:t>
      </w:r>
      <w:r w:rsidR="00F82B51" w:rsidRPr="00F82B51">
        <w:rPr>
          <w:rFonts w:ascii="Times New Roman" w:hAnsi="Times New Roman" w:cs="Times New Roman"/>
          <w:i/>
          <w:iCs/>
          <w:sz w:val="22"/>
          <w:szCs w:val="22"/>
        </w:rPr>
        <w:t>.</w:t>
      </w:r>
      <w:r w:rsidR="00F82B51" w:rsidRPr="00F82B51">
        <w:rPr>
          <w:rFonts w:ascii="Times New Roman" w:hAnsi="Times New Roman" w:cs="Times New Roman"/>
          <w:sz w:val="22"/>
          <w:szCs w:val="22"/>
        </w:rPr>
        <w:t>, 2006)</w:t>
      </w:r>
      <w:r w:rsidR="00F82B51">
        <w:rPr>
          <w:rFonts w:ascii="Times New Roman" w:hAnsi="Times New Roman" w:cs="Times New Roman"/>
          <w:sz w:val="22"/>
          <w:szCs w:val="22"/>
        </w:rPr>
        <w:t xml:space="preserve">. These forces depend on several parameters </w:t>
      </w:r>
      <w:r w:rsidR="003D415B">
        <w:rPr>
          <w:rFonts w:ascii="Times New Roman" w:hAnsi="Times New Roman" w:cs="Times New Roman"/>
          <w:sz w:val="22"/>
          <w:szCs w:val="22"/>
        </w:rPr>
        <w:t>including reciprocating mass, crank radius, connecting rod length and the angular velocity of the crankshaft (Heywood, 2018)</w:t>
      </w:r>
      <w:r w:rsidR="00F54F6C">
        <w:rPr>
          <w:rFonts w:ascii="Times New Roman" w:hAnsi="Times New Roman" w:cs="Times New Roman"/>
          <w:sz w:val="22"/>
          <w:szCs w:val="22"/>
        </w:rPr>
        <w:t xml:space="preserve">. As the piston undergoes continuous acceleration and deceleration during the engine cycle, </w:t>
      </w:r>
      <w:r w:rsidR="0023575D">
        <w:rPr>
          <w:rFonts w:ascii="Times New Roman" w:hAnsi="Times New Roman" w:cs="Times New Roman"/>
          <w:sz w:val="22"/>
          <w:szCs w:val="22"/>
        </w:rPr>
        <w:t xml:space="preserve">the inertia force varies cyclically with crank angle as the piston changes direction </w:t>
      </w:r>
      <w:r w:rsidR="00896F09">
        <w:rPr>
          <w:rFonts w:ascii="Times New Roman" w:hAnsi="Times New Roman" w:cs="Times New Roman"/>
          <w:sz w:val="22"/>
          <w:szCs w:val="22"/>
        </w:rPr>
        <w:t xml:space="preserve">at TDC and BDC (Pulkrabek, 2014). Consequently, the inertia force reaches its greatest </w:t>
      </w:r>
      <w:r w:rsidR="002E5D98">
        <w:rPr>
          <w:rFonts w:ascii="Times New Roman" w:hAnsi="Times New Roman" w:cs="Times New Roman"/>
          <w:sz w:val="22"/>
          <w:szCs w:val="22"/>
        </w:rPr>
        <w:t xml:space="preserve">value near these positions where piston acceleration is at its highest. </w:t>
      </w:r>
      <w:r w:rsidR="00633393">
        <w:rPr>
          <w:rFonts w:ascii="Times New Roman" w:hAnsi="Times New Roman" w:cs="Times New Roman"/>
          <w:sz w:val="22"/>
          <w:szCs w:val="22"/>
        </w:rPr>
        <w:t xml:space="preserve">Furthermore, inertia forces are in a proportional relationship </w:t>
      </w:r>
      <w:r w:rsidR="003F0630">
        <w:rPr>
          <w:rFonts w:ascii="Times New Roman" w:hAnsi="Times New Roman" w:cs="Times New Roman"/>
          <w:sz w:val="22"/>
          <w:szCs w:val="22"/>
        </w:rPr>
        <w:t xml:space="preserve">with crankshaft angular velocity (squared), </w:t>
      </w:r>
      <w:r w:rsidR="008E1BC4">
        <w:rPr>
          <w:rFonts w:ascii="Times New Roman" w:hAnsi="Times New Roman" w:cs="Times New Roman"/>
          <w:sz w:val="22"/>
          <w:szCs w:val="22"/>
        </w:rPr>
        <w:t xml:space="preserve">therefore inertia forces increase significantly with engine speed </w:t>
      </w:r>
      <w:r w:rsidR="00A347CD">
        <w:rPr>
          <w:rFonts w:ascii="Times New Roman" w:hAnsi="Times New Roman" w:cs="Times New Roman"/>
          <w:sz w:val="22"/>
          <w:szCs w:val="22"/>
        </w:rPr>
        <w:t>meaning high speed engines used in motorsport applications would experience significant inertia forces (Heywood, 2018; Ha et al</w:t>
      </w:r>
      <w:r w:rsidR="00562F98">
        <w:rPr>
          <w:rFonts w:ascii="Times New Roman" w:hAnsi="Times New Roman" w:cs="Times New Roman"/>
          <w:sz w:val="22"/>
          <w:szCs w:val="22"/>
        </w:rPr>
        <w:t>., 2006).</w:t>
      </w:r>
      <w:r w:rsidR="00A347CD">
        <w:rPr>
          <w:rFonts w:ascii="Times New Roman" w:hAnsi="Times New Roman" w:cs="Times New Roman"/>
          <w:sz w:val="22"/>
          <w:szCs w:val="22"/>
        </w:rPr>
        <w:t xml:space="preserve"> </w:t>
      </w:r>
    </w:p>
    <w:p w14:paraId="15FDA911" w14:textId="3ADFDB2F" w:rsidR="00D33C9F" w:rsidRDefault="00050BF1" w:rsidP="0032416C">
      <w:pPr>
        <w:pStyle w:val="Heading1"/>
        <w:spacing w:line="360" w:lineRule="auto"/>
        <w:rPr>
          <w:rFonts w:ascii="Times New Roman" w:hAnsi="Times New Roman" w:cs="Times New Roman"/>
          <w:color w:val="auto"/>
          <w:sz w:val="22"/>
          <w:szCs w:val="22"/>
        </w:rPr>
      </w:pPr>
      <w:bookmarkStart w:id="6" w:name="_Toc224383477"/>
      <w:bookmarkStart w:id="7" w:name="_Toc224483032"/>
      <w:bookmarkStart w:id="8" w:name="_Toc224564552"/>
      <w:r>
        <w:rPr>
          <w:noProof/>
        </w:rPr>
        <w:drawing>
          <wp:inline distT="0" distB="0" distL="0" distR="0" wp14:anchorId="38E87A6F" wp14:editId="18F4743D">
            <wp:extent cx="5731510" cy="3430905"/>
            <wp:effectExtent l="0" t="0" r="2540" b="0"/>
            <wp:docPr id="1102373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73704" name=""/>
                    <pic:cNvPicPr/>
                  </pic:nvPicPr>
                  <pic:blipFill>
                    <a:blip r:embed="rId9"/>
                    <a:stretch>
                      <a:fillRect/>
                    </a:stretch>
                  </pic:blipFill>
                  <pic:spPr>
                    <a:xfrm>
                      <a:off x="0" y="0"/>
                      <a:ext cx="5731510" cy="3430905"/>
                    </a:xfrm>
                    <a:prstGeom prst="rect">
                      <a:avLst/>
                    </a:prstGeom>
                  </pic:spPr>
                </pic:pic>
              </a:graphicData>
            </a:graphic>
          </wp:inline>
        </w:drawing>
      </w:r>
      <w:bookmarkEnd w:id="6"/>
      <w:bookmarkEnd w:id="7"/>
      <w:bookmarkEnd w:id="8"/>
    </w:p>
    <w:p w14:paraId="3A49864A" w14:textId="3D59E89C" w:rsidR="0049052A" w:rsidRDefault="0049052A" w:rsidP="0032416C">
      <w:pPr>
        <w:spacing w:line="360" w:lineRule="auto"/>
        <w:rPr>
          <w:rFonts w:ascii="Times New Roman" w:hAnsi="Times New Roman" w:cs="Times New Roman"/>
          <w:i/>
          <w:iCs/>
          <w:sz w:val="22"/>
          <w:szCs w:val="22"/>
        </w:rPr>
      </w:pPr>
      <w:r w:rsidRPr="00CA25AF">
        <w:rPr>
          <w:rFonts w:ascii="Times New Roman" w:hAnsi="Times New Roman" w:cs="Times New Roman"/>
          <w:i/>
          <w:iCs/>
          <w:sz w:val="22"/>
          <w:szCs w:val="22"/>
        </w:rPr>
        <w:t xml:space="preserve">Figure </w:t>
      </w:r>
      <w:r w:rsidR="00CA25AF" w:rsidRPr="00CA25AF">
        <w:rPr>
          <w:rFonts w:ascii="Times New Roman" w:hAnsi="Times New Roman" w:cs="Times New Roman"/>
          <w:i/>
          <w:iCs/>
          <w:sz w:val="22"/>
          <w:szCs w:val="22"/>
        </w:rPr>
        <w:t>2.2</w:t>
      </w:r>
      <w:r w:rsidRPr="00CA25AF">
        <w:rPr>
          <w:rFonts w:ascii="Times New Roman" w:hAnsi="Times New Roman" w:cs="Times New Roman"/>
          <w:i/>
          <w:iCs/>
          <w:sz w:val="22"/>
          <w:szCs w:val="22"/>
        </w:rPr>
        <w:t xml:space="preserve"> - Graph displaying inertia force vs. crank angle</w:t>
      </w:r>
      <w:r w:rsidR="00050BF1" w:rsidRPr="00CA25AF">
        <w:rPr>
          <w:rFonts w:ascii="Times New Roman" w:hAnsi="Times New Roman" w:cs="Times New Roman"/>
          <w:i/>
          <w:iCs/>
          <w:sz w:val="22"/>
          <w:szCs w:val="22"/>
        </w:rPr>
        <w:t xml:space="preserve"> at different RPMs.</w:t>
      </w:r>
    </w:p>
    <w:p w14:paraId="04A97287" w14:textId="0B572F9E" w:rsidR="00562F98" w:rsidRPr="00C16C14" w:rsidRDefault="00C16C14" w:rsidP="0032416C">
      <w:pPr>
        <w:spacing w:line="360" w:lineRule="auto"/>
        <w:rPr>
          <w:rFonts w:ascii="Times New Roman" w:eastAsiaTheme="majorEastAsia" w:hAnsi="Times New Roman" w:cs="Times New Roman"/>
          <w:sz w:val="40"/>
          <w:szCs w:val="40"/>
        </w:rPr>
      </w:pPr>
      <w:r>
        <w:rPr>
          <w:rFonts w:ascii="Times New Roman" w:hAnsi="Times New Roman" w:cs="Times New Roman"/>
          <w:sz w:val="22"/>
          <w:szCs w:val="22"/>
        </w:rPr>
        <w:t>The net force acting along the connecting rod is obtained by combining gas force (generated by combustion pressure) and inertia force (from the reciprocating mass of the piston assembly) (Kumar, 2013</w:t>
      </w:r>
      <w:r w:rsidRPr="007C7457">
        <w:rPr>
          <w:rFonts w:ascii="Times New Roman" w:hAnsi="Times New Roman" w:cs="Times New Roman"/>
          <w:sz w:val="22"/>
          <w:szCs w:val="22"/>
        </w:rPr>
        <w:t xml:space="preserve">). Figure </w:t>
      </w:r>
      <w:r w:rsidR="007C7457" w:rsidRPr="007C7457">
        <w:rPr>
          <w:rFonts w:ascii="Times New Roman" w:hAnsi="Times New Roman" w:cs="Times New Roman"/>
          <w:sz w:val="22"/>
          <w:szCs w:val="22"/>
        </w:rPr>
        <w:t>2.3</w:t>
      </w:r>
      <w:r w:rsidRPr="007C7457">
        <w:rPr>
          <w:rFonts w:ascii="Times New Roman" w:hAnsi="Times New Roman" w:cs="Times New Roman"/>
          <w:sz w:val="22"/>
          <w:szCs w:val="22"/>
        </w:rPr>
        <w:t xml:space="preserve"> illustrates</w:t>
      </w:r>
      <w:r>
        <w:rPr>
          <w:rFonts w:ascii="Times New Roman" w:hAnsi="Times New Roman" w:cs="Times New Roman"/>
          <w:sz w:val="22"/>
          <w:szCs w:val="22"/>
        </w:rPr>
        <w:t xml:space="preserve"> how this resultant force varies throughout the crank cycle. During combustion, shortly after TDC the high cylinder pressure produces a large compressive load acting along the connecting rod. As the piston continues its motion and the cylinder pressure decreases, the influence of gas force </w:t>
      </w:r>
      <w:r w:rsidR="00131347">
        <w:rPr>
          <w:rFonts w:ascii="Times New Roman" w:hAnsi="Times New Roman" w:cs="Times New Roman"/>
          <w:sz w:val="22"/>
          <w:szCs w:val="22"/>
        </w:rPr>
        <w:t>reduces,</w:t>
      </w:r>
      <w:r>
        <w:rPr>
          <w:rFonts w:ascii="Times New Roman" w:hAnsi="Times New Roman" w:cs="Times New Roman"/>
          <w:sz w:val="22"/>
          <w:szCs w:val="22"/>
        </w:rPr>
        <w:t xml:space="preserve"> and inertia effects become more dominant. Near TDC during intake and exhaust strokes, the rapid deceleration of the piston generates significant inertia forces, resulting in tensile loading within the rod (Aye et al., 2017). This behaviour highlights the cyclic nature of the loading experienced by the component, where the alternating tensile and compressive forces prove </w:t>
      </w:r>
      <w:r>
        <w:rPr>
          <w:rFonts w:ascii="Times New Roman" w:hAnsi="Times New Roman" w:cs="Times New Roman"/>
          <w:sz w:val="22"/>
          <w:szCs w:val="22"/>
        </w:rPr>
        <w:lastRenderedPageBreak/>
        <w:t xml:space="preserve">critical when evaluating the stresses transmitted to the connecting rod bolts and therefore form the basis of the subsequent fatigue analysis. </w:t>
      </w:r>
    </w:p>
    <w:p w14:paraId="691AA994" w14:textId="77777777" w:rsidR="00FB4B25" w:rsidRPr="00FB4B25" w:rsidRDefault="00FB4B25" w:rsidP="0032416C">
      <w:pPr>
        <w:spacing w:line="360" w:lineRule="auto"/>
        <w:rPr>
          <w:rFonts w:ascii="Times New Roman" w:hAnsi="Times New Roman" w:cs="Times New Roman"/>
          <w:sz w:val="22"/>
          <w:szCs w:val="22"/>
        </w:rPr>
      </w:pPr>
    </w:p>
    <w:p w14:paraId="7BFE621A" w14:textId="0506B497" w:rsidR="00DF222E" w:rsidRPr="00DF222E" w:rsidRDefault="00050BF1" w:rsidP="0032416C">
      <w:pPr>
        <w:spacing w:line="360" w:lineRule="auto"/>
      </w:pPr>
      <w:r>
        <w:rPr>
          <w:noProof/>
        </w:rPr>
        <w:drawing>
          <wp:inline distT="0" distB="0" distL="0" distR="0" wp14:anchorId="6D4AC524" wp14:editId="60F16CA2">
            <wp:extent cx="5731510" cy="3383915"/>
            <wp:effectExtent l="0" t="0" r="2540" b="6985"/>
            <wp:docPr id="1208477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77188" name=""/>
                    <pic:cNvPicPr/>
                  </pic:nvPicPr>
                  <pic:blipFill>
                    <a:blip r:embed="rId10"/>
                    <a:stretch>
                      <a:fillRect/>
                    </a:stretch>
                  </pic:blipFill>
                  <pic:spPr>
                    <a:xfrm>
                      <a:off x="0" y="0"/>
                      <a:ext cx="5731510" cy="3383915"/>
                    </a:xfrm>
                    <a:prstGeom prst="rect">
                      <a:avLst/>
                    </a:prstGeom>
                  </pic:spPr>
                </pic:pic>
              </a:graphicData>
            </a:graphic>
          </wp:inline>
        </w:drawing>
      </w:r>
    </w:p>
    <w:p w14:paraId="24886E1E" w14:textId="7FD34386" w:rsidR="0049052A" w:rsidRPr="0049052A" w:rsidRDefault="0049052A" w:rsidP="0032416C">
      <w:pPr>
        <w:spacing w:line="360" w:lineRule="auto"/>
        <w:rPr>
          <w:rFonts w:ascii="Times New Roman" w:hAnsi="Times New Roman" w:cs="Times New Roman"/>
          <w:i/>
          <w:iCs/>
          <w:sz w:val="22"/>
          <w:szCs w:val="22"/>
        </w:rPr>
      </w:pPr>
      <w:r w:rsidRPr="007C7457">
        <w:rPr>
          <w:rFonts w:ascii="Times New Roman" w:hAnsi="Times New Roman" w:cs="Times New Roman"/>
          <w:i/>
          <w:iCs/>
          <w:sz w:val="22"/>
          <w:szCs w:val="22"/>
        </w:rPr>
        <w:t xml:space="preserve">Figure </w:t>
      </w:r>
      <w:r w:rsidR="007C7457" w:rsidRPr="007C7457">
        <w:rPr>
          <w:rFonts w:ascii="Times New Roman" w:hAnsi="Times New Roman" w:cs="Times New Roman"/>
          <w:i/>
          <w:iCs/>
          <w:sz w:val="22"/>
          <w:szCs w:val="22"/>
        </w:rPr>
        <w:t>2.3</w:t>
      </w:r>
      <w:r w:rsidRPr="007C7457">
        <w:rPr>
          <w:rFonts w:ascii="Times New Roman" w:hAnsi="Times New Roman" w:cs="Times New Roman"/>
          <w:i/>
          <w:iCs/>
          <w:sz w:val="22"/>
          <w:szCs w:val="22"/>
        </w:rPr>
        <w:t xml:space="preserve"> - Graph displaying net force vs. crank angle.</w:t>
      </w:r>
    </w:p>
    <w:p w14:paraId="26012BE5" w14:textId="72D86501" w:rsidR="00D33C9F" w:rsidRDefault="00D33C9F" w:rsidP="00624FC8">
      <w:pPr>
        <w:pStyle w:val="Heading1"/>
        <w:numPr>
          <w:ilvl w:val="0"/>
          <w:numId w:val="6"/>
        </w:numPr>
        <w:spacing w:line="360" w:lineRule="auto"/>
        <w:rPr>
          <w:rFonts w:ascii="Times New Roman" w:hAnsi="Times New Roman" w:cs="Times New Roman"/>
          <w:color w:val="auto"/>
        </w:rPr>
      </w:pPr>
      <w:bookmarkStart w:id="9" w:name="_Toc224383478"/>
      <w:bookmarkStart w:id="10" w:name="_Toc224564534"/>
      <w:bookmarkStart w:id="11" w:name="_Toc224564553"/>
      <w:r w:rsidRPr="00D33C9F">
        <w:rPr>
          <w:rFonts w:ascii="Times New Roman" w:hAnsi="Times New Roman" w:cs="Times New Roman"/>
          <w:color w:val="auto"/>
        </w:rPr>
        <w:t>Connecting Rod Bolt Stress Analysis</w:t>
      </w:r>
      <w:bookmarkEnd w:id="9"/>
      <w:bookmarkEnd w:id="10"/>
      <w:bookmarkEnd w:id="11"/>
    </w:p>
    <w:p w14:paraId="47D66DDC" w14:textId="614FEBE5" w:rsidR="00904653" w:rsidRDefault="00904653" w:rsidP="00F07117">
      <w:pPr>
        <w:pStyle w:val="Heading2"/>
        <w:numPr>
          <w:ilvl w:val="1"/>
          <w:numId w:val="6"/>
        </w:numPr>
        <w:rPr>
          <w:rFonts w:ascii="Times New Roman" w:hAnsi="Times New Roman" w:cs="Times New Roman"/>
          <w:color w:val="auto"/>
        </w:rPr>
      </w:pPr>
      <w:bookmarkStart w:id="12" w:name="_Toc224564535"/>
      <w:bookmarkStart w:id="13" w:name="_Toc224564554"/>
      <w:r w:rsidRPr="00F07117">
        <w:rPr>
          <w:rFonts w:ascii="Times New Roman" w:hAnsi="Times New Roman" w:cs="Times New Roman"/>
          <w:color w:val="auto"/>
        </w:rPr>
        <w:t>– Bolt Parameters</w:t>
      </w:r>
      <w:bookmarkEnd w:id="12"/>
      <w:bookmarkEnd w:id="13"/>
    </w:p>
    <w:p w14:paraId="586A4A9A" w14:textId="5CFC614B" w:rsidR="003265B7" w:rsidRPr="003265B7" w:rsidRDefault="003265B7" w:rsidP="003265B7">
      <w:pPr>
        <w:rPr>
          <w:rFonts w:ascii="Times New Roman" w:hAnsi="Times New Roman" w:cs="Times New Roman"/>
          <w:i/>
          <w:iCs/>
          <w:sz w:val="22"/>
          <w:szCs w:val="22"/>
        </w:rPr>
      </w:pPr>
      <w:r w:rsidRPr="003265B7">
        <w:rPr>
          <w:rFonts w:ascii="Times New Roman" w:hAnsi="Times New Roman" w:cs="Times New Roman"/>
          <w:i/>
          <w:iCs/>
          <w:sz w:val="22"/>
          <w:szCs w:val="22"/>
        </w:rPr>
        <w:t xml:space="preserve">Table </w:t>
      </w:r>
      <w:r>
        <w:rPr>
          <w:rFonts w:ascii="Times New Roman" w:hAnsi="Times New Roman" w:cs="Times New Roman"/>
          <w:i/>
          <w:iCs/>
          <w:sz w:val="22"/>
          <w:szCs w:val="22"/>
        </w:rPr>
        <w:t>3</w:t>
      </w:r>
      <w:r w:rsidRPr="003265B7">
        <w:rPr>
          <w:rFonts w:ascii="Times New Roman" w:hAnsi="Times New Roman" w:cs="Times New Roman"/>
          <w:i/>
          <w:iCs/>
          <w:sz w:val="22"/>
          <w:szCs w:val="22"/>
        </w:rPr>
        <w:t>.1 –</w:t>
      </w:r>
      <w:r>
        <w:rPr>
          <w:rFonts w:ascii="Times New Roman" w:hAnsi="Times New Roman" w:cs="Times New Roman"/>
          <w:i/>
          <w:iCs/>
          <w:sz w:val="22"/>
          <w:szCs w:val="22"/>
        </w:rPr>
        <w:t xml:space="preserve">Connecting </w:t>
      </w:r>
      <w:r w:rsidRPr="003265B7">
        <w:rPr>
          <w:rFonts w:ascii="Times New Roman" w:hAnsi="Times New Roman" w:cs="Times New Roman"/>
          <w:i/>
          <w:iCs/>
          <w:sz w:val="22"/>
          <w:szCs w:val="22"/>
        </w:rPr>
        <w:t>bolt parameter</w:t>
      </w:r>
      <w:r>
        <w:rPr>
          <w:rFonts w:ascii="Times New Roman" w:hAnsi="Times New Roman" w:cs="Times New Roman"/>
          <w:i/>
          <w:iCs/>
          <w:sz w:val="22"/>
          <w:szCs w:val="22"/>
        </w:rPr>
        <w:t xml:space="preserve"> values.</w:t>
      </w:r>
    </w:p>
    <w:tbl>
      <w:tblPr>
        <w:tblStyle w:val="TableGrid"/>
        <w:tblW w:w="0" w:type="auto"/>
        <w:tblLook w:val="04A0" w:firstRow="1" w:lastRow="0" w:firstColumn="1" w:lastColumn="0" w:noHBand="0" w:noVBand="1"/>
      </w:tblPr>
      <w:tblGrid>
        <w:gridCol w:w="3005"/>
        <w:gridCol w:w="3005"/>
        <w:gridCol w:w="3006"/>
      </w:tblGrid>
      <w:tr w:rsidR="00AB5480" w:rsidRPr="00AB5480" w14:paraId="36E4A29E" w14:textId="77777777" w:rsidTr="00AB5480">
        <w:tc>
          <w:tcPr>
            <w:tcW w:w="3005" w:type="dxa"/>
          </w:tcPr>
          <w:p w14:paraId="39663EAE" w14:textId="7B4FCDA7" w:rsidR="00AB5480" w:rsidRPr="00AB5480" w:rsidRDefault="005B101D" w:rsidP="00B02AAD">
            <w:pPr>
              <w:rPr>
                <w:rFonts w:ascii="Times New Roman" w:hAnsi="Times New Roman" w:cs="Times New Roman"/>
                <w:sz w:val="22"/>
                <w:szCs w:val="22"/>
              </w:rPr>
            </w:pPr>
            <w:r>
              <w:rPr>
                <w:rFonts w:ascii="Times New Roman" w:hAnsi="Times New Roman" w:cs="Times New Roman"/>
                <w:sz w:val="22"/>
                <w:szCs w:val="22"/>
              </w:rPr>
              <w:t>Parameter</w:t>
            </w:r>
          </w:p>
        </w:tc>
        <w:tc>
          <w:tcPr>
            <w:tcW w:w="3005" w:type="dxa"/>
          </w:tcPr>
          <w:p w14:paraId="227F7B98" w14:textId="576C5FE0" w:rsidR="00AB5480" w:rsidRPr="00AB5480" w:rsidRDefault="005B101D" w:rsidP="00B02AAD">
            <w:pPr>
              <w:rPr>
                <w:rFonts w:ascii="Times New Roman" w:hAnsi="Times New Roman" w:cs="Times New Roman"/>
                <w:sz w:val="22"/>
                <w:szCs w:val="22"/>
              </w:rPr>
            </w:pPr>
            <w:r>
              <w:rPr>
                <w:rFonts w:ascii="Times New Roman" w:hAnsi="Times New Roman" w:cs="Times New Roman"/>
                <w:sz w:val="22"/>
                <w:szCs w:val="22"/>
              </w:rPr>
              <w:t>Value</w:t>
            </w:r>
          </w:p>
        </w:tc>
        <w:tc>
          <w:tcPr>
            <w:tcW w:w="3006" w:type="dxa"/>
          </w:tcPr>
          <w:p w14:paraId="0FB53CA8" w14:textId="19D80456" w:rsidR="00AB5480" w:rsidRPr="00AB5480" w:rsidRDefault="005B101D" w:rsidP="00B02AAD">
            <w:pPr>
              <w:rPr>
                <w:rFonts w:ascii="Times New Roman" w:hAnsi="Times New Roman" w:cs="Times New Roman"/>
                <w:sz w:val="22"/>
                <w:szCs w:val="22"/>
              </w:rPr>
            </w:pPr>
            <w:r>
              <w:rPr>
                <w:rFonts w:ascii="Times New Roman" w:hAnsi="Times New Roman" w:cs="Times New Roman"/>
                <w:sz w:val="22"/>
                <w:szCs w:val="22"/>
              </w:rPr>
              <w:t>Unit</w:t>
            </w:r>
          </w:p>
        </w:tc>
      </w:tr>
      <w:tr w:rsidR="00AB5480" w:rsidRPr="00AB5480" w14:paraId="08C145FF" w14:textId="77777777" w:rsidTr="00AB5480">
        <w:tc>
          <w:tcPr>
            <w:tcW w:w="3005" w:type="dxa"/>
          </w:tcPr>
          <w:p w14:paraId="7C3F59F7" w14:textId="121D3B26" w:rsidR="00AB5480" w:rsidRPr="00AB5480" w:rsidRDefault="005B101D" w:rsidP="00B02AAD">
            <w:pPr>
              <w:rPr>
                <w:rFonts w:ascii="Times New Roman" w:hAnsi="Times New Roman" w:cs="Times New Roman"/>
                <w:sz w:val="22"/>
                <w:szCs w:val="22"/>
              </w:rPr>
            </w:pPr>
            <w:r>
              <w:rPr>
                <w:rFonts w:ascii="Times New Roman" w:hAnsi="Times New Roman" w:cs="Times New Roman"/>
                <w:sz w:val="22"/>
                <w:szCs w:val="22"/>
              </w:rPr>
              <w:t>Cross-sectional area</w:t>
            </w:r>
          </w:p>
        </w:tc>
        <w:tc>
          <w:tcPr>
            <w:tcW w:w="3005" w:type="dxa"/>
          </w:tcPr>
          <w:p w14:paraId="256B5F61" w14:textId="4A649C5F" w:rsidR="00AB5480" w:rsidRPr="00AB5480" w:rsidRDefault="004B6473" w:rsidP="00B02AAD">
            <w:pPr>
              <w:rPr>
                <w:rFonts w:ascii="Times New Roman" w:hAnsi="Times New Roman" w:cs="Times New Roman"/>
                <w:sz w:val="22"/>
                <w:szCs w:val="22"/>
              </w:rPr>
            </w:pPr>
            <w:r>
              <w:rPr>
                <w:rFonts w:ascii="Times New Roman" w:hAnsi="Times New Roman" w:cs="Times New Roman"/>
                <w:sz w:val="22"/>
                <w:szCs w:val="22"/>
              </w:rPr>
              <w:t>42.43</w:t>
            </w:r>
          </w:p>
        </w:tc>
        <w:tc>
          <w:tcPr>
            <w:tcW w:w="3006" w:type="dxa"/>
          </w:tcPr>
          <w:p w14:paraId="2336CF73" w14:textId="5E97ACF0" w:rsidR="00AB5480" w:rsidRPr="00AB5480" w:rsidRDefault="003265B7" w:rsidP="00B02AAD">
            <w:pPr>
              <w:rPr>
                <w:rFonts w:ascii="Times New Roman" w:hAnsi="Times New Roman" w:cs="Times New Roman"/>
                <w:sz w:val="22"/>
                <w:szCs w:val="22"/>
              </w:rPr>
            </w:pPr>
            <w:r>
              <w:rPr>
                <w:rFonts w:ascii="Times New Roman" w:hAnsi="Times New Roman" w:cs="Times New Roman"/>
                <w:sz w:val="22"/>
                <w:szCs w:val="22"/>
              </w:rPr>
              <w:t>mm^2</w:t>
            </w:r>
          </w:p>
        </w:tc>
      </w:tr>
      <w:tr w:rsidR="00AB5480" w:rsidRPr="00AB5480" w14:paraId="55207784" w14:textId="77777777" w:rsidTr="00AB5480">
        <w:tc>
          <w:tcPr>
            <w:tcW w:w="3005" w:type="dxa"/>
          </w:tcPr>
          <w:p w14:paraId="79A70B98" w14:textId="2FE60836" w:rsidR="00AB5480" w:rsidRPr="00AB5480" w:rsidRDefault="005B101D" w:rsidP="00B02AAD">
            <w:pPr>
              <w:rPr>
                <w:rFonts w:ascii="Times New Roman" w:hAnsi="Times New Roman" w:cs="Times New Roman"/>
                <w:sz w:val="22"/>
                <w:szCs w:val="22"/>
              </w:rPr>
            </w:pPr>
            <w:r>
              <w:rPr>
                <w:rFonts w:ascii="Times New Roman" w:hAnsi="Times New Roman" w:cs="Times New Roman"/>
                <w:sz w:val="22"/>
                <w:szCs w:val="22"/>
              </w:rPr>
              <w:t>UTS</w:t>
            </w:r>
            <w:r w:rsidR="00092FAD">
              <w:rPr>
                <w:rFonts w:ascii="Times New Roman" w:hAnsi="Times New Roman" w:cs="Times New Roman"/>
                <w:sz w:val="22"/>
                <w:szCs w:val="22"/>
              </w:rPr>
              <w:t xml:space="preserve"> (Ultimate Tensile Stress)</w:t>
            </w:r>
          </w:p>
        </w:tc>
        <w:tc>
          <w:tcPr>
            <w:tcW w:w="3005" w:type="dxa"/>
          </w:tcPr>
          <w:p w14:paraId="1874BCC2" w14:textId="528E36EA" w:rsidR="00AB5480" w:rsidRPr="00AB5480" w:rsidRDefault="004B6473" w:rsidP="00B02AAD">
            <w:pPr>
              <w:rPr>
                <w:rFonts w:ascii="Times New Roman" w:hAnsi="Times New Roman" w:cs="Times New Roman"/>
                <w:sz w:val="22"/>
                <w:szCs w:val="22"/>
              </w:rPr>
            </w:pPr>
            <w:r>
              <w:rPr>
                <w:rFonts w:ascii="Times New Roman" w:hAnsi="Times New Roman" w:cs="Times New Roman"/>
                <w:sz w:val="22"/>
                <w:szCs w:val="22"/>
              </w:rPr>
              <w:t>1100</w:t>
            </w:r>
          </w:p>
        </w:tc>
        <w:tc>
          <w:tcPr>
            <w:tcW w:w="3006" w:type="dxa"/>
          </w:tcPr>
          <w:p w14:paraId="517A1FBD" w14:textId="166A07B7" w:rsidR="00AB5480" w:rsidRPr="00AB5480" w:rsidRDefault="003265B7" w:rsidP="00B02AAD">
            <w:pPr>
              <w:rPr>
                <w:rFonts w:ascii="Times New Roman" w:hAnsi="Times New Roman" w:cs="Times New Roman"/>
                <w:sz w:val="22"/>
                <w:szCs w:val="22"/>
              </w:rPr>
            </w:pPr>
            <w:r>
              <w:rPr>
                <w:rFonts w:ascii="Times New Roman" w:hAnsi="Times New Roman" w:cs="Times New Roman"/>
                <w:sz w:val="22"/>
                <w:szCs w:val="22"/>
              </w:rPr>
              <w:t>MPa</w:t>
            </w:r>
          </w:p>
        </w:tc>
      </w:tr>
      <w:tr w:rsidR="00AB5480" w:rsidRPr="00AB5480" w14:paraId="21E5DAAF" w14:textId="77777777" w:rsidTr="00AB5480">
        <w:tc>
          <w:tcPr>
            <w:tcW w:w="3005" w:type="dxa"/>
          </w:tcPr>
          <w:p w14:paraId="5995E555" w14:textId="1C5C6CAD" w:rsidR="00AB5480" w:rsidRPr="00AB5480" w:rsidRDefault="00092FAD" w:rsidP="00B02AAD">
            <w:pPr>
              <w:rPr>
                <w:rFonts w:ascii="Times New Roman" w:hAnsi="Times New Roman" w:cs="Times New Roman"/>
                <w:sz w:val="22"/>
                <w:szCs w:val="22"/>
              </w:rPr>
            </w:pPr>
            <w:r>
              <w:rPr>
                <w:rFonts w:ascii="Times New Roman" w:hAnsi="Times New Roman" w:cs="Times New Roman"/>
                <w:sz w:val="22"/>
                <w:szCs w:val="22"/>
              </w:rPr>
              <w:t>Endurance limit</w:t>
            </w:r>
          </w:p>
        </w:tc>
        <w:tc>
          <w:tcPr>
            <w:tcW w:w="3005" w:type="dxa"/>
          </w:tcPr>
          <w:p w14:paraId="668BDAAC" w14:textId="2C180C04" w:rsidR="00AB5480"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495</w:t>
            </w:r>
          </w:p>
        </w:tc>
        <w:tc>
          <w:tcPr>
            <w:tcW w:w="3006" w:type="dxa"/>
          </w:tcPr>
          <w:p w14:paraId="1E50EECC" w14:textId="44EC0474" w:rsidR="00AB5480" w:rsidRPr="00AB5480" w:rsidRDefault="00AD50A6" w:rsidP="00B02AAD">
            <w:pPr>
              <w:rPr>
                <w:rFonts w:ascii="Times New Roman" w:hAnsi="Times New Roman" w:cs="Times New Roman"/>
                <w:sz w:val="22"/>
                <w:szCs w:val="22"/>
              </w:rPr>
            </w:pPr>
            <w:r>
              <w:rPr>
                <w:rFonts w:ascii="Times New Roman" w:hAnsi="Times New Roman" w:cs="Times New Roman"/>
                <w:sz w:val="22"/>
                <w:szCs w:val="22"/>
              </w:rPr>
              <w:t>MPa</w:t>
            </w:r>
          </w:p>
        </w:tc>
      </w:tr>
      <w:tr w:rsidR="00AB5480" w:rsidRPr="00AB5480" w14:paraId="47D8F04B" w14:textId="77777777" w:rsidTr="00AB5480">
        <w:tc>
          <w:tcPr>
            <w:tcW w:w="3005" w:type="dxa"/>
          </w:tcPr>
          <w:p w14:paraId="0A03257F" w14:textId="1BEF6AC2" w:rsidR="00AB5480" w:rsidRPr="00AB5480" w:rsidRDefault="00092FAD" w:rsidP="00B02AAD">
            <w:pPr>
              <w:rPr>
                <w:rFonts w:ascii="Times New Roman" w:hAnsi="Times New Roman" w:cs="Times New Roman"/>
                <w:sz w:val="22"/>
                <w:szCs w:val="22"/>
              </w:rPr>
            </w:pPr>
            <w:r>
              <w:rPr>
                <w:rFonts w:ascii="Times New Roman" w:hAnsi="Times New Roman" w:cs="Times New Roman"/>
                <w:sz w:val="22"/>
                <w:szCs w:val="22"/>
              </w:rPr>
              <w:t xml:space="preserve">Elastic </w:t>
            </w:r>
            <w:r w:rsidR="004B6473">
              <w:rPr>
                <w:rFonts w:ascii="Times New Roman" w:hAnsi="Times New Roman" w:cs="Times New Roman"/>
                <w:sz w:val="22"/>
                <w:szCs w:val="22"/>
              </w:rPr>
              <w:t>m</w:t>
            </w:r>
            <w:r>
              <w:rPr>
                <w:rFonts w:ascii="Times New Roman" w:hAnsi="Times New Roman" w:cs="Times New Roman"/>
                <w:sz w:val="22"/>
                <w:szCs w:val="22"/>
              </w:rPr>
              <w:t>odulus</w:t>
            </w:r>
          </w:p>
        </w:tc>
        <w:tc>
          <w:tcPr>
            <w:tcW w:w="3005" w:type="dxa"/>
          </w:tcPr>
          <w:p w14:paraId="35C23C46" w14:textId="11B09AD5" w:rsidR="00AB5480"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200000</w:t>
            </w:r>
          </w:p>
        </w:tc>
        <w:tc>
          <w:tcPr>
            <w:tcW w:w="3006" w:type="dxa"/>
          </w:tcPr>
          <w:p w14:paraId="778F19AD" w14:textId="24706D01" w:rsidR="00AB5480" w:rsidRPr="00AB5480" w:rsidRDefault="00AD50A6" w:rsidP="00B02AAD">
            <w:pPr>
              <w:rPr>
                <w:rFonts w:ascii="Times New Roman" w:hAnsi="Times New Roman" w:cs="Times New Roman"/>
                <w:sz w:val="22"/>
                <w:szCs w:val="22"/>
              </w:rPr>
            </w:pPr>
            <w:r>
              <w:rPr>
                <w:rFonts w:ascii="Times New Roman" w:hAnsi="Times New Roman" w:cs="Times New Roman"/>
                <w:sz w:val="22"/>
                <w:szCs w:val="22"/>
              </w:rPr>
              <w:t>N/mm^2</w:t>
            </w:r>
          </w:p>
        </w:tc>
      </w:tr>
      <w:tr w:rsidR="00AB5480" w:rsidRPr="00AB5480" w14:paraId="7C237443" w14:textId="77777777" w:rsidTr="00AB5480">
        <w:tc>
          <w:tcPr>
            <w:tcW w:w="3005" w:type="dxa"/>
          </w:tcPr>
          <w:p w14:paraId="68873D31" w14:textId="1E886D38" w:rsidR="00AB5480" w:rsidRPr="00AB5480" w:rsidRDefault="004C35B9" w:rsidP="00B02AAD">
            <w:pPr>
              <w:rPr>
                <w:rFonts w:ascii="Times New Roman" w:hAnsi="Times New Roman" w:cs="Times New Roman"/>
                <w:sz w:val="22"/>
                <w:szCs w:val="22"/>
              </w:rPr>
            </w:pPr>
            <w:r>
              <w:rPr>
                <w:rFonts w:ascii="Times New Roman" w:hAnsi="Times New Roman" w:cs="Times New Roman"/>
                <w:sz w:val="22"/>
                <w:szCs w:val="22"/>
              </w:rPr>
              <w:t xml:space="preserve">Threaded </w:t>
            </w:r>
            <w:r w:rsidR="004B6473">
              <w:rPr>
                <w:rFonts w:ascii="Times New Roman" w:hAnsi="Times New Roman" w:cs="Times New Roman"/>
                <w:sz w:val="22"/>
                <w:szCs w:val="22"/>
              </w:rPr>
              <w:t>l</w:t>
            </w:r>
            <w:r>
              <w:rPr>
                <w:rFonts w:ascii="Times New Roman" w:hAnsi="Times New Roman" w:cs="Times New Roman"/>
                <w:sz w:val="22"/>
                <w:szCs w:val="22"/>
              </w:rPr>
              <w:t>ength</w:t>
            </w:r>
          </w:p>
        </w:tc>
        <w:tc>
          <w:tcPr>
            <w:tcW w:w="3005" w:type="dxa"/>
          </w:tcPr>
          <w:p w14:paraId="274379BD" w14:textId="02989611" w:rsidR="00AB5480"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21.26</w:t>
            </w:r>
          </w:p>
        </w:tc>
        <w:tc>
          <w:tcPr>
            <w:tcW w:w="3006" w:type="dxa"/>
          </w:tcPr>
          <w:p w14:paraId="62A20194" w14:textId="513A70AD" w:rsidR="00AB5480" w:rsidRPr="00AB5480" w:rsidRDefault="003265B7" w:rsidP="00B02AAD">
            <w:pPr>
              <w:rPr>
                <w:rFonts w:ascii="Times New Roman" w:hAnsi="Times New Roman" w:cs="Times New Roman"/>
                <w:sz w:val="22"/>
                <w:szCs w:val="22"/>
              </w:rPr>
            </w:pPr>
            <w:r>
              <w:rPr>
                <w:rFonts w:ascii="Times New Roman" w:hAnsi="Times New Roman" w:cs="Times New Roman"/>
                <w:sz w:val="22"/>
                <w:szCs w:val="22"/>
              </w:rPr>
              <w:t>mm</w:t>
            </w:r>
          </w:p>
        </w:tc>
      </w:tr>
      <w:tr w:rsidR="004C35B9" w:rsidRPr="00AB5480" w14:paraId="7ECB06EB" w14:textId="77777777" w:rsidTr="00AB5480">
        <w:tc>
          <w:tcPr>
            <w:tcW w:w="3005" w:type="dxa"/>
          </w:tcPr>
          <w:p w14:paraId="71B40DCA" w14:textId="23E2954A" w:rsidR="004C35B9" w:rsidRDefault="004C35B9" w:rsidP="00B02AAD">
            <w:pPr>
              <w:rPr>
                <w:rFonts w:ascii="Times New Roman" w:hAnsi="Times New Roman" w:cs="Times New Roman"/>
                <w:sz w:val="22"/>
                <w:szCs w:val="22"/>
              </w:rPr>
            </w:pPr>
            <w:r>
              <w:rPr>
                <w:rFonts w:ascii="Times New Roman" w:hAnsi="Times New Roman" w:cs="Times New Roman"/>
                <w:sz w:val="22"/>
                <w:szCs w:val="22"/>
              </w:rPr>
              <w:t xml:space="preserve">Interacting </w:t>
            </w:r>
            <w:r w:rsidR="004B6473">
              <w:rPr>
                <w:rFonts w:ascii="Times New Roman" w:hAnsi="Times New Roman" w:cs="Times New Roman"/>
                <w:sz w:val="22"/>
                <w:szCs w:val="22"/>
              </w:rPr>
              <w:t>l</w:t>
            </w:r>
            <w:r>
              <w:rPr>
                <w:rFonts w:ascii="Times New Roman" w:hAnsi="Times New Roman" w:cs="Times New Roman"/>
                <w:sz w:val="22"/>
                <w:szCs w:val="22"/>
              </w:rPr>
              <w:t>ength</w:t>
            </w:r>
          </w:p>
        </w:tc>
        <w:tc>
          <w:tcPr>
            <w:tcW w:w="3005" w:type="dxa"/>
          </w:tcPr>
          <w:p w14:paraId="2381E171" w14:textId="4E111BC8" w:rsidR="004C35B9"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31</w:t>
            </w:r>
          </w:p>
        </w:tc>
        <w:tc>
          <w:tcPr>
            <w:tcW w:w="3006" w:type="dxa"/>
          </w:tcPr>
          <w:p w14:paraId="48B2649F" w14:textId="3510912A" w:rsidR="004C35B9" w:rsidRPr="00AB5480" w:rsidRDefault="003265B7" w:rsidP="00B02AAD">
            <w:pPr>
              <w:rPr>
                <w:rFonts w:ascii="Times New Roman" w:hAnsi="Times New Roman" w:cs="Times New Roman"/>
                <w:sz w:val="22"/>
                <w:szCs w:val="22"/>
              </w:rPr>
            </w:pPr>
            <w:r>
              <w:rPr>
                <w:rFonts w:ascii="Times New Roman" w:hAnsi="Times New Roman" w:cs="Times New Roman"/>
                <w:sz w:val="22"/>
                <w:szCs w:val="22"/>
              </w:rPr>
              <w:t>mm</w:t>
            </w:r>
          </w:p>
        </w:tc>
      </w:tr>
      <w:tr w:rsidR="004C35B9" w:rsidRPr="00AB5480" w14:paraId="41CE977A" w14:textId="77777777" w:rsidTr="00AB5480">
        <w:tc>
          <w:tcPr>
            <w:tcW w:w="3005" w:type="dxa"/>
          </w:tcPr>
          <w:p w14:paraId="4280E56F" w14:textId="21442B7C" w:rsidR="004C35B9" w:rsidRDefault="004C35B9" w:rsidP="00B02AAD">
            <w:pPr>
              <w:rPr>
                <w:rFonts w:ascii="Times New Roman" w:hAnsi="Times New Roman" w:cs="Times New Roman"/>
                <w:sz w:val="22"/>
                <w:szCs w:val="22"/>
              </w:rPr>
            </w:pPr>
            <w:r>
              <w:rPr>
                <w:rFonts w:ascii="Times New Roman" w:hAnsi="Times New Roman" w:cs="Times New Roman"/>
                <w:sz w:val="22"/>
                <w:szCs w:val="22"/>
              </w:rPr>
              <w:t xml:space="preserve">Preload </w:t>
            </w:r>
            <w:r w:rsidR="004B6473">
              <w:rPr>
                <w:rFonts w:ascii="Times New Roman" w:hAnsi="Times New Roman" w:cs="Times New Roman"/>
                <w:sz w:val="22"/>
                <w:szCs w:val="22"/>
              </w:rPr>
              <w:t>s</w:t>
            </w:r>
            <w:r>
              <w:rPr>
                <w:rFonts w:ascii="Times New Roman" w:hAnsi="Times New Roman" w:cs="Times New Roman"/>
                <w:sz w:val="22"/>
                <w:szCs w:val="22"/>
              </w:rPr>
              <w:t>tress</w:t>
            </w:r>
          </w:p>
        </w:tc>
        <w:tc>
          <w:tcPr>
            <w:tcW w:w="3005" w:type="dxa"/>
          </w:tcPr>
          <w:p w14:paraId="65EEAB5D" w14:textId="0FA37E58" w:rsidR="004C35B9"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594</w:t>
            </w:r>
          </w:p>
        </w:tc>
        <w:tc>
          <w:tcPr>
            <w:tcW w:w="3006" w:type="dxa"/>
          </w:tcPr>
          <w:p w14:paraId="1030F909" w14:textId="68DFFA6F" w:rsidR="004C35B9" w:rsidRPr="00AB5480" w:rsidRDefault="00AD50A6" w:rsidP="00B02AAD">
            <w:pPr>
              <w:rPr>
                <w:rFonts w:ascii="Times New Roman" w:hAnsi="Times New Roman" w:cs="Times New Roman"/>
                <w:sz w:val="22"/>
                <w:szCs w:val="22"/>
              </w:rPr>
            </w:pPr>
            <w:r>
              <w:rPr>
                <w:rFonts w:ascii="Times New Roman" w:hAnsi="Times New Roman" w:cs="Times New Roman"/>
                <w:sz w:val="22"/>
                <w:szCs w:val="22"/>
              </w:rPr>
              <w:t>MPa</w:t>
            </w:r>
          </w:p>
        </w:tc>
      </w:tr>
      <w:tr w:rsidR="004C35B9" w:rsidRPr="00AB5480" w14:paraId="2FF24CE6" w14:textId="77777777" w:rsidTr="00AB5480">
        <w:tc>
          <w:tcPr>
            <w:tcW w:w="3005" w:type="dxa"/>
          </w:tcPr>
          <w:p w14:paraId="46AC1F15" w14:textId="17606B13" w:rsidR="004C35B9" w:rsidRDefault="004B6473" w:rsidP="00B02AAD">
            <w:pPr>
              <w:rPr>
                <w:rFonts w:ascii="Times New Roman" w:hAnsi="Times New Roman" w:cs="Times New Roman"/>
                <w:sz w:val="22"/>
                <w:szCs w:val="22"/>
              </w:rPr>
            </w:pPr>
            <w:r>
              <w:rPr>
                <w:rFonts w:ascii="Times New Roman" w:hAnsi="Times New Roman" w:cs="Times New Roman"/>
                <w:sz w:val="22"/>
                <w:szCs w:val="22"/>
              </w:rPr>
              <w:t>Preload force</w:t>
            </w:r>
          </w:p>
        </w:tc>
        <w:tc>
          <w:tcPr>
            <w:tcW w:w="3005" w:type="dxa"/>
          </w:tcPr>
          <w:p w14:paraId="543151AD" w14:textId="11988683" w:rsidR="004C35B9" w:rsidRPr="00AB5480" w:rsidRDefault="00AF17D7" w:rsidP="00B02AAD">
            <w:pPr>
              <w:rPr>
                <w:rFonts w:ascii="Times New Roman" w:hAnsi="Times New Roman" w:cs="Times New Roman"/>
                <w:sz w:val="22"/>
                <w:szCs w:val="22"/>
              </w:rPr>
            </w:pPr>
            <w:r>
              <w:rPr>
                <w:rFonts w:ascii="Times New Roman" w:hAnsi="Times New Roman" w:cs="Times New Roman"/>
                <w:sz w:val="22"/>
                <w:szCs w:val="22"/>
              </w:rPr>
              <w:t>25202</w:t>
            </w:r>
          </w:p>
        </w:tc>
        <w:tc>
          <w:tcPr>
            <w:tcW w:w="3006" w:type="dxa"/>
          </w:tcPr>
          <w:p w14:paraId="03174D04" w14:textId="2C86AEBF" w:rsidR="004C35B9" w:rsidRPr="00AB5480" w:rsidRDefault="00AD50A6" w:rsidP="00B02AAD">
            <w:pPr>
              <w:rPr>
                <w:rFonts w:ascii="Times New Roman" w:hAnsi="Times New Roman" w:cs="Times New Roman"/>
                <w:sz w:val="22"/>
                <w:szCs w:val="22"/>
              </w:rPr>
            </w:pPr>
            <w:r>
              <w:rPr>
                <w:rFonts w:ascii="Times New Roman" w:hAnsi="Times New Roman" w:cs="Times New Roman"/>
                <w:sz w:val="22"/>
                <w:szCs w:val="22"/>
              </w:rPr>
              <w:t>N</w:t>
            </w:r>
          </w:p>
        </w:tc>
      </w:tr>
    </w:tbl>
    <w:p w14:paraId="16F3E5FE" w14:textId="77777777" w:rsidR="00B02AAD" w:rsidRDefault="00B02AAD" w:rsidP="00B02AAD">
      <w:pPr>
        <w:rPr>
          <w:rFonts w:ascii="Times New Roman" w:hAnsi="Times New Roman" w:cs="Times New Roman"/>
          <w:sz w:val="22"/>
          <w:szCs w:val="22"/>
        </w:rPr>
      </w:pPr>
    </w:p>
    <w:p w14:paraId="3C5E51E3" w14:textId="77777777" w:rsidR="003265B7" w:rsidRPr="00AB5480" w:rsidRDefault="003265B7" w:rsidP="00B02AAD">
      <w:pPr>
        <w:rPr>
          <w:rFonts w:ascii="Times New Roman" w:hAnsi="Times New Roman" w:cs="Times New Roman"/>
          <w:sz w:val="22"/>
          <w:szCs w:val="22"/>
        </w:rPr>
      </w:pPr>
    </w:p>
    <w:p w14:paraId="0B734CA4" w14:textId="6A5A255A" w:rsidR="00F07117" w:rsidRPr="00B02AAD" w:rsidRDefault="00B02AAD" w:rsidP="00B02AAD">
      <w:pPr>
        <w:pStyle w:val="Heading2"/>
        <w:numPr>
          <w:ilvl w:val="1"/>
          <w:numId w:val="6"/>
        </w:numPr>
        <w:rPr>
          <w:rFonts w:ascii="Times New Roman" w:hAnsi="Times New Roman" w:cs="Times New Roman"/>
          <w:color w:val="auto"/>
        </w:rPr>
      </w:pPr>
      <w:bookmarkStart w:id="14" w:name="_Toc224564536"/>
      <w:bookmarkStart w:id="15" w:name="_Toc224564555"/>
      <w:r>
        <w:rPr>
          <w:rFonts w:ascii="Times New Roman" w:hAnsi="Times New Roman" w:cs="Times New Roman"/>
          <w:color w:val="auto"/>
        </w:rPr>
        <w:lastRenderedPageBreak/>
        <w:t>–</w:t>
      </w:r>
      <w:r w:rsidR="00B87A8B">
        <w:rPr>
          <w:rFonts w:ascii="Times New Roman" w:hAnsi="Times New Roman" w:cs="Times New Roman"/>
          <w:color w:val="auto"/>
        </w:rPr>
        <w:t xml:space="preserve"> </w:t>
      </w:r>
      <w:r>
        <w:rPr>
          <w:rFonts w:ascii="Times New Roman" w:hAnsi="Times New Roman" w:cs="Times New Roman"/>
          <w:color w:val="auto"/>
        </w:rPr>
        <w:t>Connecting Rod Bolt Analysis</w:t>
      </w:r>
      <w:bookmarkEnd w:id="14"/>
      <w:bookmarkEnd w:id="15"/>
    </w:p>
    <w:p w14:paraId="64B9E423" w14:textId="585B39D6" w:rsidR="00071D9E" w:rsidRPr="00071D9E" w:rsidRDefault="00071D9E" w:rsidP="0032416C">
      <w:pPr>
        <w:spacing w:line="360" w:lineRule="auto"/>
        <w:rPr>
          <w:rFonts w:ascii="Times New Roman" w:hAnsi="Times New Roman" w:cs="Times New Roman"/>
          <w:sz w:val="22"/>
          <w:szCs w:val="22"/>
        </w:rPr>
      </w:pPr>
      <w:r>
        <w:rPr>
          <w:rFonts w:ascii="Times New Roman" w:hAnsi="Times New Roman" w:cs="Times New Roman"/>
          <w:sz w:val="22"/>
          <w:szCs w:val="22"/>
        </w:rPr>
        <w:t xml:space="preserve">As seen </w:t>
      </w:r>
      <w:r w:rsidRPr="007C7457">
        <w:rPr>
          <w:rFonts w:ascii="Times New Roman" w:hAnsi="Times New Roman" w:cs="Times New Roman"/>
          <w:sz w:val="22"/>
          <w:szCs w:val="22"/>
        </w:rPr>
        <w:t xml:space="preserve">in figure </w:t>
      </w:r>
      <w:r w:rsidR="007C7457" w:rsidRPr="007C7457">
        <w:rPr>
          <w:rFonts w:ascii="Times New Roman" w:hAnsi="Times New Roman" w:cs="Times New Roman"/>
          <w:sz w:val="22"/>
          <w:szCs w:val="22"/>
        </w:rPr>
        <w:t>3.1</w:t>
      </w:r>
      <w:r w:rsidRPr="007C7457">
        <w:rPr>
          <w:rFonts w:ascii="Times New Roman" w:hAnsi="Times New Roman" w:cs="Times New Roman"/>
          <w:sz w:val="22"/>
          <w:szCs w:val="22"/>
        </w:rPr>
        <w:t>,</w:t>
      </w:r>
      <w:r>
        <w:rPr>
          <w:rFonts w:ascii="Times New Roman" w:hAnsi="Times New Roman" w:cs="Times New Roman"/>
          <w:sz w:val="22"/>
          <w:szCs w:val="22"/>
        </w:rPr>
        <w:t xml:space="preserve"> the bolt remains in tension </w:t>
      </w:r>
      <w:r w:rsidR="0005035F">
        <w:rPr>
          <w:rFonts w:ascii="Times New Roman" w:hAnsi="Times New Roman" w:cs="Times New Roman"/>
          <w:sz w:val="22"/>
          <w:szCs w:val="22"/>
        </w:rPr>
        <w:t xml:space="preserve">throughout the entire engine cycle due to the initial </w:t>
      </w:r>
      <w:r w:rsidR="00C67AD8">
        <w:rPr>
          <w:rFonts w:ascii="Times New Roman" w:hAnsi="Times New Roman" w:cs="Times New Roman"/>
          <w:sz w:val="22"/>
          <w:szCs w:val="22"/>
        </w:rPr>
        <w:t xml:space="preserve">preload </w:t>
      </w:r>
      <w:r w:rsidR="000C236E">
        <w:rPr>
          <w:rFonts w:ascii="Times New Roman" w:hAnsi="Times New Roman" w:cs="Times New Roman"/>
          <w:sz w:val="22"/>
          <w:szCs w:val="22"/>
        </w:rPr>
        <w:t xml:space="preserve">applied during assembly, which </w:t>
      </w:r>
      <w:r w:rsidR="00B67265">
        <w:rPr>
          <w:rFonts w:ascii="Times New Roman" w:hAnsi="Times New Roman" w:cs="Times New Roman"/>
          <w:sz w:val="22"/>
          <w:szCs w:val="22"/>
        </w:rPr>
        <w:t xml:space="preserve">keeps the connecting rod and cap clamped together and prevents </w:t>
      </w:r>
      <w:r w:rsidR="008D060F">
        <w:rPr>
          <w:rFonts w:ascii="Times New Roman" w:hAnsi="Times New Roman" w:cs="Times New Roman"/>
          <w:sz w:val="22"/>
          <w:szCs w:val="22"/>
        </w:rPr>
        <w:t xml:space="preserve">joint separation during operation (Bickford, 2008). </w:t>
      </w:r>
      <w:r w:rsidR="00CB7478">
        <w:rPr>
          <w:rFonts w:ascii="Times New Roman" w:hAnsi="Times New Roman" w:cs="Times New Roman"/>
          <w:sz w:val="22"/>
          <w:szCs w:val="22"/>
        </w:rPr>
        <w:t>The stress fluctuates about a relatively high mean stress caused by the preload</w:t>
      </w:r>
      <w:r w:rsidR="000078E2">
        <w:rPr>
          <w:rFonts w:ascii="Times New Roman" w:hAnsi="Times New Roman" w:cs="Times New Roman"/>
          <w:sz w:val="22"/>
          <w:szCs w:val="22"/>
        </w:rPr>
        <w:t xml:space="preserve">, with a smaller alternating stress component produced by inertia forces from the piston assembly. </w:t>
      </w:r>
      <w:r w:rsidR="00760CF2">
        <w:rPr>
          <w:rFonts w:ascii="Times New Roman" w:hAnsi="Times New Roman" w:cs="Times New Roman"/>
          <w:sz w:val="22"/>
          <w:szCs w:val="22"/>
        </w:rPr>
        <w:t>The highest bolt stress occurs near TDC, where piston</w:t>
      </w:r>
      <w:r w:rsidR="00A91212">
        <w:rPr>
          <w:rFonts w:ascii="Times New Roman" w:hAnsi="Times New Roman" w:cs="Times New Roman"/>
          <w:sz w:val="22"/>
          <w:szCs w:val="22"/>
        </w:rPr>
        <w:t xml:space="preserve"> acceleration is at its highest </w:t>
      </w:r>
      <w:r w:rsidR="00AC3812">
        <w:rPr>
          <w:rFonts w:ascii="Times New Roman" w:hAnsi="Times New Roman" w:cs="Times New Roman"/>
          <w:sz w:val="22"/>
          <w:szCs w:val="22"/>
        </w:rPr>
        <w:t xml:space="preserve">and the inertia of the rod assembly creates the largest separating force. The increasing difference </w:t>
      </w:r>
      <w:r w:rsidR="001D1FE5">
        <w:rPr>
          <w:rFonts w:ascii="Times New Roman" w:hAnsi="Times New Roman" w:cs="Times New Roman"/>
          <w:sz w:val="22"/>
          <w:szCs w:val="22"/>
        </w:rPr>
        <w:t xml:space="preserve">between the stress curves at higher engine speeds shows the </w:t>
      </w:r>
      <w:r w:rsidR="00437AFA">
        <w:rPr>
          <w:rFonts w:ascii="Times New Roman" w:hAnsi="Times New Roman" w:cs="Times New Roman"/>
          <w:sz w:val="22"/>
          <w:szCs w:val="22"/>
        </w:rPr>
        <w:t xml:space="preserve">correlation between crankshaft </w:t>
      </w:r>
      <w:r w:rsidR="005253B4">
        <w:rPr>
          <w:rFonts w:ascii="Times New Roman" w:hAnsi="Times New Roman" w:cs="Times New Roman"/>
          <w:sz w:val="22"/>
          <w:szCs w:val="22"/>
        </w:rPr>
        <w:t>speed and inertia loading as</w:t>
      </w:r>
      <w:r w:rsidR="00CD6DD3">
        <w:rPr>
          <w:rFonts w:ascii="Times New Roman" w:hAnsi="Times New Roman" w:cs="Times New Roman"/>
          <w:sz w:val="22"/>
          <w:szCs w:val="22"/>
        </w:rPr>
        <w:t xml:space="preserve"> mentioned in </w:t>
      </w:r>
      <w:r w:rsidR="00EE674C">
        <w:rPr>
          <w:rFonts w:ascii="Times New Roman" w:hAnsi="Times New Roman" w:cs="Times New Roman"/>
          <w:sz w:val="22"/>
          <w:szCs w:val="22"/>
        </w:rPr>
        <w:t>chapter 2</w:t>
      </w:r>
      <w:r w:rsidR="00CD6DD3">
        <w:rPr>
          <w:rFonts w:ascii="Times New Roman" w:hAnsi="Times New Roman" w:cs="Times New Roman"/>
          <w:sz w:val="22"/>
          <w:szCs w:val="22"/>
        </w:rPr>
        <w:t>.</w:t>
      </w:r>
      <w:r w:rsidR="003F0F0B">
        <w:rPr>
          <w:rFonts w:ascii="Times New Roman" w:hAnsi="Times New Roman" w:cs="Times New Roman"/>
          <w:sz w:val="22"/>
          <w:szCs w:val="22"/>
        </w:rPr>
        <w:t xml:space="preserve"> Since fatigue damage in bolted joints is mainly controlled by alternating stresses acting around the m</w:t>
      </w:r>
      <w:r w:rsidR="009A22E5">
        <w:rPr>
          <w:rFonts w:ascii="Times New Roman" w:hAnsi="Times New Roman" w:cs="Times New Roman"/>
          <w:sz w:val="22"/>
          <w:szCs w:val="22"/>
        </w:rPr>
        <w:t>ean stress level, this cyclic behaviour is important when assessing the fatigue performance of the connecting rod bolt (Heywood, 20</w:t>
      </w:r>
      <w:r w:rsidR="00136B2F">
        <w:rPr>
          <w:rFonts w:ascii="Times New Roman" w:hAnsi="Times New Roman" w:cs="Times New Roman"/>
          <w:sz w:val="22"/>
          <w:szCs w:val="22"/>
        </w:rPr>
        <w:t>1</w:t>
      </w:r>
      <w:r w:rsidR="009A22E5">
        <w:rPr>
          <w:rFonts w:ascii="Times New Roman" w:hAnsi="Times New Roman" w:cs="Times New Roman"/>
          <w:sz w:val="22"/>
          <w:szCs w:val="22"/>
        </w:rPr>
        <w:t>8; Witek, 2019).</w:t>
      </w:r>
    </w:p>
    <w:p w14:paraId="0D4D8077" w14:textId="4AC024DF" w:rsidR="00D33C9F" w:rsidRDefault="005F039A" w:rsidP="0032416C">
      <w:pPr>
        <w:spacing w:line="360" w:lineRule="auto"/>
        <w:rPr>
          <w:rFonts w:ascii="Times New Roman" w:hAnsi="Times New Roman" w:cs="Times New Roman"/>
          <w:sz w:val="22"/>
          <w:szCs w:val="22"/>
        </w:rPr>
      </w:pPr>
      <w:r>
        <w:rPr>
          <w:noProof/>
        </w:rPr>
        <w:drawing>
          <wp:inline distT="0" distB="0" distL="0" distR="0" wp14:anchorId="485353FB" wp14:editId="3A85C894">
            <wp:extent cx="5731510" cy="3621405"/>
            <wp:effectExtent l="0" t="0" r="2540" b="0"/>
            <wp:docPr id="72382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27111" name=""/>
                    <pic:cNvPicPr/>
                  </pic:nvPicPr>
                  <pic:blipFill>
                    <a:blip r:embed="rId11"/>
                    <a:stretch>
                      <a:fillRect/>
                    </a:stretch>
                  </pic:blipFill>
                  <pic:spPr>
                    <a:xfrm>
                      <a:off x="0" y="0"/>
                      <a:ext cx="5731510" cy="3621405"/>
                    </a:xfrm>
                    <a:prstGeom prst="rect">
                      <a:avLst/>
                    </a:prstGeom>
                  </pic:spPr>
                </pic:pic>
              </a:graphicData>
            </a:graphic>
          </wp:inline>
        </w:drawing>
      </w:r>
    </w:p>
    <w:p w14:paraId="3F644366" w14:textId="2A700ACE" w:rsidR="000F2DAF" w:rsidRDefault="005F039A" w:rsidP="0032416C">
      <w:pPr>
        <w:spacing w:line="360" w:lineRule="auto"/>
        <w:rPr>
          <w:rFonts w:ascii="Times New Roman" w:hAnsi="Times New Roman" w:cs="Times New Roman"/>
          <w:i/>
          <w:iCs/>
          <w:sz w:val="22"/>
          <w:szCs w:val="22"/>
        </w:rPr>
      </w:pPr>
      <w:r w:rsidRPr="007C7457">
        <w:rPr>
          <w:rFonts w:ascii="Times New Roman" w:hAnsi="Times New Roman" w:cs="Times New Roman"/>
          <w:i/>
          <w:iCs/>
          <w:sz w:val="22"/>
          <w:szCs w:val="22"/>
        </w:rPr>
        <w:t xml:space="preserve">Figure </w:t>
      </w:r>
      <w:r w:rsidR="007C7457" w:rsidRPr="007C7457">
        <w:rPr>
          <w:rFonts w:ascii="Times New Roman" w:hAnsi="Times New Roman" w:cs="Times New Roman"/>
          <w:i/>
          <w:iCs/>
          <w:sz w:val="22"/>
          <w:szCs w:val="22"/>
        </w:rPr>
        <w:t xml:space="preserve">3.1 </w:t>
      </w:r>
      <w:r w:rsidRPr="007C7457">
        <w:rPr>
          <w:rFonts w:ascii="Times New Roman" w:hAnsi="Times New Roman" w:cs="Times New Roman"/>
          <w:i/>
          <w:iCs/>
          <w:sz w:val="22"/>
          <w:szCs w:val="22"/>
        </w:rPr>
        <w:t xml:space="preserve">- Graph </w:t>
      </w:r>
      <w:r w:rsidR="00071D9E" w:rsidRPr="007C7457">
        <w:rPr>
          <w:rFonts w:ascii="Times New Roman" w:hAnsi="Times New Roman" w:cs="Times New Roman"/>
          <w:i/>
          <w:iCs/>
          <w:sz w:val="22"/>
          <w:szCs w:val="22"/>
        </w:rPr>
        <w:t>displaying connecting rod bolt stress in relation to crank angle.</w:t>
      </w:r>
    </w:p>
    <w:p w14:paraId="1B3E0940" w14:textId="16CC5357" w:rsidR="00071D9E" w:rsidRDefault="003331B1" w:rsidP="0032416C">
      <w:pPr>
        <w:spacing w:line="360" w:lineRule="auto"/>
        <w:rPr>
          <w:rFonts w:ascii="Times New Roman" w:hAnsi="Times New Roman" w:cs="Times New Roman"/>
          <w:sz w:val="22"/>
          <w:szCs w:val="22"/>
        </w:rPr>
      </w:pPr>
      <w:r>
        <w:rPr>
          <w:rFonts w:ascii="Times New Roman" w:hAnsi="Times New Roman" w:cs="Times New Roman"/>
          <w:sz w:val="22"/>
          <w:szCs w:val="22"/>
        </w:rPr>
        <w:t>The fatigue per</w:t>
      </w:r>
      <w:r w:rsidR="00BB4304">
        <w:rPr>
          <w:rFonts w:ascii="Times New Roman" w:hAnsi="Times New Roman" w:cs="Times New Roman"/>
          <w:sz w:val="22"/>
          <w:szCs w:val="22"/>
        </w:rPr>
        <w:t xml:space="preserve">formance of the connecting rod bolt was </w:t>
      </w:r>
      <w:r w:rsidR="00995EB9">
        <w:rPr>
          <w:rFonts w:ascii="Times New Roman" w:hAnsi="Times New Roman" w:cs="Times New Roman"/>
          <w:sz w:val="22"/>
          <w:szCs w:val="22"/>
        </w:rPr>
        <w:t>evaluated</w:t>
      </w:r>
      <w:r w:rsidR="00BB4304">
        <w:rPr>
          <w:rFonts w:ascii="Times New Roman" w:hAnsi="Times New Roman" w:cs="Times New Roman"/>
          <w:sz w:val="22"/>
          <w:szCs w:val="22"/>
        </w:rPr>
        <w:t xml:space="preserve"> using a Goodman diagram</w:t>
      </w:r>
      <w:r w:rsidR="00811850">
        <w:rPr>
          <w:rFonts w:ascii="Times New Roman" w:hAnsi="Times New Roman" w:cs="Times New Roman"/>
          <w:sz w:val="22"/>
          <w:szCs w:val="22"/>
        </w:rPr>
        <w:t xml:space="preserve">, which relates alternating stress to mean stress </w:t>
      </w:r>
      <w:r w:rsidR="00CF4592">
        <w:rPr>
          <w:rFonts w:ascii="Times New Roman" w:hAnsi="Times New Roman" w:cs="Times New Roman"/>
          <w:sz w:val="22"/>
          <w:szCs w:val="22"/>
        </w:rPr>
        <w:t xml:space="preserve">relative to the material endurance limit and ultimate tensile strength. </w:t>
      </w:r>
      <w:r w:rsidR="00D314D4">
        <w:rPr>
          <w:rFonts w:ascii="Times New Roman" w:hAnsi="Times New Roman" w:cs="Times New Roman"/>
          <w:sz w:val="22"/>
          <w:szCs w:val="22"/>
        </w:rPr>
        <w:t xml:space="preserve">The vertical </w:t>
      </w:r>
      <w:r w:rsidR="009534E1">
        <w:rPr>
          <w:rFonts w:ascii="Times New Roman" w:hAnsi="Times New Roman" w:cs="Times New Roman"/>
          <w:sz w:val="22"/>
          <w:szCs w:val="22"/>
        </w:rPr>
        <w:t>blue</w:t>
      </w:r>
      <w:r w:rsidR="00D314D4">
        <w:rPr>
          <w:rFonts w:ascii="Times New Roman" w:hAnsi="Times New Roman" w:cs="Times New Roman"/>
          <w:sz w:val="22"/>
          <w:szCs w:val="22"/>
        </w:rPr>
        <w:t xml:space="preserve"> </w:t>
      </w:r>
      <w:r w:rsidR="00D314D4" w:rsidRPr="00EE674C">
        <w:rPr>
          <w:rFonts w:ascii="Times New Roman" w:hAnsi="Times New Roman" w:cs="Times New Roman"/>
          <w:sz w:val="22"/>
          <w:szCs w:val="22"/>
        </w:rPr>
        <w:t xml:space="preserve">line in figure </w:t>
      </w:r>
      <w:r w:rsidR="00EE674C" w:rsidRPr="00EE674C">
        <w:rPr>
          <w:rFonts w:ascii="Times New Roman" w:hAnsi="Times New Roman" w:cs="Times New Roman"/>
          <w:sz w:val="22"/>
          <w:szCs w:val="22"/>
        </w:rPr>
        <w:t>3.2</w:t>
      </w:r>
      <w:r w:rsidR="00A050E1" w:rsidRPr="00EE674C">
        <w:rPr>
          <w:rFonts w:ascii="Times New Roman" w:hAnsi="Times New Roman" w:cs="Times New Roman"/>
          <w:sz w:val="22"/>
          <w:szCs w:val="22"/>
        </w:rPr>
        <w:t xml:space="preserve"> represents</w:t>
      </w:r>
      <w:r w:rsidR="00A050E1">
        <w:rPr>
          <w:rFonts w:ascii="Times New Roman" w:hAnsi="Times New Roman" w:cs="Times New Roman"/>
          <w:sz w:val="22"/>
          <w:szCs w:val="22"/>
        </w:rPr>
        <w:t xml:space="preserve"> the a</w:t>
      </w:r>
      <w:r w:rsidR="009534E1">
        <w:rPr>
          <w:rFonts w:ascii="Times New Roman" w:hAnsi="Times New Roman" w:cs="Times New Roman"/>
          <w:sz w:val="22"/>
          <w:szCs w:val="22"/>
        </w:rPr>
        <w:t xml:space="preserve">ctual stress </w:t>
      </w:r>
      <w:r w:rsidR="004521A3">
        <w:rPr>
          <w:rFonts w:ascii="Times New Roman" w:hAnsi="Times New Roman" w:cs="Times New Roman"/>
          <w:sz w:val="22"/>
          <w:szCs w:val="22"/>
        </w:rPr>
        <w:t xml:space="preserve">range experienced by the bolt </w:t>
      </w:r>
      <w:r w:rsidR="00B64E68">
        <w:rPr>
          <w:rFonts w:ascii="Times New Roman" w:hAnsi="Times New Roman" w:cs="Times New Roman"/>
          <w:sz w:val="22"/>
          <w:szCs w:val="22"/>
        </w:rPr>
        <w:t>d</w:t>
      </w:r>
      <w:r w:rsidR="004521A3">
        <w:rPr>
          <w:rFonts w:ascii="Times New Roman" w:hAnsi="Times New Roman" w:cs="Times New Roman"/>
          <w:sz w:val="22"/>
          <w:szCs w:val="22"/>
        </w:rPr>
        <w:t xml:space="preserve">uring operation, with </w:t>
      </w:r>
      <w:r w:rsidR="00965026">
        <w:rPr>
          <w:rFonts w:ascii="Times New Roman" w:hAnsi="Times New Roman" w:cs="Times New Roman"/>
          <w:sz w:val="22"/>
          <w:szCs w:val="22"/>
        </w:rPr>
        <w:t>the green dashed line representing the allowable stress range</w:t>
      </w:r>
      <w:r w:rsidR="008501BB">
        <w:rPr>
          <w:rFonts w:ascii="Times New Roman" w:hAnsi="Times New Roman" w:cs="Times New Roman"/>
          <w:sz w:val="22"/>
          <w:szCs w:val="22"/>
        </w:rPr>
        <w:t xml:space="preserve"> which </w:t>
      </w:r>
      <w:r w:rsidR="009331E4">
        <w:rPr>
          <w:rFonts w:ascii="Times New Roman" w:hAnsi="Times New Roman" w:cs="Times New Roman"/>
          <w:sz w:val="22"/>
          <w:szCs w:val="22"/>
        </w:rPr>
        <w:t xml:space="preserve">lies above the actual operating stress, demonstrating that the bolt operates within </w:t>
      </w:r>
      <w:r w:rsidR="0003237B">
        <w:rPr>
          <w:rFonts w:ascii="Times New Roman" w:hAnsi="Times New Roman" w:cs="Times New Roman"/>
          <w:sz w:val="22"/>
          <w:szCs w:val="22"/>
        </w:rPr>
        <w:t>the safe fatigue region and has a positive fatigue safety factor (FSF)</w:t>
      </w:r>
      <w:r w:rsidR="008D11BD">
        <w:rPr>
          <w:rFonts w:ascii="Times New Roman" w:hAnsi="Times New Roman" w:cs="Times New Roman"/>
          <w:sz w:val="22"/>
          <w:szCs w:val="22"/>
        </w:rPr>
        <w:t xml:space="preserve"> of 4.0</w:t>
      </w:r>
      <w:r w:rsidR="006D20C4">
        <w:rPr>
          <w:rFonts w:ascii="Times New Roman" w:hAnsi="Times New Roman" w:cs="Times New Roman"/>
          <w:sz w:val="22"/>
          <w:szCs w:val="22"/>
        </w:rPr>
        <w:t>4</w:t>
      </w:r>
      <w:r w:rsidR="008D11BD">
        <w:rPr>
          <w:rFonts w:ascii="Times New Roman" w:hAnsi="Times New Roman" w:cs="Times New Roman"/>
          <w:sz w:val="22"/>
          <w:szCs w:val="22"/>
        </w:rPr>
        <w:t>4</w:t>
      </w:r>
      <w:r w:rsidR="006D20C4">
        <w:rPr>
          <w:rFonts w:ascii="Times New Roman" w:hAnsi="Times New Roman" w:cs="Times New Roman"/>
          <w:sz w:val="22"/>
          <w:szCs w:val="22"/>
        </w:rPr>
        <w:t>7.</w:t>
      </w:r>
      <w:r w:rsidR="000814AF">
        <w:rPr>
          <w:rFonts w:ascii="Times New Roman" w:hAnsi="Times New Roman" w:cs="Times New Roman"/>
          <w:sz w:val="22"/>
          <w:szCs w:val="22"/>
        </w:rPr>
        <w:t xml:space="preserve"> The difference between the allowable and alternating stress </w:t>
      </w:r>
      <w:r w:rsidR="00DF6F35">
        <w:rPr>
          <w:rFonts w:ascii="Times New Roman" w:hAnsi="Times New Roman" w:cs="Times New Roman"/>
          <w:sz w:val="22"/>
          <w:szCs w:val="22"/>
        </w:rPr>
        <w:t>corresponds to the FSF of the bolt.</w:t>
      </w:r>
      <w:r w:rsidR="00180350">
        <w:rPr>
          <w:rFonts w:ascii="Times New Roman" w:hAnsi="Times New Roman" w:cs="Times New Roman"/>
          <w:sz w:val="22"/>
          <w:szCs w:val="22"/>
        </w:rPr>
        <w:t xml:space="preserve"> </w:t>
      </w:r>
      <w:r w:rsidR="006D20C4">
        <w:rPr>
          <w:rFonts w:ascii="Times New Roman" w:hAnsi="Times New Roman" w:cs="Times New Roman"/>
          <w:sz w:val="22"/>
          <w:szCs w:val="22"/>
        </w:rPr>
        <w:t xml:space="preserve">This </w:t>
      </w:r>
      <w:r w:rsidR="00E906C6">
        <w:rPr>
          <w:rFonts w:ascii="Times New Roman" w:hAnsi="Times New Roman" w:cs="Times New Roman"/>
          <w:sz w:val="22"/>
          <w:szCs w:val="22"/>
        </w:rPr>
        <w:t xml:space="preserve">indicates that that the applied preload maintains a high </w:t>
      </w:r>
      <w:r w:rsidR="00E906C6">
        <w:rPr>
          <w:rFonts w:ascii="Times New Roman" w:hAnsi="Times New Roman" w:cs="Times New Roman"/>
          <w:sz w:val="22"/>
          <w:szCs w:val="22"/>
        </w:rPr>
        <w:lastRenderedPageBreak/>
        <w:t xml:space="preserve">mean stress while limiting </w:t>
      </w:r>
      <w:r w:rsidR="00FD5A09">
        <w:rPr>
          <w:rFonts w:ascii="Times New Roman" w:hAnsi="Times New Roman" w:cs="Times New Roman"/>
          <w:sz w:val="22"/>
          <w:szCs w:val="22"/>
        </w:rPr>
        <w:t xml:space="preserve">the magnitude of the alternating stress component, which is beneficial for fatigue resistance in </w:t>
      </w:r>
      <w:r w:rsidR="00516E54">
        <w:rPr>
          <w:rFonts w:ascii="Times New Roman" w:hAnsi="Times New Roman" w:cs="Times New Roman"/>
          <w:sz w:val="22"/>
          <w:szCs w:val="22"/>
        </w:rPr>
        <w:t xml:space="preserve">bolted joints (Bickford, 2008). Maintaining the operating stress state </w:t>
      </w:r>
      <w:r w:rsidR="00B82CAD">
        <w:rPr>
          <w:rFonts w:ascii="Times New Roman" w:hAnsi="Times New Roman" w:cs="Times New Roman"/>
          <w:sz w:val="22"/>
          <w:szCs w:val="22"/>
        </w:rPr>
        <w:t xml:space="preserve">within the </w:t>
      </w:r>
      <w:r w:rsidR="007E2A29">
        <w:rPr>
          <w:rFonts w:ascii="Times New Roman" w:hAnsi="Times New Roman" w:cs="Times New Roman"/>
          <w:sz w:val="22"/>
          <w:szCs w:val="22"/>
        </w:rPr>
        <w:t xml:space="preserve">state within the Goodman failure envelope is essential </w:t>
      </w:r>
      <w:r w:rsidR="003E07D3">
        <w:rPr>
          <w:rFonts w:ascii="Times New Roman" w:hAnsi="Times New Roman" w:cs="Times New Roman"/>
          <w:sz w:val="22"/>
          <w:szCs w:val="22"/>
        </w:rPr>
        <w:t xml:space="preserve">for ensuring reliable long-term operation of cyclically loaded engine fasteners (Shigley et al., </w:t>
      </w:r>
      <w:r w:rsidR="00180350">
        <w:rPr>
          <w:rFonts w:ascii="Times New Roman" w:hAnsi="Times New Roman" w:cs="Times New Roman"/>
          <w:sz w:val="22"/>
          <w:szCs w:val="22"/>
        </w:rPr>
        <w:t xml:space="preserve">2020). </w:t>
      </w:r>
    </w:p>
    <w:p w14:paraId="7E589C44" w14:textId="77777777" w:rsidR="00180350" w:rsidRDefault="00180350" w:rsidP="0032416C">
      <w:pPr>
        <w:spacing w:line="360" w:lineRule="auto"/>
        <w:rPr>
          <w:rFonts w:ascii="Times New Roman" w:hAnsi="Times New Roman" w:cs="Times New Roman"/>
          <w:sz w:val="22"/>
          <w:szCs w:val="22"/>
        </w:rPr>
      </w:pPr>
    </w:p>
    <w:p w14:paraId="648C1845" w14:textId="77777777" w:rsidR="00180350" w:rsidRPr="00071D9E" w:rsidRDefault="00180350" w:rsidP="0032416C">
      <w:pPr>
        <w:spacing w:line="360" w:lineRule="auto"/>
        <w:rPr>
          <w:rFonts w:ascii="Times New Roman" w:hAnsi="Times New Roman" w:cs="Times New Roman"/>
          <w:sz w:val="22"/>
          <w:szCs w:val="22"/>
        </w:rPr>
      </w:pPr>
    </w:p>
    <w:p w14:paraId="1CA536EA" w14:textId="77777777" w:rsidR="00E92E21" w:rsidRDefault="00E92E21" w:rsidP="0032416C">
      <w:pPr>
        <w:spacing w:line="360" w:lineRule="auto"/>
        <w:rPr>
          <w:rFonts w:ascii="Times New Roman" w:hAnsi="Times New Roman" w:cs="Times New Roman"/>
        </w:rPr>
      </w:pPr>
      <w:r>
        <w:rPr>
          <w:noProof/>
        </w:rPr>
        <w:drawing>
          <wp:inline distT="0" distB="0" distL="0" distR="0" wp14:anchorId="72DB1520" wp14:editId="4049C195">
            <wp:extent cx="5731510" cy="3562985"/>
            <wp:effectExtent l="0" t="0" r="2540" b="0"/>
            <wp:docPr id="99490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05729" name=""/>
                    <pic:cNvPicPr/>
                  </pic:nvPicPr>
                  <pic:blipFill>
                    <a:blip r:embed="rId12"/>
                    <a:stretch>
                      <a:fillRect/>
                    </a:stretch>
                  </pic:blipFill>
                  <pic:spPr>
                    <a:xfrm>
                      <a:off x="0" y="0"/>
                      <a:ext cx="5731510" cy="3562985"/>
                    </a:xfrm>
                    <a:prstGeom prst="rect">
                      <a:avLst/>
                    </a:prstGeom>
                  </pic:spPr>
                </pic:pic>
              </a:graphicData>
            </a:graphic>
          </wp:inline>
        </w:drawing>
      </w:r>
    </w:p>
    <w:p w14:paraId="6A6D20E1" w14:textId="3467BBD1" w:rsidR="00D33C9F" w:rsidRPr="005B32C2" w:rsidRDefault="00E92E21" w:rsidP="0032416C">
      <w:pPr>
        <w:spacing w:line="360" w:lineRule="auto"/>
        <w:rPr>
          <w:rFonts w:ascii="Times New Roman" w:eastAsiaTheme="majorEastAsia" w:hAnsi="Times New Roman" w:cs="Times New Roman"/>
          <w:sz w:val="40"/>
          <w:szCs w:val="40"/>
        </w:rPr>
      </w:pPr>
      <w:r w:rsidRPr="006F44D3">
        <w:rPr>
          <w:rFonts w:ascii="Times New Roman" w:hAnsi="Times New Roman" w:cs="Times New Roman"/>
          <w:i/>
          <w:iCs/>
          <w:sz w:val="22"/>
          <w:szCs w:val="22"/>
        </w:rPr>
        <w:t xml:space="preserve">Figure </w:t>
      </w:r>
      <w:r w:rsidR="00142052" w:rsidRPr="006F44D3">
        <w:rPr>
          <w:rFonts w:ascii="Times New Roman" w:hAnsi="Times New Roman" w:cs="Times New Roman"/>
          <w:i/>
          <w:iCs/>
          <w:sz w:val="22"/>
          <w:szCs w:val="22"/>
        </w:rPr>
        <w:t>3.2</w:t>
      </w:r>
      <w:r w:rsidRPr="006F44D3">
        <w:rPr>
          <w:rFonts w:ascii="Times New Roman" w:hAnsi="Times New Roman" w:cs="Times New Roman"/>
          <w:i/>
          <w:iCs/>
          <w:sz w:val="22"/>
          <w:szCs w:val="22"/>
        </w:rPr>
        <w:t xml:space="preserve"> - Goodman di</w:t>
      </w:r>
      <w:r w:rsidR="005B32C2" w:rsidRPr="006F44D3">
        <w:rPr>
          <w:rFonts w:ascii="Times New Roman" w:hAnsi="Times New Roman" w:cs="Times New Roman"/>
          <w:i/>
          <w:iCs/>
          <w:sz w:val="22"/>
          <w:szCs w:val="22"/>
        </w:rPr>
        <w:t>a</w:t>
      </w:r>
      <w:r w:rsidRPr="006F44D3">
        <w:rPr>
          <w:rFonts w:ascii="Times New Roman" w:hAnsi="Times New Roman" w:cs="Times New Roman"/>
          <w:i/>
          <w:iCs/>
          <w:sz w:val="22"/>
          <w:szCs w:val="22"/>
        </w:rPr>
        <w:t>gram for connecting rod bolt.</w:t>
      </w:r>
      <w:r w:rsidR="00EE03C2">
        <w:rPr>
          <w:rFonts w:ascii="Times New Roman" w:hAnsi="Times New Roman" w:cs="Times New Roman"/>
        </w:rPr>
        <w:br w:type="page"/>
      </w:r>
    </w:p>
    <w:p w14:paraId="708D140A" w14:textId="6C3774D8" w:rsidR="002C15CD" w:rsidRDefault="00D33C9F" w:rsidP="00624FC8">
      <w:pPr>
        <w:pStyle w:val="Heading1"/>
        <w:numPr>
          <w:ilvl w:val="0"/>
          <w:numId w:val="6"/>
        </w:numPr>
        <w:spacing w:line="360" w:lineRule="auto"/>
        <w:rPr>
          <w:rFonts w:ascii="Times New Roman" w:hAnsi="Times New Roman" w:cs="Times New Roman"/>
          <w:color w:val="auto"/>
        </w:rPr>
      </w:pPr>
      <w:bookmarkStart w:id="16" w:name="_Toc224383480"/>
      <w:bookmarkStart w:id="17" w:name="_Toc224564537"/>
      <w:bookmarkStart w:id="18" w:name="_Toc224564556"/>
      <w:r w:rsidRPr="005B32C2">
        <w:rPr>
          <w:rFonts w:ascii="Times New Roman" w:hAnsi="Times New Roman" w:cs="Times New Roman"/>
          <w:color w:val="auto"/>
        </w:rPr>
        <w:lastRenderedPageBreak/>
        <w:t>Bolt Design Improvement</w:t>
      </w:r>
      <w:bookmarkEnd w:id="16"/>
      <w:bookmarkEnd w:id="17"/>
      <w:bookmarkEnd w:id="18"/>
    </w:p>
    <w:p w14:paraId="23AD52F9" w14:textId="6B4FACFF" w:rsidR="00922102" w:rsidRDefault="001E345C" w:rsidP="001E345C">
      <w:pPr>
        <w:pStyle w:val="Heading2"/>
        <w:numPr>
          <w:ilvl w:val="1"/>
          <w:numId w:val="6"/>
        </w:numPr>
        <w:rPr>
          <w:rFonts w:ascii="Times New Roman" w:hAnsi="Times New Roman" w:cs="Times New Roman"/>
          <w:color w:val="auto"/>
        </w:rPr>
      </w:pPr>
      <w:bookmarkStart w:id="19" w:name="_Toc224564557"/>
      <w:r>
        <w:rPr>
          <w:rFonts w:ascii="Times New Roman" w:hAnsi="Times New Roman" w:cs="Times New Roman"/>
          <w:color w:val="auto"/>
        </w:rPr>
        <w:t xml:space="preserve">– </w:t>
      </w:r>
      <w:proofErr w:type="spellStart"/>
      <w:r>
        <w:rPr>
          <w:rFonts w:ascii="Times New Roman" w:hAnsi="Times New Roman" w:cs="Times New Roman"/>
          <w:color w:val="auto"/>
        </w:rPr>
        <w:t>Duratec</w:t>
      </w:r>
      <w:proofErr w:type="spellEnd"/>
      <w:r>
        <w:rPr>
          <w:rFonts w:ascii="Times New Roman" w:hAnsi="Times New Roman" w:cs="Times New Roman"/>
          <w:color w:val="auto"/>
        </w:rPr>
        <w:t xml:space="preserve"> Bolt Parameters</w:t>
      </w:r>
      <w:bookmarkEnd w:id="19"/>
    </w:p>
    <w:p w14:paraId="174DC59C" w14:textId="3C931732" w:rsidR="00C372E0" w:rsidRPr="00A002C3" w:rsidRDefault="00A002C3" w:rsidP="00C372E0">
      <w:pPr>
        <w:rPr>
          <w:rFonts w:ascii="Times New Roman" w:hAnsi="Times New Roman" w:cs="Times New Roman"/>
          <w:i/>
          <w:iCs/>
          <w:sz w:val="22"/>
          <w:szCs w:val="22"/>
        </w:rPr>
      </w:pPr>
      <w:r w:rsidRPr="00A002C3">
        <w:rPr>
          <w:rFonts w:ascii="Times New Roman" w:hAnsi="Times New Roman" w:cs="Times New Roman"/>
          <w:i/>
          <w:iCs/>
          <w:sz w:val="22"/>
          <w:szCs w:val="22"/>
        </w:rPr>
        <w:t xml:space="preserve">Table 4.1 – </w:t>
      </w:r>
      <w:proofErr w:type="spellStart"/>
      <w:r w:rsidRPr="00A002C3">
        <w:rPr>
          <w:rFonts w:ascii="Times New Roman" w:hAnsi="Times New Roman" w:cs="Times New Roman"/>
          <w:i/>
          <w:iCs/>
          <w:sz w:val="22"/>
          <w:szCs w:val="22"/>
        </w:rPr>
        <w:t>Duratec</w:t>
      </w:r>
      <w:proofErr w:type="spellEnd"/>
      <w:r w:rsidRPr="00A002C3">
        <w:rPr>
          <w:rFonts w:ascii="Times New Roman" w:hAnsi="Times New Roman" w:cs="Times New Roman"/>
          <w:i/>
          <w:iCs/>
          <w:sz w:val="22"/>
          <w:szCs w:val="22"/>
        </w:rPr>
        <w:t xml:space="preserve"> bolt parameters</w:t>
      </w:r>
    </w:p>
    <w:tbl>
      <w:tblPr>
        <w:tblStyle w:val="TableGrid"/>
        <w:tblW w:w="0" w:type="auto"/>
        <w:tblLook w:val="04A0" w:firstRow="1" w:lastRow="0" w:firstColumn="1" w:lastColumn="0" w:noHBand="0" w:noVBand="1"/>
      </w:tblPr>
      <w:tblGrid>
        <w:gridCol w:w="3005"/>
        <w:gridCol w:w="3005"/>
        <w:gridCol w:w="3006"/>
      </w:tblGrid>
      <w:tr w:rsidR="001E345C" w14:paraId="2634429A" w14:textId="77777777" w:rsidTr="00C372E0">
        <w:tc>
          <w:tcPr>
            <w:tcW w:w="3005" w:type="dxa"/>
            <w:shd w:val="clear" w:color="auto" w:fill="E8E8E8" w:themeFill="background2"/>
          </w:tcPr>
          <w:p w14:paraId="05C609B6" w14:textId="7ECFB539" w:rsidR="001E345C" w:rsidRPr="00C372E0" w:rsidRDefault="008F0D6B" w:rsidP="001E345C">
            <w:pPr>
              <w:rPr>
                <w:rFonts w:ascii="Times New Roman" w:hAnsi="Times New Roman" w:cs="Times New Roman"/>
                <w:b/>
                <w:bCs/>
                <w:sz w:val="22"/>
                <w:szCs w:val="22"/>
              </w:rPr>
            </w:pPr>
            <w:r w:rsidRPr="00C372E0">
              <w:rPr>
                <w:rFonts w:ascii="Times New Roman" w:hAnsi="Times New Roman" w:cs="Times New Roman"/>
                <w:b/>
                <w:bCs/>
                <w:sz w:val="22"/>
                <w:szCs w:val="22"/>
              </w:rPr>
              <w:t>Parameter</w:t>
            </w:r>
          </w:p>
        </w:tc>
        <w:tc>
          <w:tcPr>
            <w:tcW w:w="3005" w:type="dxa"/>
            <w:shd w:val="clear" w:color="auto" w:fill="E8E8E8" w:themeFill="background2"/>
          </w:tcPr>
          <w:p w14:paraId="196F4EC8" w14:textId="449C594D" w:rsidR="001E345C" w:rsidRPr="00C372E0" w:rsidRDefault="00A26370" w:rsidP="001E345C">
            <w:pPr>
              <w:rPr>
                <w:rFonts w:ascii="Times New Roman" w:hAnsi="Times New Roman" w:cs="Times New Roman"/>
                <w:b/>
                <w:bCs/>
                <w:sz w:val="22"/>
                <w:szCs w:val="22"/>
              </w:rPr>
            </w:pPr>
            <w:r w:rsidRPr="00C372E0">
              <w:rPr>
                <w:rFonts w:ascii="Times New Roman" w:hAnsi="Times New Roman" w:cs="Times New Roman"/>
                <w:b/>
                <w:bCs/>
                <w:sz w:val="22"/>
                <w:szCs w:val="22"/>
              </w:rPr>
              <w:t>Value</w:t>
            </w:r>
          </w:p>
        </w:tc>
        <w:tc>
          <w:tcPr>
            <w:tcW w:w="3006" w:type="dxa"/>
            <w:shd w:val="clear" w:color="auto" w:fill="E8E8E8" w:themeFill="background2"/>
          </w:tcPr>
          <w:p w14:paraId="5E2E02F4" w14:textId="42339466" w:rsidR="001E345C" w:rsidRPr="00C372E0" w:rsidRDefault="00A26370" w:rsidP="001E345C">
            <w:pPr>
              <w:rPr>
                <w:rFonts w:ascii="Times New Roman" w:hAnsi="Times New Roman" w:cs="Times New Roman"/>
                <w:b/>
                <w:bCs/>
                <w:sz w:val="22"/>
                <w:szCs w:val="22"/>
              </w:rPr>
            </w:pPr>
            <w:r w:rsidRPr="00C372E0">
              <w:rPr>
                <w:rFonts w:ascii="Times New Roman" w:hAnsi="Times New Roman" w:cs="Times New Roman"/>
                <w:b/>
                <w:bCs/>
                <w:sz w:val="22"/>
                <w:szCs w:val="22"/>
              </w:rPr>
              <w:t>Unit</w:t>
            </w:r>
          </w:p>
        </w:tc>
      </w:tr>
      <w:tr w:rsidR="001E345C" w14:paraId="0905C675" w14:textId="77777777" w:rsidTr="001E345C">
        <w:tc>
          <w:tcPr>
            <w:tcW w:w="3005" w:type="dxa"/>
          </w:tcPr>
          <w:p w14:paraId="3DEBE05E" w14:textId="345F47A1" w:rsidR="001E345C" w:rsidRPr="00A26370" w:rsidRDefault="00A26370" w:rsidP="001E345C">
            <w:pPr>
              <w:rPr>
                <w:rFonts w:ascii="Times New Roman" w:hAnsi="Times New Roman" w:cs="Times New Roman"/>
                <w:sz w:val="22"/>
                <w:szCs w:val="22"/>
              </w:rPr>
            </w:pPr>
            <w:r>
              <w:rPr>
                <w:rFonts w:ascii="Times New Roman" w:hAnsi="Times New Roman" w:cs="Times New Roman"/>
                <w:sz w:val="22"/>
                <w:szCs w:val="22"/>
              </w:rPr>
              <w:t>Shank diameter</w:t>
            </w:r>
          </w:p>
        </w:tc>
        <w:tc>
          <w:tcPr>
            <w:tcW w:w="3005" w:type="dxa"/>
          </w:tcPr>
          <w:p w14:paraId="1D0B487F" w14:textId="669DB0B4" w:rsidR="001E345C" w:rsidRPr="00A26370" w:rsidRDefault="007B1F3B" w:rsidP="001E345C">
            <w:pPr>
              <w:rPr>
                <w:rFonts w:ascii="Times New Roman" w:hAnsi="Times New Roman" w:cs="Times New Roman"/>
                <w:sz w:val="22"/>
                <w:szCs w:val="22"/>
              </w:rPr>
            </w:pPr>
            <w:r>
              <w:rPr>
                <w:rFonts w:ascii="Times New Roman" w:hAnsi="Times New Roman" w:cs="Times New Roman"/>
                <w:sz w:val="22"/>
                <w:szCs w:val="22"/>
              </w:rPr>
              <w:t>7.7</w:t>
            </w:r>
          </w:p>
        </w:tc>
        <w:tc>
          <w:tcPr>
            <w:tcW w:w="3006" w:type="dxa"/>
          </w:tcPr>
          <w:p w14:paraId="54E8FB83" w14:textId="4E9D985A" w:rsidR="001E345C" w:rsidRPr="00A26370" w:rsidRDefault="00C372E0" w:rsidP="001E345C">
            <w:pPr>
              <w:rPr>
                <w:rFonts w:ascii="Times New Roman" w:hAnsi="Times New Roman" w:cs="Times New Roman"/>
                <w:sz w:val="22"/>
                <w:szCs w:val="22"/>
              </w:rPr>
            </w:pPr>
            <w:r>
              <w:rPr>
                <w:rFonts w:ascii="Times New Roman" w:hAnsi="Times New Roman" w:cs="Times New Roman"/>
                <w:sz w:val="22"/>
                <w:szCs w:val="22"/>
              </w:rPr>
              <w:t>mm</w:t>
            </w:r>
          </w:p>
        </w:tc>
      </w:tr>
      <w:tr w:rsidR="001E345C" w14:paraId="49415882" w14:textId="77777777" w:rsidTr="001E345C">
        <w:tc>
          <w:tcPr>
            <w:tcW w:w="3005" w:type="dxa"/>
          </w:tcPr>
          <w:p w14:paraId="3D9B1F44" w14:textId="0BAD130B" w:rsidR="001E345C" w:rsidRPr="00A26370" w:rsidRDefault="00105548" w:rsidP="001E345C">
            <w:pPr>
              <w:rPr>
                <w:rFonts w:ascii="Times New Roman" w:hAnsi="Times New Roman" w:cs="Times New Roman"/>
                <w:sz w:val="22"/>
                <w:szCs w:val="22"/>
              </w:rPr>
            </w:pPr>
            <w:r>
              <w:rPr>
                <w:rFonts w:ascii="Times New Roman" w:hAnsi="Times New Roman" w:cs="Times New Roman"/>
                <w:sz w:val="22"/>
                <w:szCs w:val="22"/>
              </w:rPr>
              <w:t>Area</w:t>
            </w:r>
          </w:p>
        </w:tc>
        <w:tc>
          <w:tcPr>
            <w:tcW w:w="3005" w:type="dxa"/>
          </w:tcPr>
          <w:p w14:paraId="030B465A" w14:textId="27B1BDDE" w:rsidR="001E345C" w:rsidRPr="00A26370" w:rsidRDefault="007B1F3B" w:rsidP="001E345C">
            <w:pPr>
              <w:rPr>
                <w:rFonts w:ascii="Times New Roman" w:hAnsi="Times New Roman" w:cs="Times New Roman"/>
                <w:sz w:val="22"/>
                <w:szCs w:val="22"/>
              </w:rPr>
            </w:pPr>
            <w:r>
              <w:rPr>
                <w:rFonts w:ascii="Times New Roman" w:hAnsi="Times New Roman" w:cs="Times New Roman"/>
                <w:sz w:val="22"/>
                <w:szCs w:val="22"/>
              </w:rPr>
              <w:t>46.57</w:t>
            </w:r>
          </w:p>
        </w:tc>
        <w:tc>
          <w:tcPr>
            <w:tcW w:w="3006" w:type="dxa"/>
          </w:tcPr>
          <w:p w14:paraId="6296AB95" w14:textId="57D26AC9" w:rsidR="001E345C" w:rsidRPr="00A26370" w:rsidRDefault="00C372E0" w:rsidP="001E345C">
            <w:pPr>
              <w:rPr>
                <w:rFonts w:ascii="Times New Roman" w:hAnsi="Times New Roman" w:cs="Times New Roman"/>
                <w:sz w:val="22"/>
                <w:szCs w:val="22"/>
              </w:rPr>
            </w:pPr>
            <w:r>
              <w:rPr>
                <w:rFonts w:ascii="Times New Roman" w:hAnsi="Times New Roman" w:cs="Times New Roman"/>
                <w:sz w:val="22"/>
                <w:szCs w:val="22"/>
              </w:rPr>
              <w:t>mm</w:t>
            </w:r>
            <w:r w:rsidR="00E57CFD">
              <w:rPr>
                <w:rFonts w:ascii="Times New Roman" w:hAnsi="Times New Roman" w:cs="Times New Roman"/>
                <w:sz w:val="22"/>
                <w:szCs w:val="22"/>
              </w:rPr>
              <w:t>^2</w:t>
            </w:r>
          </w:p>
        </w:tc>
      </w:tr>
      <w:tr w:rsidR="001E345C" w14:paraId="00E769FD" w14:textId="77777777" w:rsidTr="001E345C">
        <w:tc>
          <w:tcPr>
            <w:tcW w:w="3005" w:type="dxa"/>
          </w:tcPr>
          <w:p w14:paraId="6AED5ADA" w14:textId="4E9F9C00" w:rsidR="001E345C" w:rsidRPr="00A26370" w:rsidRDefault="00105548" w:rsidP="001E345C">
            <w:pPr>
              <w:rPr>
                <w:rFonts w:ascii="Times New Roman" w:hAnsi="Times New Roman" w:cs="Times New Roman"/>
                <w:sz w:val="22"/>
                <w:szCs w:val="22"/>
              </w:rPr>
            </w:pPr>
            <w:r>
              <w:rPr>
                <w:rFonts w:ascii="Times New Roman" w:hAnsi="Times New Roman" w:cs="Times New Roman"/>
                <w:sz w:val="22"/>
                <w:szCs w:val="22"/>
              </w:rPr>
              <w:t>UTS</w:t>
            </w:r>
          </w:p>
        </w:tc>
        <w:tc>
          <w:tcPr>
            <w:tcW w:w="3005" w:type="dxa"/>
          </w:tcPr>
          <w:p w14:paraId="2EC33F0E" w14:textId="15D1C424" w:rsidR="001E345C" w:rsidRPr="00A26370" w:rsidRDefault="007B1F3B" w:rsidP="001E345C">
            <w:pPr>
              <w:rPr>
                <w:rFonts w:ascii="Times New Roman" w:hAnsi="Times New Roman" w:cs="Times New Roman"/>
                <w:sz w:val="22"/>
                <w:szCs w:val="22"/>
              </w:rPr>
            </w:pPr>
            <w:r>
              <w:rPr>
                <w:rFonts w:ascii="Times New Roman" w:hAnsi="Times New Roman" w:cs="Times New Roman"/>
                <w:sz w:val="22"/>
                <w:szCs w:val="22"/>
              </w:rPr>
              <w:t>1100</w:t>
            </w:r>
          </w:p>
        </w:tc>
        <w:tc>
          <w:tcPr>
            <w:tcW w:w="3006" w:type="dxa"/>
          </w:tcPr>
          <w:p w14:paraId="1356B842" w14:textId="72569B88" w:rsidR="001E345C" w:rsidRPr="00A26370" w:rsidRDefault="00E57CFD" w:rsidP="001E345C">
            <w:pPr>
              <w:rPr>
                <w:rFonts w:ascii="Times New Roman" w:hAnsi="Times New Roman" w:cs="Times New Roman"/>
                <w:sz w:val="22"/>
                <w:szCs w:val="22"/>
              </w:rPr>
            </w:pPr>
            <w:r>
              <w:rPr>
                <w:rFonts w:ascii="Times New Roman" w:hAnsi="Times New Roman" w:cs="Times New Roman"/>
                <w:sz w:val="22"/>
                <w:szCs w:val="22"/>
              </w:rPr>
              <w:t>MPa</w:t>
            </w:r>
          </w:p>
        </w:tc>
      </w:tr>
      <w:tr w:rsidR="001E345C" w14:paraId="21785AAE" w14:textId="77777777" w:rsidTr="001E345C">
        <w:tc>
          <w:tcPr>
            <w:tcW w:w="3005" w:type="dxa"/>
          </w:tcPr>
          <w:p w14:paraId="48D9B041" w14:textId="04D3FD14" w:rsidR="001E345C" w:rsidRPr="00A26370" w:rsidRDefault="00105548" w:rsidP="001E345C">
            <w:pPr>
              <w:rPr>
                <w:rFonts w:ascii="Times New Roman" w:hAnsi="Times New Roman" w:cs="Times New Roman"/>
                <w:sz w:val="22"/>
                <w:szCs w:val="22"/>
              </w:rPr>
            </w:pPr>
            <w:r>
              <w:rPr>
                <w:rFonts w:ascii="Times New Roman" w:hAnsi="Times New Roman" w:cs="Times New Roman"/>
                <w:sz w:val="22"/>
                <w:szCs w:val="22"/>
              </w:rPr>
              <w:t>Endurance Limit</w:t>
            </w:r>
          </w:p>
        </w:tc>
        <w:tc>
          <w:tcPr>
            <w:tcW w:w="3005" w:type="dxa"/>
          </w:tcPr>
          <w:p w14:paraId="624B80EF" w14:textId="35BE4B20" w:rsidR="001E345C" w:rsidRPr="00A26370" w:rsidRDefault="007B1F3B" w:rsidP="001E345C">
            <w:pPr>
              <w:rPr>
                <w:rFonts w:ascii="Times New Roman" w:hAnsi="Times New Roman" w:cs="Times New Roman"/>
                <w:sz w:val="22"/>
                <w:szCs w:val="22"/>
              </w:rPr>
            </w:pPr>
            <w:r>
              <w:rPr>
                <w:rFonts w:ascii="Times New Roman" w:hAnsi="Times New Roman" w:cs="Times New Roman"/>
                <w:sz w:val="22"/>
                <w:szCs w:val="22"/>
              </w:rPr>
              <w:t>495</w:t>
            </w:r>
          </w:p>
        </w:tc>
        <w:tc>
          <w:tcPr>
            <w:tcW w:w="3006" w:type="dxa"/>
          </w:tcPr>
          <w:p w14:paraId="059E3588" w14:textId="176A3FB9" w:rsidR="001E345C" w:rsidRPr="00A26370" w:rsidRDefault="00E57CFD" w:rsidP="001E345C">
            <w:pPr>
              <w:rPr>
                <w:rFonts w:ascii="Times New Roman" w:hAnsi="Times New Roman" w:cs="Times New Roman"/>
                <w:sz w:val="22"/>
                <w:szCs w:val="22"/>
              </w:rPr>
            </w:pPr>
            <w:r>
              <w:rPr>
                <w:rFonts w:ascii="Times New Roman" w:hAnsi="Times New Roman" w:cs="Times New Roman"/>
                <w:sz w:val="22"/>
                <w:szCs w:val="22"/>
              </w:rPr>
              <w:t>MPa</w:t>
            </w:r>
          </w:p>
        </w:tc>
      </w:tr>
      <w:tr w:rsidR="001E345C" w14:paraId="639631D2" w14:textId="77777777" w:rsidTr="001E345C">
        <w:tc>
          <w:tcPr>
            <w:tcW w:w="3005" w:type="dxa"/>
          </w:tcPr>
          <w:p w14:paraId="213B8880" w14:textId="7A100CBF" w:rsidR="00105548" w:rsidRPr="00A26370" w:rsidRDefault="00105548" w:rsidP="001E345C">
            <w:pPr>
              <w:rPr>
                <w:rFonts w:ascii="Times New Roman" w:hAnsi="Times New Roman" w:cs="Times New Roman"/>
                <w:sz w:val="22"/>
                <w:szCs w:val="22"/>
              </w:rPr>
            </w:pPr>
            <w:r>
              <w:rPr>
                <w:rFonts w:ascii="Times New Roman" w:hAnsi="Times New Roman" w:cs="Times New Roman"/>
                <w:sz w:val="22"/>
                <w:szCs w:val="22"/>
              </w:rPr>
              <w:t>Engine Speed</w:t>
            </w:r>
          </w:p>
        </w:tc>
        <w:tc>
          <w:tcPr>
            <w:tcW w:w="3005" w:type="dxa"/>
          </w:tcPr>
          <w:p w14:paraId="03F04E53" w14:textId="1245FD4D" w:rsidR="001E345C" w:rsidRPr="00A26370" w:rsidRDefault="007B1F3B" w:rsidP="001E345C">
            <w:pPr>
              <w:rPr>
                <w:rFonts w:ascii="Times New Roman" w:hAnsi="Times New Roman" w:cs="Times New Roman"/>
                <w:sz w:val="22"/>
                <w:szCs w:val="22"/>
              </w:rPr>
            </w:pPr>
            <w:r>
              <w:rPr>
                <w:rFonts w:ascii="Times New Roman" w:hAnsi="Times New Roman" w:cs="Times New Roman"/>
                <w:sz w:val="22"/>
                <w:szCs w:val="22"/>
              </w:rPr>
              <w:t>9000</w:t>
            </w:r>
          </w:p>
        </w:tc>
        <w:tc>
          <w:tcPr>
            <w:tcW w:w="3006" w:type="dxa"/>
          </w:tcPr>
          <w:p w14:paraId="34F985FE" w14:textId="382BEAF7" w:rsidR="001E345C" w:rsidRPr="00A26370" w:rsidRDefault="00C372E0" w:rsidP="001E345C">
            <w:pPr>
              <w:rPr>
                <w:rFonts w:ascii="Times New Roman" w:hAnsi="Times New Roman" w:cs="Times New Roman"/>
                <w:sz w:val="22"/>
                <w:szCs w:val="22"/>
              </w:rPr>
            </w:pPr>
            <w:r>
              <w:rPr>
                <w:rFonts w:ascii="Times New Roman" w:hAnsi="Times New Roman" w:cs="Times New Roman"/>
                <w:sz w:val="22"/>
                <w:szCs w:val="22"/>
              </w:rPr>
              <w:t>RPM</w:t>
            </w:r>
          </w:p>
        </w:tc>
      </w:tr>
      <w:tr w:rsidR="00105548" w14:paraId="37211F3A" w14:textId="77777777" w:rsidTr="001E345C">
        <w:tc>
          <w:tcPr>
            <w:tcW w:w="3005" w:type="dxa"/>
          </w:tcPr>
          <w:p w14:paraId="5FE50954" w14:textId="7B0CB831" w:rsidR="00105548" w:rsidRDefault="007B1F3B" w:rsidP="001E345C">
            <w:pPr>
              <w:rPr>
                <w:rFonts w:ascii="Times New Roman" w:hAnsi="Times New Roman" w:cs="Times New Roman"/>
                <w:sz w:val="22"/>
                <w:szCs w:val="22"/>
              </w:rPr>
            </w:pPr>
            <w:r>
              <w:rPr>
                <w:rFonts w:ascii="Times New Roman" w:hAnsi="Times New Roman" w:cs="Times New Roman"/>
                <w:sz w:val="22"/>
                <w:szCs w:val="22"/>
              </w:rPr>
              <w:t>FSF</w:t>
            </w:r>
          </w:p>
        </w:tc>
        <w:tc>
          <w:tcPr>
            <w:tcW w:w="3005" w:type="dxa"/>
          </w:tcPr>
          <w:p w14:paraId="70A3B786" w14:textId="0885DA37" w:rsidR="00105548" w:rsidRPr="00A26370" w:rsidRDefault="00E57CFD" w:rsidP="001E345C">
            <w:pPr>
              <w:rPr>
                <w:rFonts w:ascii="Times New Roman" w:hAnsi="Times New Roman" w:cs="Times New Roman"/>
                <w:sz w:val="22"/>
                <w:szCs w:val="22"/>
              </w:rPr>
            </w:pPr>
            <w:r>
              <w:rPr>
                <w:rFonts w:ascii="Times New Roman" w:hAnsi="Times New Roman" w:cs="Times New Roman"/>
                <w:sz w:val="22"/>
                <w:szCs w:val="22"/>
              </w:rPr>
              <w:t>1.799</w:t>
            </w:r>
          </w:p>
        </w:tc>
        <w:tc>
          <w:tcPr>
            <w:tcW w:w="3006" w:type="dxa"/>
          </w:tcPr>
          <w:p w14:paraId="53C491FB" w14:textId="07E1E26C" w:rsidR="00105548" w:rsidRPr="00A26370" w:rsidRDefault="00C372E0" w:rsidP="001E345C">
            <w:pPr>
              <w:rPr>
                <w:rFonts w:ascii="Times New Roman" w:hAnsi="Times New Roman" w:cs="Times New Roman"/>
                <w:sz w:val="22"/>
                <w:szCs w:val="22"/>
              </w:rPr>
            </w:pPr>
            <w:r>
              <w:rPr>
                <w:rFonts w:ascii="Times New Roman" w:hAnsi="Times New Roman" w:cs="Times New Roman"/>
                <w:sz w:val="22"/>
                <w:szCs w:val="22"/>
              </w:rPr>
              <w:t>-</w:t>
            </w:r>
          </w:p>
        </w:tc>
      </w:tr>
    </w:tbl>
    <w:p w14:paraId="2711A766" w14:textId="77777777" w:rsidR="001E345C" w:rsidRDefault="001E345C" w:rsidP="001E345C"/>
    <w:p w14:paraId="1337F95A" w14:textId="27E23C47" w:rsidR="00A002C3" w:rsidRPr="00B87A8B" w:rsidRDefault="00A002C3" w:rsidP="00B87A8B">
      <w:pPr>
        <w:pStyle w:val="Heading2"/>
        <w:rPr>
          <w:rFonts w:ascii="Times New Roman" w:hAnsi="Times New Roman" w:cs="Times New Roman"/>
          <w:color w:val="auto"/>
        </w:rPr>
      </w:pPr>
      <w:bookmarkStart w:id="20" w:name="_Toc224564558"/>
      <w:r w:rsidRPr="00B87A8B">
        <w:rPr>
          <w:rFonts w:ascii="Times New Roman" w:hAnsi="Times New Roman" w:cs="Times New Roman"/>
          <w:color w:val="auto"/>
        </w:rPr>
        <w:t xml:space="preserve">4.2 </w:t>
      </w:r>
      <w:r w:rsidR="00B87A8B" w:rsidRPr="00B87A8B">
        <w:rPr>
          <w:rFonts w:ascii="Times New Roman" w:hAnsi="Times New Roman" w:cs="Times New Roman"/>
          <w:color w:val="auto"/>
        </w:rPr>
        <w:t>–</w:t>
      </w:r>
      <w:r w:rsidRPr="00B87A8B">
        <w:rPr>
          <w:rFonts w:ascii="Times New Roman" w:hAnsi="Times New Roman" w:cs="Times New Roman"/>
          <w:color w:val="auto"/>
        </w:rPr>
        <w:t xml:space="preserve"> </w:t>
      </w:r>
      <w:r w:rsidR="00B87A8B" w:rsidRPr="00B87A8B">
        <w:rPr>
          <w:rFonts w:ascii="Times New Roman" w:hAnsi="Times New Roman" w:cs="Times New Roman"/>
          <w:color w:val="auto"/>
        </w:rPr>
        <w:t>Bolt Design Improvement Analysis</w:t>
      </w:r>
      <w:bookmarkEnd w:id="20"/>
    </w:p>
    <w:p w14:paraId="2CDEC99D" w14:textId="57215922" w:rsidR="00D33C9F" w:rsidRPr="004A347E" w:rsidRDefault="008F0603" w:rsidP="0032416C">
      <w:pPr>
        <w:spacing w:line="360" w:lineRule="auto"/>
        <w:rPr>
          <w:rFonts w:ascii="Times New Roman" w:hAnsi="Times New Roman" w:cs="Times New Roman"/>
          <w:sz w:val="22"/>
          <w:szCs w:val="22"/>
        </w:rPr>
      </w:pPr>
      <w:r w:rsidRPr="004A347E">
        <w:rPr>
          <w:rFonts w:ascii="Times New Roman" w:hAnsi="Times New Roman" w:cs="Times New Roman"/>
          <w:sz w:val="22"/>
          <w:szCs w:val="22"/>
        </w:rPr>
        <w:t xml:space="preserve">A measured </w:t>
      </w:r>
      <w:r w:rsidR="00B5180B" w:rsidRPr="004A347E">
        <w:rPr>
          <w:rFonts w:ascii="Times New Roman" w:hAnsi="Times New Roman" w:cs="Times New Roman"/>
          <w:sz w:val="22"/>
          <w:szCs w:val="22"/>
        </w:rPr>
        <w:t xml:space="preserve">Ford </w:t>
      </w:r>
      <w:proofErr w:type="spellStart"/>
      <w:r w:rsidR="00B5180B" w:rsidRPr="004A347E">
        <w:rPr>
          <w:rFonts w:ascii="Times New Roman" w:hAnsi="Times New Roman" w:cs="Times New Roman"/>
          <w:sz w:val="22"/>
          <w:szCs w:val="22"/>
        </w:rPr>
        <w:t>Duratec</w:t>
      </w:r>
      <w:proofErr w:type="spellEnd"/>
      <w:r w:rsidR="00B5180B" w:rsidRPr="004A347E">
        <w:rPr>
          <w:rFonts w:ascii="Times New Roman" w:hAnsi="Times New Roman" w:cs="Times New Roman"/>
          <w:sz w:val="22"/>
          <w:szCs w:val="22"/>
        </w:rPr>
        <w:t xml:space="preserve"> connecting rod bolt was used as a realistic benchmark geometry </w:t>
      </w:r>
      <w:r w:rsidR="00D73819" w:rsidRPr="004A347E">
        <w:rPr>
          <w:rFonts w:ascii="Times New Roman" w:hAnsi="Times New Roman" w:cs="Times New Roman"/>
          <w:sz w:val="22"/>
          <w:szCs w:val="22"/>
        </w:rPr>
        <w:t xml:space="preserve">for the redesign assessment. The measured shank diameter of 7.7mm gave an effective </w:t>
      </w:r>
      <w:r w:rsidR="003663E1" w:rsidRPr="004A347E">
        <w:rPr>
          <w:rFonts w:ascii="Times New Roman" w:hAnsi="Times New Roman" w:cs="Times New Roman"/>
          <w:sz w:val="22"/>
          <w:szCs w:val="22"/>
        </w:rPr>
        <w:t xml:space="preserve">tensile area </w:t>
      </w:r>
      <w:r w:rsidR="0072526D" w:rsidRPr="004A347E">
        <w:rPr>
          <w:rFonts w:ascii="Times New Roman" w:hAnsi="Times New Roman" w:cs="Times New Roman"/>
          <w:sz w:val="22"/>
          <w:szCs w:val="22"/>
        </w:rPr>
        <w:t xml:space="preserve">of 46.57mm^2, resulting in a FSF of 1.799 at 9000 RPM. </w:t>
      </w:r>
      <w:r w:rsidR="00112D90" w:rsidRPr="004A347E">
        <w:rPr>
          <w:rFonts w:ascii="Times New Roman" w:hAnsi="Times New Roman" w:cs="Times New Roman"/>
          <w:sz w:val="22"/>
          <w:szCs w:val="22"/>
        </w:rPr>
        <w:t xml:space="preserve">As illustrated by the Goodman diagram </w:t>
      </w:r>
      <w:r w:rsidR="009048BD" w:rsidRPr="004A347E">
        <w:rPr>
          <w:rFonts w:ascii="Times New Roman" w:hAnsi="Times New Roman" w:cs="Times New Roman"/>
          <w:sz w:val="22"/>
          <w:szCs w:val="22"/>
        </w:rPr>
        <w:t>below, the operating stress range lies within the safe fatigue region</w:t>
      </w:r>
      <w:r w:rsidR="009541CB" w:rsidRPr="004A347E">
        <w:rPr>
          <w:rFonts w:ascii="Times New Roman" w:hAnsi="Times New Roman" w:cs="Times New Roman"/>
          <w:sz w:val="22"/>
          <w:szCs w:val="22"/>
        </w:rPr>
        <w:t xml:space="preserve">. </w:t>
      </w:r>
      <w:r w:rsidR="00C961FE" w:rsidRPr="004A347E">
        <w:rPr>
          <w:rFonts w:ascii="Times New Roman" w:hAnsi="Times New Roman" w:cs="Times New Roman"/>
          <w:sz w:val="22"/>
          <w:szCs w:val="22"/>
        </w:rPr>
        <w:t xml:space="preserve">This indicates that the </w:t>
      </w:r>
      <w:proofErr w:type="spellStart"/>
      <w:r w:rsidR="00C961FE" w:rsidRPr="004A347E">
        <w:rPr>
          <w:rFonts w:ascii="Times New Roman" w:hAnsi="Times New Roman" w:cs="Times New Roman"/>
          <w:sz w:val="22"/>
          <w:szCs w:val="22"/>
        </w:rPr>
        <w:t>Duratec</w:t>
      </w:r>
      <w:proofErr w:type="spellEnd"/>
      <w:r w:rsidR="00C961FE" w:rsidRPr="004A347E">
        <w:rPr>
          <w:rFonts w:ascii="Times New Roman" w:hAnsi="Times New Roman" w:cs="Times New Roman"/>
          <w:sz w:val="22"/>
          <w:szCs w:val="22"/>
        </w:rPr>
        <w:t xml:space="preserve"> bolt provides an improvement on the original assumed bolt geometry</w:t>
      </w:r>
      <w:r w:rsidR="00DC1138" w:rsidRPr="004A347E">
        <w:rPr>
          <w:rFonts w:ascii="Times New Roman" w:hAnsi="Times New Roman" w:cs="Times New Roman"/>
          <w:sz w:val="22"/>
          <w:szCs w:val="22"/>
        </w:rPr>
        <w:t>, but it remains slightly below the target FSF of 2</w:t>
      </w:r>
      <w:r w:rsidR="00D12475" w:rsidRPr="004A347E">
        <w:rPr>
          <w:rFonts w:ascii="Times New Roman" w:hAnsi="Times New Roman" w:cs="Times New Roman"/>
          <w:sz w:val="22"/>
          <w:szCs w:val="22"/>
        </w:rPr>
        <w:t>, which was chose</w:t>
      </w:r>
      <w:r w:rsidR="00B9527E" w:rsidRPr="004A347E">
        <w:rPr>
          <w:rFonts w:ascii="Times New Roman" w:hAnsi="Times New Roman" w:cs="Times New Roman"/>
          <w:sz w:val="22"/>
          <w:szCs w:val="22"/>
        </w:rPr>
        <w:t>n as according to Heywood (2018</w:t>
      </w:r>
      <w:r w:rsidR="006A295C" w:rsidRPr="004A347E">
        <w:rPr>
          <w:rFonts w:ascii="Times New Roman" w:hAnsi="Times New Roman" w:cs="Times New Roman"/>
          <w:sz w:val="22"/>
          <w:szCs w:val="22"/>
        </w:rPr>
        <w:t xml:space="preserve">) “engine components subjected to high cyclic stresses are typically </w:t>
      </w:r>
      <w:r w:rsidR="004D67B3" w:rsidRPr="004A347E">
        <w:rPr>
          <w:rFonts w:ascii="Times New Roman" w:hAnsi="Times New Roman" w:cs="Times New Roman"/>
          <w:sz w:val="22"/>
          <w:szCs w:val="22"/>
        </w:rPr>
        <w:t>designed with FSFs closer to 2.0 to ensure reliable long-term operation</w:t>
      </w:r>
      <w:r w:rsidR="00FE1271" w:rsidRPr="004A347E">
        <w:rPr>
          <w:rFonts w:ascii="Times New Roman" w:hAnsi="Times New Roman" w:cs="Times New Roman"/>
          <w:sz w:val="22"/>
          <w:szCs w:val="22"/>
        </w:rPr>
        <w:t xml:space="preserve">”. </w:t>
      </w:r>
      <w:r w:rsidR="00EB3188" w:rsidRPr="004A347E">
        <w:rPr>
          <w:rFonts w:ascii="Times New Roman" w:hAnsi="Times New Roman" w:cs="Times New Roman"/>
          <w:sz w:val="22"/>
          <w:szCs w:val="22"/>
        </w:rPr>
        <w:t xml:space="preserve">Using the calculated </w:t>
      </w:r>
      <w:r w:rsidR="00FA7C06" w:rsidRPr="004A347E">
        <w:rPr>
          <w:rFonts w:ascii="Times New Roman" w:hAnsi="Times New Roman" w:cs="Times New Roman"/>
          <w:sz w:val="22"/>
          <w:szCs w:val="22"/>
        </w:rPr>
        <w:t xml:space="preserve">relationship between bolt area and FSF, the required area to restore the design target </w:t>
      </w:r>
      <w:r w:rsidR="00157B39" w:rsidRPr="004A347E">
        <w:rPr>
          <w:rFonts w:ascii="Times New Roman" w:hAnsi="Times New Roman" w:cs="Times New Roman"/>
          <w:sz w:val="22"/>
          <w:szCs w:val="22"/>
        </w:rPr>
        <w:t xml:space="preserve">was found to be 51.77mm^2, corresponding to a bolt diameter </w:t>
      </w:r>
      <w:r w:rsidR="00B91F86" w:rsidRPr="004A347E">
        <w:rPr>
          <w:rFonts w:ascii="Times New Roman" w:hAnsi="Times New Roman" w:cs="Times New Roman"/>
          <w:sz w:val="22"/>
          <w:szCs w:val="22"/>
        </w:rPr>
        <w:t xml:space="preserve">of approximately 8.12mm. This shows that the </w:t>
      </w:r>
      <w:proofErr w:type="spellStart"/>
      <w:r w:rsidR="00B91F86" w:rsidRPr="004A347E">
        <w:rPr>
          <w:rFonts w:ascii="Times New Roman" w:hAnsi="Times New Roman" w:cs="Times New Roman"/>
          <w:sz w:val="22"/>
          <w:szCs w:val="22"/>
        </w:rPr>
        <w:t>Duratec</w:t>
      </w:r>
      <w:proofErr w:type="spellEnd"/>
      <w:r w:rsidR="00B91F86" w:rsidRPr="004A347E">
        <w:rPr>
          <w:rFonts w:ascii="Times New Roman" w:hAnsi="Times New Roman" w:cs="Times New Roman"/>
          <w:sz w:val="22"/>
          <w:szCs w:val="22"/>
        </w:rPr>
        <w:t xml:space="preserve"> bolt is close to the required </w:t>
      </w:r>
      <w:r w:rsidR="00CF589D" w:rsidRPr="004A347E">
        <w:rPr>
          <w:rFonts w:ascii="Times New Roman" w:hAnsi="Times New Roman" w:cs="Times New Roman"/>
          <w:sz w:val="22"/>
          <w:szCs w:val="22"/>
        </w:rPr>
        <w:t xml:space="preserve">design but would require only a small increase in diameter to satisfy the FSF requirement of 2. </w:t>
      </w:r>
      <w:r w:rsidR="0099453C" w:rsidRPr="004A347E">
        <w:rPr>
          <w:rFonts w:ascii="Times New Roman" w:hAnsi="Times New Roman" w:cs="Times New Roman"/>
          <w:sz w:val="22"/>
          <w:szCs w:val="22"/>
        </w:rPr>
        <w:t xml:space="preserve">The result suggests that the production-style </w:t>
      </w:r>
      <w:proofErr w:type="spellStart"/>
      <w:r w:rsidR="0099453C" w:rsidRPr="004A347E">
        <w:rPr>
          <w:rFonts w:ascii="Times New Roman" w:hAnsi="Times New Roman" w:cs="Times New Roman"/>
          <w:sz w:val="22"/>
          <w:szCs w:val="22"/>
        </w:rPr>
        <w:t>Duratec</w:t>
      </w:r>
      <w:proofErr w:type="spellEnd"/>
      <w:r w:rsidR="0099453C" w:rsidRPr="004A347E">
        <w:rPr>
          <w:rFonts w:ascii="Times New Roman" w:hAnsi="Times New Roman" w:cs="Times New Roman"/>
          <w:sz w:val="22"/>
          <w:szCs w:val="22"/>
        </w:rPr>
        <w:t xml:space="preserve"> geometry is a sensible reference design</w:t>
      </w:r>
      <w:r w:rsidR="005A082F" w:rsidRPr="004A347E">
        <w:rPr>
          <w:rFonts w:ascii="Times New Roman" w:hAnsi="Times New Roman" w:cs="Times New Roman"/>
          <w:sz w:val="22"/>
          <w:szCs w:val="22"/>
        </w:rPr>
        <w:t xml:space="preserve">, although a slight diameter increase would </w:t>
      </w:r>
      <w:r w:rsidR="009B3ACC" w:rsidRPr="004A347E">
        <w:rPr>
          <w:rFonts w:ascii="Times New Roman" w:hAnsi="Times New Roman" w:cs="Times New Roman"/>
          <w:sz w:val="22"/>
          <w:szCs w:val="22"/>
        </w:rPr>
        <w:t xml:space="preserve">improve fatigue resistance under high-speed loading conditions. </w:t>
      </w:r>
    </w:p>
    <w:p w14:paraId="0B6F2E03" w14:textId="77777777" w:rsidR="009541CB" w:rsidRDefault="009541CB" w:rsidP="0032416C">
      <w:pPr>
        <w:spacing w:line="360" w:lineRule="auto"/>
        <w:rPr>
          <w:rFonts w:ascii="Times New Roman" w:hAnsi="Times New Roman" w:cs="Times New Roman"/>
        </w:rPr>
      </w:pPr>
      <w:r>
        <w:rPr>
          <w:noProof/>
        </w:rPr>
        <w:lastRenderedPageBreak/>
        <w:drawing>
          <wp:inline distT="0" distB="0" distL="0" distR="0" wp14:anchorId="7F9A68BD" wp14:editId="56143898">
            <wp:extent cx="5731510" cy="3480435"/>
            <wp:effectExtent l="0" t="0" r="2540" b="5715"/>
            <wp:docPr id="1414002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02225" name=""/>
                    <pic:cNvPicPr/>
                  </pic:nvPicPr>
                  <pic:blipFill>
                    <a:blip r:embed="rId13"/>
                    <a:stretch>
                      <a:fillRect/>
                    </a:stretch>
                  </pic:blipFill>
                  <pic:spPr>
                    <a:xfrm>
                      <a:off x="0" y="0"/>
                      <a:ext cx="5731510" cy="3480435"/>
                    </a:xfrm>
                    <a:prstGeom prst="rect">
                      <a:avLst/>
                    </a:prstGeom>
                  </pic:spPr>
                </pic:pic>
              </a:graphicData>
            </a:graphic>
          </wp:inline>
        </w:drawing>
      </w:r>
    </w:p>
    <w:p w14:paraId="293421C1" w14:textId="20D5F33D" w:rsidR="00B5748D" w:rsidRPr="00B5748D" w:rsidRDefault="009541CB" w:rsidP="0032416C">
      <w:pPr>
        <w:spacing w:line="360" w:lineRule="auto"/>
        <w:rPr>
          <w:rFonts w:ascii="Times New Roman" w:hAnsi="Times New Roman" w:cs="Times New Roman"/>
        </w:rPr>
      </w:pPr>
      <w:r w:rsidRPr="00142052">
        <w:rPr>
          <w:rFonts w:ascii="Times New Roman" w:hAnsi="Times New Roman" w:cs="Times New Roman"/>
          <w:i/>
          <w:iCs/>
          <w:sz w:val="22"/>
          <w:szCs w:val="22"/>
        </w:rPr>
        <w:t xml:space="preserve">Figure </w:t>
      </w:r>
      <w:r w:rsidR="00142052" w:rsidRPr="00142052">
        <w:rPr>
          <w:rFonts w:ascii="Times New Roman" w:hAnsi="Times New Roman" w:cs="Times New Roman"/>
          <w:i/>
          <w:iCs/>
          <w:sz w:val="22"/>
          <w:szCs w:val="22"/>
        </w:rPr>
        <w:t>4.1</w:t>
      </w:r>
      <w:r w:rsidRPr="00142052">
        <w:rPr>
          <w:rFonts w:ascii="Times New Roman" w:hAnsi="Times New Roman" w:cs="Times New Roman"/>
          <w:i/>
          <w:iCs/>
          <w:sz w:val="22"/>
          <w:szCs w:val="22"/>
        </w:rPr>
        <w:t xml:space="preserve"> - Goodman diagram for the </w:t>
      </w:r>
      <w:proofErr w:type="spellStart"/>
      <w:r w:rsidRPr="00142052">
        <w:rPr>
          <w:rFonts w:ascii="Times New Roman" w:hAnsi="Times New Roman" w:cs="Times New Roman"/>
          <w:i/>
          <w:iCs/>
          <w:sz w:val="22"/>
          <w:szCs w:val="22"/>
        </w:rPr>
        <w:t>Duratec</w:t>
      </w:r>
      <w:proofErr w:type="spellEnd"/>
      <w:r w:rsidRPr="00142052">
        <w:rPr>
          <w:rFonts w:ascii="Times New Roman" w:hAnsi="Times New Roman" w:cs="Times New Roman"/>
          <w:i/>
          <w:iCs/>
          <w:sz w:val="22"/>
          <w:szCs w:val="22"/>
        </w:rPr>
        <w:t xml:space="preserve"> connecting rod bolt.</w:t>
      </w:r>
      <w:r w:rsidR="00EE03C2">
        <w:rPr>
          <w:rFonts w:ascii="Times New Roman" w:hAnsi="Times New Roman" w:cs="Times New Roman"/>
        </w:rPr>
        <w:br w:type="page"/>
      </w:r>
    </w:p>
    <w:p w14:paraId="78543812" w14:textId="540D25FB" w:rsidR="00F11AC2" w:rsidRDefault="00D33C9F" w:rsidP="00624FC8">
      <w:pPr>
        <w:pStyle w:val="Heading1"/>
        <w:numPr>
          <w:ilvl w:val="0"/>
          <w:numId w:val="6"/>
        </w:numPr>
        <w:spacing w:line="360" w:lineRule="auto"/>
        <w:rPr>
          <w:rFonts w:ascii="Times New Roman" w:hAnsi="Times New Roman" w:cs="Times New Roman"/>
          <w:color w:val="auto"/>
        </w:rPr>
      </w:pPr>
      <w:bookmarkStart w:id="21" w:name="_Toc224383481"/>
      <w:bookmarkStart w:id="22" w:name="_Toc224564559"/>
      <w:r w:rsidRPr="00D33C9F">
        <w:rPr>
          <w:rFonts w:ascii="Times New Roman" w:hAnsi="Times New Roman" w:cs="Times New Roman"/>
          <w:color w:val="auto"/>
        </w:rPr>
        <w:lastRenderedPageBreak/>
        <w:t>Crankshaft Torque Investigation</w:t>
      </w:r>
      <w:bookmarkEnd w:id="21"/>
      <w:bookmarkEnd w:id="22"/>
    </w:p>
    <w:p w14:paraId="48D252CA" w14:textId="54FB821D" w:rsidR="00E24B7C" w:rsidRPr="00E24B7C" w:rsidRDefault="00E24B7C" w:rsidP="0032416C">
      <w:pPr>
        <w:spacing w:line="360" w:lineRule="auto"/>
        <w:rPr>
          <w:rFonts w:ascii="Times New Roman" w:hAnsi="Times New Roman" w:cs="Times New Roman"/>
          <w:sz w:val="22"/>
          <w:szCs w:val="22"/>
        </w:rPr>
      </w:pPr>
      <w:r w:rsidRPr="00D16712">
        <w:rPr>
          <w:rFonts w:ascii="Times New Roman" w:hAnsi="Times New Roman" w:cs="Times New Roman"/>
          <w:sz w:val="22"/>
          <w:szCs w:val="22"/>
        </w:rPr>
        <w:t>Figure</w:t>
      </w:r>
      <w:r w:rsidR="00D16712" w:rsidRPr="00D16712">
        <w:rPr>
          <w:rFonts w:ascii="Times New Roman" w:hAnsi="Times New Roman" w:cs="Times New Roman"/>
          <w:sz w:val="22"/>
          <w:szCs w:val="22"/>
        </w:rPr>
        <w:t xml:space="preserve"> 5.1</w:t>
      </w:r>
      <w:r w:rsidRPr="00D16712">
        <w:rPr>
          <w:rFonts w:ascii="Times New Roman" w:hAnsi="Times New Roman" w:cs="Times New Roman"/>
          <w:sz w:val="22"/>
          <w:szCs w:val="22"/>
        </w:rPr>
        <w:t xml:space="preserve"> compares</w:t>
      </w:r>
      <w:r>
        <w:rPr>
          <w:rFonts w:ascii="Times New Roman" w:hAnsi="Times New Roman" w:cs="Times New Roman"/>
          <w:sz w:val="22"/>
          <w:szCs w:val="22"/>
        </w:rPr>
        <w:t xml:space="preserve"> the total inertia torque generated by </w:t>
      </w:r>
      <w:r w:rsidR="00F55035">
        <w:rPr>
          <w:rFonts w:ascii="Times New Roman" w:hAnsi="Times New Roman" w:cs="Times New Roman"/>
          <w:sz w:val="22"/>
          <w:szCs w:val="22"/>
        </w:rPr>
        <w:t xml:space="preserve">a standard and cross-plane crankshaft. The standard crankshaft produces large oscillations in inertia torque, </w:t>
      </w:r>
      <w:r w:rsidR="007033BA">
        <w:rPr>
          <w:rFonts w:ascii="Times New Roman" w:hAnsi="Times New Roman" w:cs="Times New Roman"/>
          <w:sz w:val="22"/>
          <w:szCs w:val="22"/>
        </w:rPr>
        <w:t>reaching peaks of ±450Nm,</w:t>
      </w:r>
      <w:r w:rsidR="00496D55">
        <w:rPr>
          <w:rFonts w:ascii="Times New Roman" w:hAnsi="Times New Roman" w:cs="Times New Roman"/>
          <w:sz w:val="22"/>
          <w:szCs w:val="22"/>
        </w:rPr>
        <w:t xml:space="preserve"> as cylinders operate in pairs and their inertia torque contributions reinforce each other. In </w:t>
      </w:r>
      <w:r w:rsidR="0057118F">
        <w:rPr>
          <w:rFonts w:ascii="Times New Roman" w:hAnsi="Times New Roman" w:cs="Times New Roman"/>
          <w:sz w:val="22"/>
          <w:szCs w:val="22"/>
        </w:rPr>
        <w:t xml:space="preserve">contrast, the cross-plane configuration significantly reduces the magnitude of </w:t>
      </w:r>
      <w:r w:rsidR="0087480B">
        <w:rPr>
          <w:rFonts w:ascii="Times New Roman" w:hAnsi="Times New Roman" w:cs="Times New Roman"/>
          <w:sz w:val="22"/>
          <w:szCs w:val="22"/>
        </w:rPr>
        <w:t xml:space="preserve">these fluctuations, with peaks of ±150Nm. This occurs due to </w:t>
      </w:r>
      <w:r w:rsidR="008D5725">
        <w:rPr>
          <w:rFonts w:ascii="Times New Roman" w:hAnsi="Times New Roman" w:cs="Times New Roman"/>
          <w:sz w:val="22"/>
          <w:szCs w:val="22"/>
        </w:rPr>
        <w:t xml:space="preserve">the altered crank throw phasing distributing the piston inertia </w:t>
      </w:r>
      <w:r w:rsidR="00FB7AE6">
        <w:rPr>
          <w:rFonts w:ascii="Times New Roman" w:hAnsi="Times New Roman" w:cs="Times New Roman"/>
          <w:sz w:val="22"/>
          <w:szCs w:val="22"/>
        </w:rPr>
        <w:t>forces more evenly throughout the cycle, allowing partial cancellation</w:t>
      </w:r>
      <w:r w:rsidR="0060723B">
        <w:rPr>
          <w:rFonts w:ascii="Times New Roman" w:hAnsi="Times New Roman" w:cs="Times New Roman"/>
          <w:sz w:val="22"/>
          <w:szCs w:val="22"/>
        </w:rPr>
        <w:t xml:space="preserve"> between the torque contributions of different cylinders. </w:t>
      </w:r>
      <w:r w:rsidR="005B73F4">
        <w:rPr>
          <w:rFonts w:ascii="Times New Roman" w:hAnsi="Times New Roman" w:cs="Times New Roman"/>
          <w:sz w:val="22"/>
          <w:szCs w:val="22"/>
        </w:rPr>
        <w:t xml:space="preserve">The result is a substantial reduction in torque ripple, which improves torque smoothness </w:t>
      </w:r>
      <w:r w:rsidR="00A623A8">
        <w:rPr>
          <w:rFonts w:ascii="Times New Roman" w:hAnsi="Times New Roman" w:cs="Times New Roman"/>
          <w:sz w:val="22"/>
          <w:szCs w:val="22"/>
        </w:rPr>
        <w:t xml:space="preserve">and reduces the magnitude of cyclic loading acting on the crankshaft. Reducing inertia-induced torque fluctuations is important for improving </w:t>
      </w:r>
      <w:r w:rsidR="000F4AC4">
        <w:rPr>
          <w:rFonts w:ascii="Times New Roman" w:hAnsi="Times New Roman" w:cs="Times New Roman"/>
          <w:sz w:val="22"/>
          <w:szCs w:val="22"/>
        </w:rPr>
        <w:t>engine balance and limiting vibrations transmitting through the crankshaft and drivetrain (Heywood, 2018; Stone</w:t>
      </w:r>
      <w:r w:rsidR="005E2DEB">
        <w:rPr>
          <w:rFonts w:ascii="Times New Roman" w:hAnsi="Times New Roman" w:cs="Times New Roman"/>
          <w:sz w:val="22"/>
          <w:szCs w:val="22"/>
        </w:rPr>
        <w:t xml:space="preserve">, </w:t>
      </w:r>
      <w:r w:rsidR="000F4AC4">
        <w:rPr>
          <w:rFonts w:ascii="Times New Roman" w:hAnsi="Times New Roman" w:cs="Times New Roman"/>
          <w:sz w:val="22"/>
          <w:szCs w:val="22"/>
        </w:rPr>
        <w:t xml:space="preserve">2012; </w:t>
      </w:r>
      <w:r w:rsidR="005E2DEB">
        <w:rPr>
          <w:rFonts w:ascii="Times New Roman" w:hAnsi="Times New Roman" w:cs="Times New Roman"/>
          <w:sz w:val="22"/>
          <w:szCs w:val="22"/>
        </w:rPr>
        <w:t>Pulkrabek, 2014).</w:t>
      </w:r>
    </w:p>
    <w:p w14:paraId="1FB74B67" w14:textId="77777777" w:rsidR="0098083E" w:rsidRDefault="0098083E" w:rsidP="0032416C">
      <w:pPr>
        <w:spacing w:line="360" w:lineRule="auto"/>
        <w:rPr>
          <w:rFonts w:ascii="Times New Roman" w:hAnsi="Times New Roman" w:cs="Times New Roman"/>
        </w:rPr>
      </w:pPr>
    </w:p>
    <w:p w14:paraId="7154D8E0" w14:textId="486F4E94" w:rsidR="005E2DEB" w:rsidRDefault="00ED5CA2" w:rsidP="0032416C">
      <w:pPr>
        <w:spacing w:line="360" w:lineRule="auto"/>
        <w:rPr>
          <w:rFonts w:ascii="Times New Roman" w:hAnsi="Times New Roman" w:cs="Times New Roman"/>
        </w:rPr>
      </w:pPr>
      <w:r>
        <w:rPr>
          <w:noProof/>
        </w:rPr>
        <w:drawing>
          <wp:inline distT="0" distB="0" distL="0" distR="0" wp14:anchorId="7126725B" wp14:editId="1A72095C">
            <wp:extent cx="5731510" cy="3473450"/>
            <wp:effectExtent l="0" t="0" r="2540" b="0"/>
            <wp:docPr id="2737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9900" name=""/>
                    <pic:cNvPicPr/>
                  </pic:nvPicPr>
                  <pic:blipFill>
                    <a:blip r:embed="rId14"/>
                    <a:stretch>
                      <a:fillRect/>
                    </a:stretch>
                  </pic:blipFill>
                  <pic:spPr>
                    <a:xfrm>
                      <a:off x="0" y="0"/>
                      <a:ext cx="5731510" cy="3473450"/>
                    </a:xfrm>
                    <a:prstGeom prst="rect">
                      <a:avLst/>
                    </a:prstGeom>
                  </pic:spPr>
                </pic:pic>
              </a:graphicData>
            </a:graphic>
          </wp:inline>
        </w:drawing>
      </w:r>
    </w:p>
    <w:p w14:paraId="2975DDDD" w14:textId="4A9E3AC4" w:rsidR="005E2DEB" w:rsidRPr="00624FC8" w:rsidRDefault="001B15E6" w:rsidP="0032416C">
      <w:pPr>
        <w:spacing w:line="360" w:lineRule="auto"/>
        <w:rPr>
          <w:rFonts w:ascii="Times New Roman" w:hAnsi="Times New Roman" w:cs="Times New Roman"/>
          <w:i/>
          <w:iCs/>
          <w:sz w:val="22"/>
          <w:szCs w:val="22"/>
        </w:rPr>
      </w:pPr>
      <w:r w:rsidRPr="00D16712">
        <w:rPr>
          <w:rFonts w:ascii="Times New Roman" w:hAnsi="Times New Roman" w:cs="Times New Roman"/>
          <w:i/>
          <w:iCs/>
          <w:sz w:val="22"/>
          <w:szCs w:val="22"/>
        </w:rPr>
        <w:t xml:space="preserve">Figure </w:t>
      </w:r>
      <w:r w:rsidR="00D16712" w:rsidRPr="00D16712">
        <w:rPr>
          <w:rFonts w:ascii="Times New Roman" w:hAnsi="Times New Roman" w:cs="Times New Roman"/>
          <w:i/>
          <w:iCs/>
          <w:sz w:val="22"/>
          <w:szCs w:val="22"/>
        </w:rPr>
        <w:t>5.1</w:t>
      </w:r>
      <w:r w:rsidRPr="00D16712">
        <w:rPr>
          <w:rFonts w:ascii="Times New Roman" w:hAnsi="Times New Roman" w:cs="Times New Roman"/>
          <w:i/>
          <w:iCs/>
          <w:sz w:val="22"/>
          <w:szCs w:val="22"/>
        </w:rPr>
        <w:t xml:space="preserve"> - </w:t>
      </w:r>
      <w:r w:rsidR="009C015D" w:rsidRPr="00D16712">
        <w:rPr>
          <w:rFonts w:ascii="Times New Roman" w:hAnsi="Times New Roman" w:cs="Times New Roman"/>
          <w:i/>
          <w:iCs/>
          <w:sz w:val="22"/>
          <w:szCs w:val="22"/>
        </w:rPr>
        <w:t>Graph comparing inertia torque from a standard and cross-plane crankshaft.</w:t>
      </w:r>
    </w:p>
    <w:p w14:paraId="720770A8" w14:textId="3C58DD03" w:rsidR="009C015D" w:rsidRPr="00624FC8" w:rsidRDefault="007E5830" w:rsidP="0032416C">
      <w:pPr>
        <w:spacing w:line="360" w:lineRule="auto"/>
        <w:rPr>
          <w:rFonts w:ascii="Times New Roman" w:hAnsi="Times New Roman" w:cs="Times New Roman"/>
          <w:sz w:val="22"/>
          <w:szCs w:val="22"/>
        </w:rPr>
      </w:pPr>
      <w:r w:rsidRPr="0042720A">
        <w:rPr>
          <w:rFonts w:ascii="Times New Roman" w:hAnsi="Times New Roman" w:cs="Times New Roman"/>
          <w:sz w:val="22"/>
          <w:szCs w:val="22"/>
        </w:rPr>
        <w:t xml:space="preserve">Figure </w:t>
      </w:r>
      <w:r w:rsidR="0042720A" w:rsidRPr="0042720A">
        <w:rPr>
          <w:rFonts w:ascii="Times New Roman" w:hAnsi="Times New Roman" w:cs="Times New Roman"/>
          <w:sz w:val="22"/>
          <w:szCs w:val="22"/>
        </w:rPr>
        <w:t>5.2</w:t>
      </w:r>
      <w:r w:rsidRPr="0042720A">
        <w:rPr>
          <w:rFonts w:ascii="Times New Roman" w:hAnsi="Times New Roman" w:cs="Times New Roman"/>
          <w:sz w:val="22"/>
          <w:szCs w:val="22"/>
        </w:rPr>
        <w:t xml:space="preserve"> shows the</w:t>
      </w:r>
      <w:r w:rsidRPr="00624FC8">
        <w:rPr>
          <w:rFonts w:ascii="Times New Roman" w:hAnsi="Times New Roman" w:cs="Times New Roman"/>
          <w:sz w:val="22"/>
          <w:szCs w:val="22"/>
        </w:rPr>
        <w:t xml:space="preserve"> gas torque generated by both configurations. </w:t>
      </w:r>
      <w:r w:rsidR="005A5742" w:rsidRPr="00624FC8">
        <w:rPr>
          <w:rFonts w:ascii="Times New Roman" w:hAnsi="Times New Roman" w:cs="Times New Roman"/>
          <w:sz w:val="22"/>
          <w:szCs w:val="22"/>
        </w:rPr>
        <w:t xml:space="preserve">Both crankshaft configurations produce </w:t>
      </w:r>
      <w:r w:rsidR="00535912" w:rsidRPr="00624FC8">
        <w:rPr>
          <w:rFonts w:ascii="Times New Roman" w:hAnsi="Times New Roman" w:cs="Times New Roman"/>
          <w:sz w:val="22"/>
          <w:szCs w:val="22"/>
        </w:rPr>
        <w:t xml:space="preserve">similar peak torque levels, while the main difference lies in how the torque </w:t>
      </w:r>
      <w:r w:rsidR="008519C3" w:rsidRPr="00624FC8">
        <w:rPr>
          <w:rFonts w:ascii="Times New Roman" w:hAnsi="Times New Roman" w:cs="Times New Roman"/>
          <w:sz w:val="22"/>
          <w:szCs w:val="22"/>
        </w:rPr>
        <w:t xml:space="preserve">pulses are phased throughout the cycle. This demonstrates that crankshaft geometry influences the timing and distribution of torque pulses </w:t>
      </w:r>
      <w:r w:rsidR="00B568B2" w:rsidRPr="00624FC8">
        <w:rPr>
          <w:rFonts w:ascii="Times New Roman" w:hAnsi="Times New Roman" w:cs="Times New Roman"/>
          <w:sz w:val="22"/>
          <w:szCs w:val="22"/>
        </w:rPr>
        <w:t xml:space="preserve">rather than the magnitude of the combustion-generated torque itself (Heywood, 2018; </w:t>
      </w:r>
      <w:r w:rsidR="00226AF0" w:rsidRPr="00624FC8">
        <w:rPr>
          <w:rFonts w:ascii="Times New Roman" w:hAnsi="Times New Roman" w:cs="Times New Roman"/>
          <w:sz w:val="22"/>
          <w:szCs w:val="22"/>
        </w:rPr>
        <w:t xml:space="preserve">Stone, 2012). </w:t>
      </w:r>
    </w:p>
    <w:p w14:paraId="6C25B877" w14:textId="3B03B94A" w:rsidR="009C015D" w:rsidRDefault="0072050C" w:rsidP="0032416C">
      <w:pPr>
        <w:spacing w:line="360" w:lineRule="auto"/>
        <w:rPr>
          <w:rFonts w:ascii="Times New Roman" w:hAnsi="Times New Roman" w:cs="Times New Roman"/>
        </w:rPr>
      </w:pPr>
      <w:r>
        <w:rPr>
          <w:noProof/>
        </w:rPr>
        <w:lastRenderedPageBreak/>
        <w:drawing>
          <wp:inline distT="0" distB="0" distL="0" distR="0" wp14:anchorId="18E819D0" wp14:editId="66196DA5">
            <wp:extent cx="5731510" cy="3528060"/>
            <wp:effectExtent l="0" t="0" r="2540" b="0"/>
            <wp:docPr id="124503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37005" name=""/>
                    <pic:cNvPicPr/>
                  </pic:nvPicPr>
                  <pic:blipFill>
                    <a:blip r:embed="rId15"/>
                    <a:stretch>
                      <a:fillRect/>
                    </a:stretch>
                  </pic:blipFill>
                  <pic:spPr>
                    <a:xfrm>
                      <a:off x="0" y="0"/>
                      <a:ext cx="5731510" cy="3528060"/>
                    </a:xfrm>
                    <a:prstGeom prst="rect">
                      <a:avLst/>
                    </a:prstGeom>
                  </pic:spPr>
                </pic:pic>
              </a:graphicData>
            </a:graphic>
          </wp:inline>
        </w:drawing>
      </w:r>
    </w:p>
    <w:p w14:paraId="7E22A6B0" w14:textId="22067F8A" w:rsidR="009C015D" w:rsidRPr="00624FC8" w:rsidRDefault="009C015D" w:rsidP="0032416C">
      <w:pPr>
        <w:spacing w:line="360" w:lineRule="auto"/>
        <w:rPr>
          <w:rFonts w:ascii="Times New Roman" w:hAnsi="Times New Roman" w:cs="Times New Roman"/>
          <w:i/>
          <w:iCs/>
          <w:sz w:val="22"/>
          <w:szCs w:val="22"/>
        </w:rPr>
      </w:pPr>
      <w:r w:rsidRPr="00602A33">
        <w:rPr>
          <w:rFonts w:ascii="Times New Roman" w:hAnsi="Times New Roman" w:cs="Times New Roman"/>
          <w:i/>
          <w:iCs/>
          <w:sz w:val="22"/>
          <w:szCs w:val="22"/>
        </w:rPr>
        <w:t xml:space="preserve">Figure </w:t>
      </w:r>
      <w:r w:rsidR="00602A33" w:rsidRPr="00602A33">
        <w:rPr>
          <w:rFonts w:ascii="Times New Roman" w:hAnsi="Times New Roman" w:cs="Times New Roman"/>
          <w:i/>
          <w:iCs/>
          <w:sz w:val="22"/>
          <w:szCs w:val="22"/>
        </w:rPr>
        <w:t>5.2</w:t>
      </w:r>
      <w:r w:rsidRPr="00602A33">
        <w:rPr>
          <w:rFonts w:ascii="Times New Roman" w:hAnsi="Times New Roman" w:cs="Times New Roman"/>
          <w:i/>
          <w:iCs/>
          <w:sz w:val="22"/>
          <w:szCs w:val="22"/>
        </w:rPr>
        <w:t xml:space="preserve"> - Graph comparing gas torque from a standard and cross-plane crankshaft.</w:t>
      </w:r>
    </w:p>
    <w:p w14:paraId="0FEAFBC1" w14:textId="1F0916D3" w:rsidR="00226AF0" w:rsidRPr="00624FC8" w:rsidRDefault="006D2CDB" w:rsidP="0032416C">
      <w:pPr>
        <w:spacing w:line="360" w:lineRule="auto"/>
        <w:rPr>
          <w:rFonts w:ascii="Times New Roman" w:hAnsi="Times New Roman" w:cs="Times New Roman"/>
          <w:sz w:val="22"/>
          <w:szCs w:val="22"/>
        </w:rPr>
      </w:pPr>
      <w:r w:rsidRPr="00624FC8">
        <w:rPr>
          <w:rFonts w:ascii="Times New Roman" w:hAnsi="Times New Roman" w:cs="Times New Roman"/>
          <w:sz w:val="22"/>
          <w:szCs w:val="22"/>
        </w:rPr>
        <w:t xml:space="preserve">Total </w:t>
      </w:r>
      <w:r w:rsidR="00FD5D59" w:rsidRPr="00624FC8">
        <w:rPr>
          <w:rFonts w:ascii="Times New Roman" w:hAnsi="Times New Roman" w:cs="Times New Roman"/>
          <w:sz w:val="22"/>
          <w:szCs w:val="22"/>
        </w:rPr>
        <w:t xml:space="preserve">crankshaft torque is calculated by combining the gas </w:t>
      </w:r>
      <w:r w:rsidR="00D20EEB" w:rsidRPr="00624FC8">
        <w:rPr>
          <w:rFonts w:ascii="Times New Roman" w:hAnsi="Times New Roman" w:cs="Times New Roman"/>
          <w:sz w:val="22"/>
          <w:szCs w:val="22"/>
        </w:rPr>
        <w:t xml:space="preserve">and inertia torques. The resulting torque traces represent the instantaneous </w:t>
      </w:r>
      <w:r w:rsidR="00DB4540" w:rsidRPr="00624FC8">
        <w:rPr>
          <w:rFonts w:ascii="Times New Roman" w:hAnsi="Times New Roman" w:cs="Times New Roman"/>
          <w:sz w:val="22"/>
          <w:szCs w:val="22"/>
        </w:rPr>
        <w:t>torque acting on the crankshaft during the engine cycle. The shape of the curve</w:t>
      </w:r>
      <w:r w:rsidR="00114A91" w:rsidRPr="00624FC8">
        <w:rPr>
          <w:rFonts w:ascii="Times New Roman" w:hAnsi="Times New Roman" w:cs="Times New Roman"/>
          <w:sz w:val="22"/>
          <w:szCs w:val="22"/>
        </w:rPr>
        <w:t xml:space="preserve">s is primarily dominated by the gas torque produced during the combustion phase, which generates </w:t>
      </w:r>
      <w:r w:rsidR="0085670B" w:rsidRPr="00624FC8">
        <w:rPr>
          <w:rFonts w:ascii="Times New Roman" w:hAnsi="Times New Roman" w:cs="Times New Roman"/>
          <w:sz w:val="22"/>
          <w:szCs w:val="22"/>
        </w:rPr>
        <w:t xml:space="preserve">the large positive torque peaks visible </w:t>
      </w:r>
      <w:r w:rsidR="0085670B" w:rsidRPr="00DB3A49">
        <w:rPr>
          <w:rFonts w:ascii="Times New Roman" w:hAnsi="Times New Roman" w:cs="Times New Roman"/>
          <w:sz w:val="22"/>
          <w:szCs w:val="22"/>
        </w:rPr>
        <w:t xml:space="preserve">in figure </w:t>
      </w:r>
      <w:r w:rsidR="00DB3A49" w:rsidRPr="00DB3A49">
        <w:rPr>
          <w:rFonts w:ascii="Times New Roman" w:hAnsi="Times New Roman" w:cs="Times New Roman"/>
          <w:sz w:val="22"/>
          <w:szCs w:val="22"/>
        </w:rPr>
        <w:t>5.3</w:t>
      </w:r>
      <w:r w:rsidR="0085670B" w:rsidRPr="00624FC8">
        <w:rPr>
          <w:rFonts w:ascii="Times New Roman" w:hAnsi="Times New Roman" w:cs="Times New Roman"/>
          <w:sz w:val="22"/>
          <w:szCs w:val="22"/>
        </w:rPr>
        <w:t>.</w:t>
      </w:r>
      <w:r w:rsidR="004B027F" w:rsidRPr="00624FC8">
        <w:rPr>
          <w:sz w:val="22"/>
          <w:szCs w:val="22"/>
        </w:rPr>
        <w:t xml:space="preserve"> </w:t>
      </w:r>
      <w:r w:rsidR="004B027F" w:rsidRPr="00624FC8">
        <w:rPr>
          <w:rFonts w:ascii="Times New Roman" w:hAnsi="Times New Roman" w:cs="Times New Roman"/>
          <w:sz w:val="22"/>
          <w:szCs w:val="22"/>
        </w:rPr>
        <w:t>However, the inertia torque component modifies this behaviour by adding additional oscillations that depend on crankshaft geometry and piston motion. As a result, the standard crankshaft configuration produces a more uniform distribution of torque pulses across the cycle, whereas the cross-plane configuration generates larger individual peaks but with different phase spacing between cylinders. This illustrates how crankshaft design influences the instantaneous loading experienced by the crankshaft by altering the interaction between combustion-generated torque and reciprocating inertia effects (Heywood, 2018; Stone, 2012; Pulkrabek, 2014).</w:t>
      </w:r>
    </w:p>
    <w:p w14:paraId="6E39A673" w14:textId="77777777" w:rsidR="006D04E5" w:rsidRPr="006D2CDB" w:rsidRDefault="006D04E5" w:rsidP="0032416C">
      <w:pPr>
        <w:spacing w:line="360" w:lineRule="auto"/>
        <w:rPr>
          <w:rFonts w:ascii="Times New Roman" w:hAnsi="Times New Roman" w:cs="Times New Roman"/>
          <w:sz w:val="22"/>
          <w:szCs w:val="22"/>
        </w:rPr>
      </w:pPr>
    </w:p>
    <w:p w14:paraId="17F566BA" w14:textId="36352EF2" w:rsidR="00226AF0" w:rsidRDefault="005A4D3F" w:rsidP="0032416C">
      <w:pPr>
        <w:spacing w:line="360" w:lineRule="auto"/>
        <w:rPr>
          <w:rFonts w:ascii="Times New Roman" w:hAnsi="Times New Roman" w:cs="Times New Roman"/>
        </w:rPr>
      </w:pPr>
      <w:r>
        <w:rPr>
          <w:noProof/>
        </w:rPr>
        <w:lastRenderedPageBreak/>
        <w:drawing>
          <wp:inline distT="0" distB="0" distL="0" distR="0" wp14:anchorId="3156D148" wp14:editId="6BCA9A22">
            <wp:extent cx="5731510" cy="3531235"/>
            <wp:effectExtent l="0" t="0" r="2540" b="0"/>
            <wp:docPr id="1617072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072567" name=""/>
                    <pic:cNvPicPr/>
                  </pic:nvPicPr>
                  <pic:blipFill>
                    <a:blip r:embed="rId16"/>
                    <a:stretch>
                      <a:fillRect/>
                    </a:stretch>
                  </pic:blipFill>
                  <pic:spPr>
                    <a:xfrm>
                      <a:off x="0" y="0"/>
                      <a:ext cx="5731510" cy="3531235"/>
                    </a:xfrm>
                    <a:prstGeom prst="rect">
                      <a:avLst/>
                    </a:prstGeom>
                  </pic:spPr>
                </pic:pic>
              </a:graphicData>
            </a:graphic>
          </wp:inline>
        </w:drawing>
      </w:r>
    </w:p>
    <w:p w14:paraId="3C72B5BA" w14:textId="75EBCA55" w:rsidR="00226AF0" w:rsidRPr="00624FC8" w:rsidRDefault="00226AF0" w:rsidP="0032416C">
      <w:pPr>
        <w:spacing w:line="360" w:lineRule="auto"/>
        <w:rPr>
          <w:rFonts w:ascii="Times New Roman" w:hAnsi="Times New Roman" w:cs="Times New Roman"/>
          <w:i/>
          <w:iCs/>
          <w:sz w:val="22"/>
          <w:szCs w:val="22"/>
        </w:rPr>
      </w:pPr>
      <w:r w:rsidRPr="00DB3A49">
        <w:rPr>
          <w:rFonts w:ascii="Times New Roman" w:hAnsi="Times New Roman" w:cs="Times New Roman"/>
          <w:i/>
          <w:iCs/>
          <w:sz w:val="22"/>
          <w:szCs w:val="22"/>
        </w:rPr>
        <w:t xml:space="preserve">Figure </w:t>
      </w:r>
      <w:r w:rsidR="00DB3A49" w:rsidRPr="00DB3A49">
        <w:rPr>
          <w:rFonts w:ascii="Times New Roman" w:hAnsi="Times New Roman" w:cs="Times New Roman"/>
          <w:i/>
          <w:iCs/>
          <w:sz w:val="22"/>
          <w:szCs w:val="22"/>
        </w:rPr>
        <w:t xml:space="preserve">5.3 </w:t>
      </w:r>
      <w:r w:rsidRPr="00DB3A49">
        <w:rPr>
          <w:rFonts w:ascii="Times New Roman" w:hAnsi="Times New Roman" w:cs="Times New Roman"/>
          <w:i/>
          <w:iCs/>
          <w:sz w:val="22"/>
          <w:szCs w:val="22"/>
        </w:rPr>
        <w:t>- Graph comparing total torque from a standard and cross-plane crankshaft.</w:t>
      </w:r>
    </w:p>
    <w:p w14:paraId="2CB83648" w14:textId="47252E44" w:rsidR="00657239" w:rsidRPr="00624FC8" w:rsidRDefault="00F2071D" w:rsidP="0032416C">
      <w:pPr>
        <w:spacing w:line="360" w:lineRule="auto"/>
        <w:rPr>
          <w:rFonts w:ascii="Times New Roman" w:hAnsi="Times New Roman" w:cs="Times New Roman"/>
          <w:sz w:val="22"/>
          <w:szCs w:val="22"/>
        </w:rPr>
      </w:pPr>
      <w:r w:rsidRPr="00624FC8">
        <w:rPr>
          <w:rFonts w:ascii="Times New Roman" w:hAnsi="Times New Roman" w:cs="Times New Roman"/>
          <w:sz w:val="22"/>
          <w:szCs w:val="22"/>
        </w:rPr>
        <w:t xml:space="preserve">Below is </w:t>
      </w:r>
      <w:r w:rsidR="00D21944" w:rsidRPr="00624FC8">
        <w:rPr>
          <w:rFonts w:ascii="Times New Roman" w:hAnsi="Times New Roman" w:cs="Times New Roman"/>
          <w:sz w:val="22"/>
          <w:szCs w:val="22"/>
        </w:rPr>
        <w:t xml:space="preserve">the mean torque produced by the engine over different RPMs </w:t>
      </w:r>
      <w:r w:rsidR="001C71A3" w:rsidRPr="00624FC8">
        <w:rPr>
          <w:rFonts w:ascii="Times New Roman" w:hAnsi="Times New Roman" w:cs="Times New Roman"/>
          <w:sz w:val="22"/>
          <w:szCs w:val="22"/>
        </w:rPr>
        <w:t xml:space="preserve">in comparison to the mean torque </w:t>
      </w:r>
      <w:r w:rsidR="00DE67E8" w:rsidRPr="00624FC8">
        <w:rPr>
          <w:rFonts w:ascii="Times New Roman" w:hAnsi="Times New Roman" w:cs="Times New Roman"/>
          <w:sz w:val="22"/>
          <w:szCs w:val="22"/>
        </w:rPr>
        <w:t>considering</w:t>
      </w:r>
      <w:r w:rsidR="001C71A3" w:rsidRPr="00624FC8">
        <w:rPr>
          <w:rFonts w:ascii="Times New Roman" w:hAnsi="Times New Roman" w:cs="Times New Roman"/>
          <w:sz w:val="22"/>
          <w:szCs w:val="22"/>
        </w:rPr>
        <w:t xml:space="preserve"> friction losses. </w:t>
      </w:r>
      <w:r w:rsidR="0047370D" w:rsidRPr="00624FC8">
        <w:rPr>
          <w:rFonts w:ascii="Times New Roman" w:hAnsi="Times New Roman" w:cs="Times New Roman"/>
          <w:sz w:val="22"/>
          <w:szCs w:val="22"/>
        </w:rPr>
        <w:t xml:space="preserve">The predicted torque increases rapidly before </w:t>
      </w:r>
      <w:r w:rsidR="0037093C" w:rsidRPr="00624FC8">
        <w:rPr>
          <w:rFonts w:ascii="Times New Roman" w:hAnsi="Times New Roman" w:cs="Times New Roman"/>
          <w:sz w:val="22"/>
          <w:szCs w:val="22"/>
        </w:rPr>
        <w:t xml:space="preserve">a more gradual reduction occurs in the higher RPMs, a behaviour that is synonymous with </w:t>
      </w:r>
      <w:r w:rsidR="00E034F5" w:rsidRPr="00624FC8">
        <w:rPr>
          <w:rFonts w:ascii="Times New Roman" w:hAnsi="Times New Roman" w:cs="Times New Roman"/>
          <w:sz w:val="22"/>
          <w:szCs w:val="22"/>
        </w:rPr>
        <w:t xml:space="preserve">naturally aspirated spark-ignition engines. This initial increase </w:t>
      </w:r>
      <w:r w:rsidR="00D63E1B" w:rsidRPr="00624FC8">
        <w:rPr>
          <w:rFonts w:ascii="Times New Roman" w:hAnsi="Times New Roman" w:cs="Times New Roman"/>
          <w:sz w:val="22"/>
          <w:szCs w:val="22"/>
        </w:rPr>
        <w:t>is a result of improved cylinder filling and combustion efficiency</w:t>
      </w:r>
      <w:r w:rsidR="00F10B54" w:rsidRPr="00624FC8">
        <w:rPr>
          <w:rFonts w:ascii="Times New Roman" w:hAnsi="Times New Roman" w:cs="Times New Roman"/>
          <w:sz w:val="22"/>
          <w:szCs w:val="22"/>
        </w:rPr>
        <w:t>, before volumetric efficiency decreases as the RPMs increas</w:t>
      </w:r>
      <w:r w:rsidR="00DE67E8" w:rsidRPr="00624FC8">
        <w:rPr>
          <w:rFonts w:ascii="Times New Roman" w:hAnsi="Times New Roman" w:cs="Times New Roman"/>
          <w:sz w:val="22"/>
          <w:szCs w:val="22"/>
        </w:rPr>
        <w:t xml:space="preserve">e due to reduced air induction (Heywood, 2018). </w:t>
      </w:r>
      <w:r w:rsidR="00AB1700" w:rsidRPr="00624FC8">
        <w:rPr>
          <w:rFonts w:ascii="Times New Roman" w:hAnsi="Times New Roman" w:cs="Times New Roman"/>
          <w:sz w:val="22"/>
          <w:szCs w:val="22"/>
        </w:rPr>
        <w:t xml:space="preserve">The friction losses considered in this investigation are from </w:t>
      </w:r>
      <w:r w:rsidR="002040CF" w:rsidRPr="00624FC8">
        <w:rPr>
          <w:rFonts w:ascii="Times New Roman" w:hAnsi="Times New Roman" w:cs="Times New Roman"/>
          <w:sz w:val="22"/>
          <w:szCs w:val="22"/>
        </w:rPr>
        <w:t>the piston ring and sides, and they increase with RPM</w:t>
      </w:r>
      <w:r w:rsidR="00023669" w:rsidRPr="00624FC8">
        <w:rPr>
          <w:rFonts w:ascii="Times New Roman" w:hAnsi="Times New Roman" w:cs="Times New Roman"/>
          <w:sz w:val="22"/>
          <w:szCs w:val="22"/>
        </w:rPr>
        <w:t xml:space="preserve"> which is to be expected due to higher sliding velocities </w:t>
      </w:r>
      <w:r w:rsidR="000A44BF" w:rsidRPr="00624FC8">
        <w:rPr>
          <w:rFonts w:ascii="Times New Roman" w:hAnsi="Times New Roman" w:cs="Times New Roman"/>
          <w:sz w:val="22"/>
          <w:szCs w:val="22"/>
        </w:rPr>
        <w:t xml:space="preserve">and inertial loading (Taylor, 1985; Heywood, 2018). </w:t>
      </w:r>
      <w:r w:rsidR="006D5C79" w:rsidRPr="00624FC8">
        <w:rPr>
          <w:rFonts w:ascii="Times New Roman" w:hAnsi="Times New Roman" w:cs="Times New Roman"/>
          <w:sz w:val="22"/>
          <w:szCs w:val="22"/>
        </w:rPr>
        <w:t xml:space="preserve">The calculated friction losses can be </w:t>
      </w:r>
      <w:r w:rsidR="006D5C79" w:rsidRPr="001219EB">
        <w:rPr>
          <w:rFonts w:ascii="Times New Roman" w:hAnsi="Times New Roman" w:cs="Times New Roman"/>
          <w:sz w:val="22"/>
          <w:szCs w:val="22"/>
        </w:rPr>
        <w:t>seen in figure</w:t>
      </w:r>
      <w:r w:rsidR="001219EB" w:rsidRPr="001219EB">
        <w:rPr>
          <w:rFonts w:ascii="Times New Roman" w:hAnsi="Times New Roman" w:cs="Times New Roman"/>
          <w:sz w:val="22"/>
          <w:szCs w:val="22"/>
        </w:rPr>
        <w:t xml:space="preserve"> 5.5</w:t>
      </w:r>
      <w:r w:rsidR="006D5C79" w:rsidRPr="001219EB">
        <w:rPr>
          <w:rFonts w:ascii="Times New Roman" w:hAnsi="Times New Roman" w:cs="Times New Roman"/>
          <w:sz w:val="22"/>
          <w:szCs w:val="22"/>
        </w:rPr>
        <w:t>.</w:t>
      </w:r>
    </w:p>
    <w:p w14:paraId="37EE1EF3" w14:textId="5462DF15" w:rsidR="00282C95" w:rsidRPr="00624FC8" w:rsidRDefault="000B2FED" w:rsidP="0032416C">
      <w:pPr>
        <w:spacing w:line="360" w:lineRule="auto"/>
        <w:rPr>
          <w:rFonts w:ascii="Times New Roman" w:hAnsi="Times New Roman" w:cs="Times New Roman"/>
          <w:sz w:val="22"/>
          <w:szCs w:val="22"/>
        </w:rPr>
      </w:pPr>
      <w:r w:rsidRPr="00624FC8">
        <w:rPr>
          <w:noProof/>
          <w:sz w:val="22"/>
          <w:szCs w:val="22"/>
        </w:rPr>
        <w:lastRenderedPageBreak/>
        <w:drawing>
          <wp:inline distT="0" distB="0" distL="0" distR="0" wp14:anchorId="7014FC65" wp14:editId="6D03E0B1">
            <wp:extent cx="5731510" cy="3567430"/>
            <wp:effectExtent l="0" t="0" r="2540" b="0"/>
            <wp:docPr id="384480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80267" name=""/>
                    <pic:cNvPicPr/>
                  </pic:nvPicPr>
                  <pic:blipFill>
                    <a:blip r:embed="rId17"/>
                    <a:stretch>
                      <a:fillRect/>
                    </a:stretch>
                  </pic:blipFill>
                  <pic:spPr>
                    <a:xfrm>
                      <a:off x="0" y="0"/>
                      <a:ext cx="5731510" cy="3567430"/>
                    </a:xfrm>
                    <a:prstGeom prst="rect">
                      <a:avLst/>
                    </a:prstGeom>
                  </pic:spPr>
                </pic:pic>
              </a:graphicData>
            </a:graphic>
          </wp:inline>
        </w:drawing>
      </w:r>
    </w:p>
    <w:p w14:paraId="452622D9" w14:textId="3C806CC4" w:rsidR="00282C95" w:rsidRPr="00624FC8" w:rsidRDefault="00282C95" w:rsidP="0032416C">
      <w:pPr>
        <w:spacing w:line="360" w:lineRule="auto"/>
        <w:rPr>
          <w:rFonts w:ascii="Times New Roman" w:hAnsi="Times New Roman" w:cs="Times New Roman"/>
          <w:i/>
          <w:iCs/>
          <w:sz w:val="22"/>
          <w:szCs w:val="22"/>
        </w:rPr>
      </w:pPr>
      <w:r w:rsidRPr="001219EB">
        <w:rPr>
          <w:rFonts w:ascii="Times New Roman" w:hAnsi="Times New Roman" w:cs="Times New Roman"/>
          <w:i/>
          <w:iCs/>
          <w:sz w:val="22"/>
          <w:szCs w:val="22"/>
        </w:rPr>
        <w:t xml:space="preserve">Figure </w:t>
      </w:r>
      <w:r w:rsidR="001219EB" w:rsidRPr="001219EB">
        <w:rPr>
          <w:rFonts w:ascii="Times New Roman" w:hAnsi="Times New Roman" w:cs="Times New Roman"/>
          <w:i/>
          <w:iCs/>
          <w:sz w:val="22"/>
          <w:szCs w:val="22"/>
        </w:rPr>
        <w:t>5.4</w:t>
      </w:r>
      <w:r w:rsidRPr="001219EB">
        <w:rPr>
          <w:rFonts w:ascii="Times New Roman" w:hAnsi="Times New Roman" w:cs="Times New Roman"/>
          <w:i/>
          <w:iCs/>
          <w:sz w:val="22"/>
          <w:szCs w:val="22"/>
        </w:rPr>
        <w:t xml:space="preserve"> - Graph comparing </w:t>
      </w:r>
      <w:r w:rsidR="00302E3F" w:rsidRPr="001219EB">
        <w:rPr>
          <w:rFonts w:ascii="Times New Roman" w:hAnsi="Times New Roman" w:cs="Times New Roman"/>
          <w:i/>
          <w:iCs/>
          <w:sz w:val="22"/>
          <w:szCs w:val="22"/>
        </w:rPr>
        <w:t>mean</w:t>
      </w:r>
      <w:r w:rsidRPr="001219EB">
        <w:rPr>
          <w:rFonts w:ascii="Times New Roman" w:hAnsi="Times New Roman" w:cs="Times New Roman"/>
          <w:i/>
          <w:iCs/>
          <w:sz w:val="22"/>
          <w:szCs w:val="22"/>
        </w:rPr>
        <w:t xml:space="preserve"> torque from a standard and cross-plane crankshaft.</w:t>
      </w:r>
    </w:p>
    <w:p w14:paraId="3F507B7B" w14:textId="77777777" w:rsidR="00A61DC8" w:rsidRPr="00624FC8" w:rsidRDefault="006D452E" w:rsidP="0032416C">
      <w:pPr>
        <w:spacing w:line="360" w:lineRule="auto"/>
        <w:rPr>
          <w:rFonts w:ascii="Times New Roman" w:hAnsi="Times New Roman" w:cs="Times New Roman"/>
          <w:sz w:val="22"/>
          <w:szCs w:val="22"/>
        </w:rPr>
      </w:pPr>
      <w:r w:rsidRPr="00624FC8">
        <w:rPr>
          <w:noProof/>
          <w:sz w:val="22"/>
          <w:szCs w:val="22"/>
        </w:rPr>
        <w:drawing>
          <wp:inline distT="0" distB="0" distL="0" distR="0" wp14:anchorId="0F650E1A" wp14:editId="32DAAE9F">
            <wp:extent cx="2781300" cy="2200275"/>
            <wp:effectExtent l="0" t="0" r="0" b="9525"/>
            <wp:docPr id="962807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07018" name=""/>
                    <pic:cNvPicPr/>
                  </pic:nvPicPr>
                  <pic:blipFill>
                    <a:blip r:embed="rId18"/>
                    <a:stretch>
                      <a:fillRect/>
                    </a:stretch>
                  </pic:blipFill>
                  <pic:spPr>
                    <a:xfrm>
                      <a:off x="0" y="0"/>
                      <a:ext cx="2781300" cy="2200275"/>
                    </a:xfrm>
                    <a:prstGeom prst="rect">
                      <a:avLst/>
                    </a:prstGeom>
                  </pic:spPr>
                </pic:pic>
              </a:graphicData>
            </a:graphic>
          </wp:inline>
        </w:drawing>
      </w:r>
    </w:p>
    <w:p w14:paraId="132D76EA" w14:textId="19B66EAE" w:rsidR="00EE03C2" w:rsidRPr="00624FC8" w:rsidRDefault="00A61DC8" w:rsidP="0032416C">
      <w:pPr>
        <w:spacing w:line="360" w:lineRule="auto"/>
        <w:rPr>
          <w:rFonts w:ascii="Times New Roman" w:hAnsi="Times New Roman" w:cs="Times New Roman"/>
          <w:i/>
          <w:iCs/>
          <w:sz w:val="22"/>
          <w:szCs w:val="22"/>
        </w:rPr>
      </w:pPr>
      <w:r w:rsidRPr="001219EB">
        <w:rPr>
          <w:rFonts w:ascii="Times New Roman" w:hAnsi="Times New Roman" w:cs="Times New Roman"/>
          <w:i/>
          <w:iCs/>
          <w:sz w:val="22"/>
          <w:szCs w:val="22"/>
        </w:rPr>
        <w:t xml:space="preserve">Figure </w:t>
      </w:r>
      <w:r w:rsidR="001219EB" w:rsidRPr="001219EB">
        <w:rPr>
          <w:rFonts w:ascii="Times New Roman" w:hAnsi="Times New Roman" w:cs="Times New Roman"/>
          <w:i/>
          <w:iCs/>
          <w:sz w:val="22"/>
          <w:szCs w:val="22"/>
        </w:rPr>
        <w:t>5.5</w:t>
      </w:r>
      <w:r w:rsidR="002F292C" w:rsidRPr="001219EB">
        <w:rPr>
          <w:rFonts w:ascii="Times New Roman" w:hAnsi="Times New Roman" w:cs="Times New Roman"/>
          <w:i/>
          <w:iCs/>
          <w:sz w:val="22"/>
          <w:szCs w:val="22"/>
        </w:rPr>
        <w:t xml:space="preserve"> - Friction loss percentages over different RPMs.</w:t>
      </w:r>
    </w:p>
    <w:p w14:paraId="567E83CF" w14:textId="77777777" w:rsidR="00EA5693" w:rsidRDefault="00EA5693" w:rsidP="0032416C">
      <w:pPr>
        <w:spacing w:line="360" w:lineRule="auto"/>
        <w:rPr>
          <w:rFonts w:ascii="Times New Roman" w:hAnsi="Times New Roman" w:cs="Times New Roman"/>
          <w:i/>
          <w:iCs/>
        </w:rPr>
      </w:pPr>
    </w:p>
    <w:p w14:paraId="08D3DE71" w14:textId="77777777" w:rsidR="00EA5693" w:rsidRDefault="00EA5693" w:rsidP="0032416C">
      <w:pPr>
        <w:spacing w:line="360" w:lineRule="auto"/>
        <w:rPr>
          <w:rFonts w:ascii="Times New Roman" w:hAnsi="Times New Roman" w:cs="Times New Roman"/>
          <w:i/>
          <w:iCs/>
        </w:rPr>
      </w:pPr>
    </w:p>
    <w:p w14:paraId="53A3B212" w14:textId="77777777" w:rsidR="00EA5693" w:rsidRDefault="00EA5693" w:rsidP="0032416C">
      <w:pPr>
        <w:spacing w:line="360" w:lineRule="auto"/>
        <w:rPr>
          <w:rFonts w:ascii="Times New Roman" w:hAnsi="Times New Roman" w:cs="Times New Roman"/>
          <w:i/>
          <w:iCs/>
        </w:rPr>
      </w:pPr>
    </w:p>
    <w:p w14:paraId="149F0036" w14:textId="77777777" w:rsidR="00EA5693" w:rsidRDefault="00EA5693" w:rsidP="0032416C">
      <w:pPr>
        <w:spacing w:line="360" w:lineRule="auto"/>
        <w:rPr>
          <w:rFonts w:ascii="Times New Roman" w:hAnsi="Times New Roman" w:cs="Times New Roman"/>
          <w:i/>
          <w:iCs/>
        </w:rPr>
      </w:pPr>
    </w:p>
    <w:p w14:paraId="32DD96AD" w14:textId="77777777" w:rsidR="00EA5693" w:rsidRDefault="00EA5693" w:rsidP="0032416C">
      <w:pPr>
        <w:spacing w:line="360" w:lineRule="auto"/>
        <w:rPr>
          <w:rFonts w:ascii="Times New Roman" w:hAnsi="Times New Roman" w:cs="Times New Roman"/>
          <w:i/>
          <w:iCs/>
        </w:rPr>
      </w:pPr>
    </w:p>
    <w:p w14:paraId="2B1208D8" w14:textId="4893487D" w:rsidR="00EA5693" w:rsidRPr="002A0186" w:rsidRDefault="002A0186" w:rsidP="00624FC8">
      <w:pPr>
        <w:pStyle w:val="Heading1"/>
        <w:numPr>
          <w:ilvl w:val="0"/>
          <w:numId w:val="6"/>
        </w:numPr>
        <w:spacing w:line="360" w:lineRule="auto"/>
        <w:rPr>
          <w:rFonts w:ascii="Times New Roman" w:hAnsi="Times New Roman" w:cs="Times New Roman"/>
          <w:color w:val="auto"/>
        </w:rPr>
      </w:pPr>
      <w:bookmarkStart w:id="23" w:name="_Toc224564560"/>
      <w:r w:rsidRPr="002A0186">
        <w:rPr>
          <w:rFonts w:ascii="Times New Roman" w:hAnsi="Times New Roman" w:cs="Times New Roman"/>
          <w:color w:val="auto"/>
        </w:rPr>
        <w:lastRenderedPageBreak/>
        <w:t>Results Evaluation</w:t>
      </w:r>
      <w:bookmarkEnd w:id="23"/>
    </w:p>
    <w:p w14:paraId="43AF4B87" w14:textId="06E53A9D" w:rsidR="00D33C9F" w:rsidRDefault="000B72C8" w:rsidP="000B72C8">
      <w:pPr>
        <w:pStyle w:val="Heading2"/>
        <w:spacing w:line="360" w:lineRule="auto"/>
        <w:rPr>
          <w:rFonts w:ascii="Times New Roman" w:hAnsi="Times New Roman" w:cs="Times New Roman"/>
          <w:color w:val="auto"/>
        </w:rPr>
      </w:pPr>
      <w:bookmarkStart w:id="24" w:name="_Toc224564561"/>
      <w:r>
        <w:rPr>
          <w:rFonts w:ascii="Times New Roman" w:hAnsi="Times New Roman" w:cs="Times New Roman"/>
          <w:color w:val="auto"/>
        </w:rPr>
        <w:t>6.1</w:t>
      </w:r>
      <w:r w:rsidR="006E5F67" w:rsidRPr="006E5F67">
        <w:rPr>
          <w:rFonts w:ascii="Times New Roman" w:hAnsi="Times New Roman" w:cs="Times New Roman"/>
          <w:color w:val="auto"/>
        </w:rPr>
        <w:t>– Connecting Rod Force Analysis Evaluation</w:t>
      </w:r>
      <w:bookmarkEnd w:id="24"/>
    </w:p>
    <w:p w14:paraId="7901250F" w14:textId="77777777" w:rsidR="001E7F41" w:rsidRPr="001E7F41" w:rsidRDefault="001E7F41" w:rsidP="0032416C">
      <w:pPr>
        <w:spacing w:line="360" w:lineRule="auto"/>
        <w:rPr>
          <w:rFonts w:ascii="Times New Roman" w:hAnsi="Times New Roman" w:cs="Times New Roman"/>
          <w:sz w:val="22"/>
          <w:szCs w:val="22"/>
        </w:rPr>
      </w:pPr>
      <w:r w:rsidRPr="00E64100">
        <w:rPr>
          <w:rFonts w:ascii="Times New Roman" w:hAnsi="Times New Roman" w:cs="Times New Roman"/>
          <w:sz w:val="22"/>
          <w:szCs w:val="22"/>
        </w:rPr>
        <w:t xml:space="preserve">The connecting rod force analysis is based on several simplifying assumptions which may influence the accuracy of the calculated loads. The model assumes that the pressure trace accurately represents the combustion process and that pressure acts uniformly across the piston surface. </w:t>
      </w:r>
      <w:proofErr w:type="gramStart"/>
      <w:r w:rsidRPr="00E64100">
        <w:rPr>
          <w:rFonts w:ascii="Times New Roman" w:hAnsi="Times New Roman" w:cs="Times New Roman"/>
          <w:sz w:val="22"/>
          <w:szCs w:val="22"/>
        </w:rPr>
        <w:t>In reality, combustion</w:t>
      </w:r>
      <w:proofErr w:type="gramEnd"/>
      <w:r w:rsidRPr="00E64100">
        <w:rPr>
          <w:rFonts w:ascii="Times New Roman" w:hAnsi="Times New Roman" w:cs="Times New Roman"/>
          <w:sz w:val="22"/>
          <w:szCs w:val="22"/>
        </w:rPr>
        <w:t xml:space="preserve"> behaviour varies between cycles and is influenced by turbulence, heat transfer and mixture variations, which can alter the magnitude and timing of the gas force acting on the piston (Heywood, 2018). In addition, the reciprocating system was modelled using a simplified rigid-body approach in which the piston assembly was treated as a single lumped mass. As discussed in Section 2, the slider–crank mechanism therefore neglects secondary dynamic effects such as structural flexibility, vibration and friction within the piston assembly. These factors can influence the instantaneous forces transmitted through the piston–connecting rod system and may therefore affect the true loading experienced by the connecting rod during operation (Stone, 2012).</w:t>
      </w:r>
    </w:p>
    <w:p w14:paraId="0BCEC256" w14:textId="4181887B" w:rsidR="00712DF8" w:rsidRDefault="000B72C8" w:rsidP="0032416C">
      <w:pPr>
        <w:pStyle w:val="Heading2"/>
        <w:spacing w:line="360" w:lineRule="auto"/>
        <w:rPr>
          <w:rFonts w:ascii="Times New Roman" w:hAnsi="Times New Roman" w:cs="Times New Roman"/>
          <w:color w:val="auto"/>
        </w:rPr>
      </w:pPr>
      <w:bookmarkStart w:id="25" w:name="_Toc224564562"/>
      <w:r>
        <w:rPr>
          <w:rFonts w:ascii="Times New Roman" w:hAnsi="Times New Roman" w:cs="Times New Roman"/>
          <w:color w:val="auto"/>
        </w:rPr>
        <w:t>6</w:t>
      </w:r>
      <w:r w:rsidR="00AD654F">
        <w:rPr>
          <w:rFonts w:ascii="Times New Roman" w:hAnsi="Times New Roman" w:cs="Times New Roman"/>
          <w:color w:val="auto"/>
        </w:rPr>
        <w:t xml:space="preserve">.2 </w:t>
      </w:r>
      <w:r w:rsidR="00947F53" w:rsidRPr="00947F53">
        <w:rPr>
          <w:rFonts w:ascii="Times New Roman" w:hAnsi="Times New Roman" w:cs="Times New Roman"/>
          <w:color w:val="auto"/>
        </w:rPr>
        <w:t>–</w:t>
      </w:r>
      <w:r w:rsidR="00712DF8" w:rsidRPr="00947F53">
        <w:rPr>
          <w:rFonts w:ascii="Times New Roman" w:hAnsi="Times New Roman" w:cs="Times New Roman"/>
          <w:color w:val="auto"/>
        </w:rPr>
        <w:t xml:space="preserve"> </w:t>
      </w:r>
      <w:r w:rsidR="00947F53" w:rsidRPr="00947F53">
        <w:rPr>
          <w:rFonts w:ascii="Times New Roman" w:hAnsi="Times New Roman" w:cs="Times New Roman"/>
          <w:color w:val="auto"/>
        </w:rPr>
        <w:t>Connecting Rod Bolt Analysis Evaluation</w:t>
      </w:r>
      <w:bookmarkEnd w:id="25"/>
    </w:p>
    <w:p w14:paraId="50A723C1" w14:textId="77777777" w:rsidR="00E64100" w:rsidRPr="00E64100" w:rsidRDefault="00E64100" w:rsidP="0032416C">
      <w:pPr>
        <w:spacing w:line="360" w:lineRule="auto"/>
        <w:rPr>
          <w:rFonts w:ascii="Times New Roman" w:hAnsi="Times New Roman" w:cs="Times New Roman"/>
          <w:sz w:val="22"/>
          <w:szCs w:val="22"/>
        </w:rPr>
      </w:pPr>
      <w:r w:rsidRPr="00E64100">
        <w:rPr>
          <w:rFonts w:ascii="Times New Roman" w:hAnsi="Times New Roman" w:cs="Times New Roman"/>
          <w:sz w:val="22"/>
          <w:szCs w:val="22"/>
        </w:rPr>
        <w:t>The fatigue analysis of the connecting rod bolt is also subject to modelling assumptions that may influence the calculated fatigue safety factor. The bolt preload was assumed to remain constant during engine operation, whereas in practice preload can vary due to tightening scatter, thermal expansion and joint relaxation effects (Bickford, 2008). The load-sharing model between the bolt and connecting rod cap also assumes linear elastic behaviour and constant joint stiffness, while real bolted joints may exhibit local deformation and nonlinear contact behaviour.</w:t>
      </w:r>
    </w:p>
    <w:p w14:paraId="23959C09" w14:textId="78F479F7" w:rsidR="00E64100" w:rsidRPr="00E64100" w:rsidRDefault="00E64100" w:rsidP="0032416C">
      <w:pPr>
        <w:spacing w:line="360" w:lineRule="auto"/>
        <w:rPr>
          <w:rFonts w:ascii="Times New Roman" w:hAnsi="Times New Roman" w:cs="Times New Roman"/>
          <w:sz w:val="22"/>
          <w:szCs w:val="22"/>
        </w:rPr>
      </w:pPr>
      <w:r w:rsidRPr="00E64100">
        <w:rPr>
          <w:rFonts w:ascii="Times New Roman" w:hAnsi="Times New Roman" w:cs="Times New Roman"/>
          <w:sz w:val="22"/>
          <w:szCs w:val="22"/>
        </w:rPr>
        <w:t xml:space="preserve">Furthermore, the Goodman fatigue assessment assumes ideal material behaviour with a constant endurance limit. </w:t>
      </w:r>
      <w:proofErr w:type="gramStart"/>
      <w:r w:rsidRPr="00E64100">
        <w:rPr>
          <w:rFonts w:ascii="Times New Roman" w:hAnsi="Times New Roman" w:cs="Times New Roman"/>
          <w:sz w:val="22"/>
          <w:szCs w:val="22"/>
        </w:rPr>
        <w:t>In reality, fatigue</w:t>
      </w:r>
      <w:proofErr w:type="gramEnd"/>
      <w:r w:rsidRPr="00E64100">
        <w:rPr>
          <w:rFonts w:ascii="Times New Roman" w:hAnsi="Times New Roman" w:cs="Times New Roman"/>
          <w:sz w:val="22"/>
          <w:szCs w:val="22"/>
        </w:rPr>
        <w:t xml:space="preserve"> strength can be influenced by manufacturing imperfections, surface finish, residual stresses and thread geometry (Shigley et al., 2020). The stress concentration factor used in the analysis is based on simplified geometric relationships and may therefore differ from the actual stress distribution within the threaded region of the bolt (Witek, 2019). Consequently, the calculated fatigue safety factors should be interpreted as theoretical estimates rather than exact predictions of bolt fatigue life.</w:t>
      </w:r>
    </w:p>
    <w:p w14:paraId="506EE614" w14:textId="0C9915D8" w:rsidR="00C216F6" w:rsidRDefault="00C216F6" w:rsidP="000B72C8">
      <w:pPr>
        <w:pStyle w:val="Heading2"/>
        <w:numPr>
          <w:ilvl w:val="1"/>
          <w:numId w:val="4"/>
        </w:numPr>
        <w:spacing w:line="360" w:lineRule="auto"/>
        <w:rPr>
          <w:rFonts w:ascii="Times New Roman" w:hAnsi="Times New Roman" w:cs="Times New Roman"/>
          <w:color w:val="auto"/>
        </w:rPr>
      </w:pPr>
      <w:bookmarkStart w:id="26" w:name="_Toc224564563"/>
      <w:r w:rsidRPr="00C216F6">
        <w:rPr>
          <w:rFonts w:ascii="Times New Roman" w:hAnsi="Times New Roman" w:cs="Times New Roman"/>
          <w:color w:val="auto"/>
        </w:rPr>
        <w:t>– Crankshaft Torque Investigations Evaluation</w:t>
      </w:r>
      <w:bookmarkEnd w:id="26"/>
    </w:p>
    <w:p w14:paraId="0F8E531D" w14:textId="77777777" w:rsidR="00AD654F" w:rsidRPr="00AD654F" w:rsidRDefault="00AD654F" w:rsidP="0032416C">
      <w:pPr>
        <w:spacing w:line="360" w:lineRule="auto"/>
        <w:rPr>
          <w:rFonts w:ascii="Times New Roman" w:hAnsi="Times New Roman" w:cs="Times New Roman"/>
          <w:sz w:val="22"/>
          <w:szCs w:val="22"/>
        </w:rPr>
      </w:pPr>
      <w:r w:rsidRPr="00AD654F">
        <w:rPr>
          <w:rFonts w:ascii="Times New Roman" w:hAnsi="Times New Roman" w:cs="Times New Roman"/>
          <w:sz w:val="22"/>
          <w:szCs w:val="22"/>
        </w:rPr>
        <w:t xml:space="preserve">The crankshaft torque investigation also involves modelling simplifications which may influence the predicted torque characteristics. As described in Section 2, the gas torque calculation relies on the measured cylinder pressure traces and therefore assumes consistent combustion behaviour across all cycles. Variations in combustion efficiency, mixture preparation and heat transfer can influence the </w:t>
      </w:r>
      <w:r w:rsidRPr="00AD654F">
        <w:rPr>
          <w:rFonts w:ascii="Times New Roman" w:hAnsi="Times New Roman" w:cs="Times New Roman"/>
          <w:sz w:val="22"/>
          <w:szCs w:val="22"/>
        </w:rPr>
        <w:lastRenderedPageBreak/>
        <w:t>true pressure development and therefore affect the torque produced during the power stroke (Heywood, 2018).</w:t>
      </w:r>
    </w:p>
    <w:p w14:paraId="62173149" w14:textId="77777777" w:rsidR="00AD654F" w:rsidRDefault="00AD654F" w:rsidP="0032416C">
      <w:pPr>
        <w:spacing w:line="360" w:lineRule="auto"/>
        <w:rPr>
          <w:rFonts w:ascii="Times New Roman" w:hAnsi="Times New Roman" w:cs="Times New Roman"/>
          <w:sz w:val="22"/>
          <w:szCs w:val="22"/>
        </w:rPr>
      </w:pPr>
      <w:r w:rsidRPr="00AD654F">
        <w:rPr>
          <w:rFonts w:ascii="Times New Roman" w:hAnsi="Times New Roman" w:cs="Times New Roman"/>
          <w:sz w:val="22"/>
          <w:szCs w:val="22"/>
        </w:rPr>
        <w:t>Additionally, the inertia torque calculation assumes ideal crank–slider kinematics and rigid reciprocating components. In practice, crankshaft torsional vibration, structural flexibility and dynamic imbalance can influence the instantaneous torque transmitted through the crankshaft (Stone, 2012). The friction model used in the investigation also considers only piston ring and piston side friction, whereas real engines experience additional mechanical losses from bearings, valve train components and auxiliary systems (Taylor, 1985). As a result, the predicted torque characteristics represent an idealised approximation of engine behaviour but still capture the overall trends in torque generation and torque ripple between the different crankshaft configurations.</w:t>
      </w:r>
    </w:p>
    <w:p w14:paraId="357AEE7C" w14:textId="77777777" w:rsidR="0059435C" w:rsidRDefault="0059435C" w:rsidP="0032416C">
      <w:pPr>
        <w:spacing w:line="360" w:lineRule="auto"/>
        <w:rPr>
          <w:rFonts w:ascii="Times New Roman" w:hAnsi="Times New Roman" w:cs="Times New Roman"/>
          <w:sz w:val="22"/>
          <w:szCs w:val="22"/>
        </w:rPr>
      </w:pPr>
    </w:p>
    <w:p w14:paraId="6D6B7533" w14:textId="77777777" w:rsidR="0059435C" w:rsidRDefault="0059435C" w:rsidP="0032416C">
      <w:pPr>
        <w:spacing w:line="360" w:lineRule="auto"/>
        <w:rPr>
          <w:rFonts w:ascii="Times New Roman" w:hAnsi="Times New Roman" w:cs="Times New Roman"/>
          <w:sz w:val="22"/>
          <w:szCs w:val="22"/>
        </w:rPr>
      </w:pPr>
    </w:p>
    <w:p w14:paraId="5D083568" w14:textId="77777777" w:rsidR="0059435C" w:rsidRDefault="0059435C" w:rsidP="0032416C">
      <w:pPr>
        <w:spacing w:line="360" w:lineRule="auto"/>
        <w:rPr>
          <w:rFonts w:ascii="Times New Roman" w:hAnsi="Times New Roman" w:cs="Times New Roman"/>
          <w:sz w:val="22"/>
          <w:szCs w:val="22"/>
        </w:rPr>
      </w:pPr>
    </w:p>
    <w:p w14:paraId="29E49CAF" w14:textId="77777777" w:rsidR="0059435C" w:rsidRDefault="0059435C" w:rsidP="0032416C">
      <w:pPr>
        <w:spacing w:line="360" w:lineRule="auto"/>
        <w:rPr>
          <w:rFonts w:ascii="Times New Roman" w:hAnsi="Times New Roman" w:cs="Times New Roman"/>
          <w:sz w:val="22"/>
          <w:szCs w:val="22"/>
        </w:rPr>
      </w:pPr>
    </w:p>
    <w:p w14:paraId="3B76646B" w14:textId="77777777" w:rsidR="0059435C" w:rsidRDefault="0059435C" w:rsidP="0032416C">
      <w:pPr>
        <w:spacing w:line="360" w:lineRule="auto"/>
        <w:rPr>
          <w:rFonts w:ascii="Times New Roman" w:hAnsi="Times New Roman" w:cs="Times New Roman"/>
          <w:sz w:val="22"/>
          <w:szCs w:val="22"/>
        </w:rPr>
      </w:pPr>
    </w:p>
    <w:p w14:paraId="21358498" w14:textId="77777777" w:rsidR="0059435C" w:rsidRDefault="0059435C" w:rsidP="0032416C">
      <w:pPr>
        <w:spacing w:line="360" w:lineRule="auto"/>
        <w:rPr>
          <w:rFonts w:ascii="Times New Roman" w:hAnsi="Times New Roman" w:cs="Times New Roman"/>
          <w:sz w:val="22"/>
          <w:szCs w:val="22"/>
        </w:rPr>
      </w:pPr>
    </w:p>
    <w:p w14:paraId="3594BF8C" w14:textId="77777777" w:rsidR="0059435C" w:rsidRDefault="0059435C" w:rsidP="0032416C">
      <w:pPr>
        <w:spacing w:line="360" w:lineRule="auto"/>
        <w:rPr>
          <w:rFonts w:ascii="Times New Roman" w:hAnsi="Times New Roman" w:cs="Times New Roman"/>
          <w:sz w:val="22"/>
          <w:szCs w:val="22"/>
        </w:rPr>
      </w:pPr>
    </w:p>
    <w:p w14:paraId="71CC968C" w14:textId="77777777" w:rsidR="0059435C" w:rsidRDefault="0059435C" w:rsidP="0032416C">
      <w:pPr>
        <w:spacing w:line="360" w:lineRule="auto"/>
        <w:rPr>
          <w:rFonts w:ascii="Times New Roman" w:hAnsi="Times New Roman" w:cs="Times New Roman"/>
          <w:sz w:val="22"/>
          <w:szCs w:val="22"/>
        </w:rPr>
      </w:pPr>
    </w:p>
    <w:p w14:paraId="7575951F" w14:textId="77777777" w:rsidR="0059435C" w:rsidRDefault="0059435C" w:rsidP="0032416C">
      <w:pPr>
        <w:spacing w:line="360" w:lineRule="auto"/>
        <w:rPr>
          <w:rFonts w:ascii="Times New Roman" w:hAnsi="Times New Roman" w:cs="Times New Roman"/>
          <w:sz w:val="22"/>
          <w:szCs w:val="22"/>
        </w:rPr>
      </w:pPr>
    </w:p>
    <w:p w14:paraId="1F0ACAA2" w14:textId="77777777" w:rsidR="0059435C" w:rsidRDefault="0059435C" w:rsidP="0032416C">
      <w:pPr>
        <w:spacing w:line="360" w:lineRule="auto"/>
        <w:rPr>
          <w:rFonts w:ascii="Times New Roman" w:hAnsi="Times New Roman" w:cs="Times New Roman"/>
          <w:sz w:val="22"/>
          <w:szCs w:val="22"/>
        </w:rPr>
      </w:pPr>
    </w:p>
    <w:p w14:paraId="319E56E4" w14:textId="77777777" w:rsidR="0059435C" w:rsidRDefault="0059435C" w:rsidP="0032416C">
      <w:pPr>
        <w:spacing w:line="360" w:lineRule="auto"/>
        <w:rPr>
          <w:rFonts w:ascii="Times New Roman" w:hAnsi="Times New Roman" w:cs="Times New Roman"/>
          <w:sz w:val="22"/>
          <w:szCs w:val="22"/>
        </w:rPr>
      </w:pPr>
    </w:p>
    <w:p w14:paraId="03555BEE" w14:textId="77777777" w:rsidR="0059435C" w:rsidRDefault="0059435C" w:rsidP="0032416C">
      <w:pPr>
        <w:spacing w:line="360" w:lineRule="auto"/>
        <w:rPr>
          <w:rFonts w:ascii="Times New Roman" w:hAnsi="Times New Roman" w:cs="Times New Roman"/>
          <w:sz w:val="22"/>
          <w:szCs w:val="22"/>
        </w:rPr>
      </w:pPr>
    </w:p>
    <w:p w14:paraId="72BE9C72" w14:textId="77777777" w:rsidR="0059435C" w:rsidRDefault="0059435C" w:rsidP="0032416C">
      <w:pPr>
        <w:spacing w:line="360" w:lineRule="auto"/>
        <w:rPr>
          <w:rFonts w:ascii="Times New Roman" w:hAnsi="Times New Roman" w:cs="Times New Roman"/>
          <w:sz w:val="22"/>
          <w:szCs w:val="22"/>
        </w:rPr>
      </w:pPr>
    </w:p>
    <w:p w14:paraId="4F0B066F" w14:textId="77777777" w:rsidR="0059435C" w:rsidRDefault="0059435C" w:rsidP="0032416C">
      <w:pPr>
        <w:spacing w:line="360" w:lineRule="auto"/>
        <w:rPr>
          <w:rFonts w:ascii="Times New Roman" w:hAnsi="Times New Roman" w:cs="Times New Roman"/>
          <w:sz w:val="22"/>
          <w:szCs w:val="22"/>
        </w:rPr>
      </w:pPr>
    </w:p>
    <w:p w14:paraId="0B41F82A" w14:textId="77777777" w:rsidR="0059435C" w:rsidRDefault="0059435C" w:rsidP="0032416C">
      <w:pPr>
        <w:spacing w:line="360" w:lineRule="auto"/>
        <w:rPr>
          <w:rFonts w:ascii="Times New Roman" w:hAnsi="Times New Roman" w:cs="Times New Roman"/>
          <w:sz w:val="22"/>
          <w:szCs w:val="22"/>
        </w:rPr>
      </w:pPr>
    </w:p>
    <w:p w14:paraId="33100BF1" w14:textId="77777777" w:rsidR="0059435C" w:rsidRPr="00AD654F" w:rsidRDefault="0059435C" w:rsidP="0032416C">
      <w:pPr>
        <w:spacing w:line="360" w:lineRule="auto"/>
        <w:rPr>
          <w:rFonts w:ascii="Times New Roman" w:hAnsi="Times New Roman" w:cs="Times New Roman"/>
          <w:sz w:val="22"/>
          <w:szCs w:val="22"/>
        </w:rPr>
      </w:pPr>
    </w:p>
    <w:p w14:paraId="61B6FA5A" w14:textId="6FB81798" w:rsidR="00D33C9F" w:rsidRPr="00785DC3" w:rsidRDefault="000B72C8" w:rsidP="0032416C">
      <w:pPr>
        <w:pStyle w:val="Heading1"/>
        <w:spacing w:line="360" w:lineRule="auto"/>
        <w:rPr>
          <w:rFonts w:ascii="Times New Roman" w:hAnsi="Times New Roman" w:cs="Times New Roman"/>
          <w:color w:val="auto"/>
        </w:rPr>
      </w:pPr>
      <w:bookmarkStart w:id="27" w:name="_Toc224383483"/>
      <w:bookmarkStart w:id="28" w:name="_Toc224564564"/>
      <w:r>
        <w:rPr>
          <w:rFonts w:ascii="Times New Roman" w:hAnsi="Times New Roman" w:cs="Times New Roman"/>
          <w:color w:val="auto"/>
        </w:rPr>
        <w:lastRenderedPageBreak/>
        <w:t>7</w:t>
      </w:r>
      <w:r w:rsidR="00785DC3">
        <w:rPr>
          <w:rFonts w:ascii="Times New Roman" w:hAnsi="Times New Roman" w:cs="Times New Roman"/>
          <w:color w:val="auto"/>
        </w:rPr>
        <w:t xml:space="preserve">. </w:t>
      </w:r>
      <w:r w:rsidR="00D33C9F" w:rsidRPr="00785DC3">
        <w:rPr>
          <w:rFonts w:ascii="Times New Roman" w:hAnsi="Times New Roman" w:cs="Times New Roman"/>
          <w:color w:val="auto"/>
        </w:rPr>
        <w:t>Conclusion</w:t>
      </w:r>
      <w:bookmarkEnd w:id="27"/>
      <w:bookmarkEnd w:id="28"/>
    </w:p>
    <w:p w14:paraId="6B604B57" w14:textId="2561F3F8" w:rsidR="00EE03C2" w:rsidRDefault="00781C98" w:rsidP="0032416C">
      <w:pPr>
        <w:spacing w:line="360" w:lineRule="auto"/>
        <w:rPr>
          <w:rFonts w:eastAsiaTheme="majorEastAsia"/>
          <w:sz w:val="40"/>
          <w:szCs w:val="40"/>
        </w:rPr>
      </w:pPr>
      <w:r w:rsidRPr="00147A3D">
        <w:rPr>
          <w:rFonts w:ascii="Times New Roman" w:hAnsi="Times New Roman" w:cs="Times New Roman"/>
          <w:sz w:val="22"/>
          <w:szCs w:val="22"/>
        </w:rPr>
        <w:t xml:space="preserve">In conclusion, this investigation established that the connecting rod </w:t>
      </w:r>
      <w:r w:rsidR="00444638" w:rsidRPr="00147A3D">
        <w:rPr>
          <w:rFonts w:ascii="Times New Roman" w:hAnsi="Times New Roman" w:cs="Times New Roman"/>
          <w:sz w:val="22"/>
          <w:szCs w:val="22"/>
        </w:rPr>
        <w:t xml:space="preserve">experiences cyclic tensile and compressive loading due to the </w:t>
      </w:r>
      <w:r w:rsidR="002812AC" w:rsidRPr="00147A3D">
        <w:rPr>
          <w:rFonts w:ascii="Times New Roman" w:hAnsi="Times New Roman" w:cs="Times New Roman"/>
          <w:sz w:val="22"/>
          <w:szCs w:val="22"/>
        </w:rPr>
        <w:t xml:space="preserve">combined effects of gas forces and reciprocating inertia. </w:t>
      </w:r>
      <w:r w:rsidR="00BD2F6D" w:rsidRPr="00147A3D">
        <w:rPr>
          <w:rFonts w:ascii="Times New Roman" w:hAnsi="Times New Roman" w:cs="Times New Roman"/>
          <w:sz w:val="22"/>
          <w:szCs w:val="22"/>
        </w:rPr>
        <w:t xml:space="preserve">Fatigue assessment of the connecting rod bolt using the Goodman diagram showed that the bolt </w:t>
      </w:r>
      <w:r w:rsidR="00EC63E4" w:rsidRPr="00147A3D">
        <w:rPr>
          <w:rFonts w:ascii="Times New Roman" w:hAnsi="Times New Roman" w:cs="Times New Roman"/>
          <w:sz w:val="22"/>
          <w:szCs w:val="22"/>
        </w:rPr>
        <w:t xml:space="preserve">operates within a safe fatigue region, while the </w:t>
      </w:r>
      <w:proofErr w:type="spellStart"/>
      <w:r w:rsidR="00EC63E4" w:rsidRPr="00147A3D">
        <w:rPr>
          <w:rFonts w:ascii="Times New Roman" w:hAnsi="Times New Roman" w:cs="Times New Roman"/>
          <w:sz w:val="22"/>
          <w:szCs w:val="22"/>
        </w:rPr>
        <w:t>Duratec</w:t>
      </w:r>
      <w:proofErr w:type="spellEnd"/>
      <w:r w:rsidR="00EC63E4" w:rsidRPr="00147A3D">
        <w:rPr>
          <w:rFonts w:ascii="Times New Roman" w:hAnsi="Times New Roman" w:cs="Times New Roman"/>
          <w:sz w:val="22"/>
          <w:szCs w:val="22"/>
        </w:rPr>
        <w:t xml:space="preserve"> bolt geometry provided a realistic reference design </w:t>
      </w:r>
      <w:r w:rsidR="001C796E" w:rsidRPr="00147A3D">
        <w:rPr>
          <w:rFonts w:ascii="Times New Roman" w:hAnsi="Times New Roman" w:cs="Times New Roman"/>
          <w:sz w:val="22"/>
          <w:szCs w:val="22"/>
        </w:rPr>
        <w:t xml:space="preserve">close to the target FSF. The crankshaft torque </w:t>
      </w:r>
      <w:r w:rsidR="00321E82" w:rsidRPr="00147A3D">
        <w:rPr>
          <w:rFonts w:ascii="Times New Roman" w:hAnsi="Times New Roman" w:cs="Times New Roman"/>
          <w:sz w:val="22"/>
          <w:szCs w:val="22"/>
        </w:rPr>
        <w:t xml:space="preserve">investigation concluded that </w:t>
      </w:r>
      <w:r w:rsidR="007F1F38" w:rsidRPr="00147A3D">
        <w:rPr>
          <w:rFonts w:ascii="Times New Roman" w:hAnsi="Times New Roman" w:cs="Times New Roman"/>
          <w:sz w:val="22"/>
          <w:szCs w:val="22"/>
        </w:rPr>
        <w:t>crankshaft configuration influences inertia torque behaviour</w:t>
      </w:r>
      <w:r w:rsidR="00353F96" w:rsidRPr="00147A3D">
        <w:rPr>
          <w:rFonts w:ascii="Times New Roman" w:hAnsi="Times New Roman" w:cs="Times New Roman"/>
          <w:sz w:val="22"/>
          <w:szCs w:val="22"/>
        </w:rPr>
        <w:t xml:space="preserve">, with the cross-plane arrangement reducing torque fluctuations compared to the standard crankshaft. </w:t>
      </w:r>
      <w:r w:rsidR="007C76F8" w:rsidRPr="00147A3D">
        <w:rPr>
          <w:rFonts w:ascii="Times New Roman" w:hAnsi="Times New Roman" w:cs="Times New Roman"/>
          <w:sz w:val="22"/>
          <w:szCs w:val="22"/>
        </w:rPr>
        <w:t xml:space="preserve">Overall, the modelling approach successfully captured the key trends in engine component loading and torque generation, noting </w:t>
      </w:r>
      <w:r w:rsidR="0032416C" w:rsidRPr="00147A3D">
        <w:rPr>
          <w:rFonts w:ascii="Times New Roman" w:hAnsi="Times New Roman" w:cs="Times New Roman"/>
          <w:sz w:val="22"/>
          <w:szCs w:val="22"/>
        </w:rPr>
        <w:t xml:space="preserve">key assumptions also. </w:t>
      </w:r>
      <w:r w:rsidR="00EE03C2">
        <w:br w:type="page"/>
      </w:r>
    </w:p>
    <w:p w14:paraId="6B59BB39" w14:textId="32A1FBCE" w:rsidR="00EE03C2" w:rsidRDefault="00D33C9F" w:rsidP="000B72C8">
      <w:pPr>
        <w:pStyle w:val="Heading1"/>
        <w:numPr>
          <w:ilvl w:val="0"/>
          <w:numId w:val="5"/>
        </w:numPr>
        <w:spacing w:line="360" w:lineRule="auto"/>
        <w:rPr>
          <w:rFonts w:ascii="Times New Roman" w:hAnsi="Times New Roman" w:cs="Times New Roman"/>
          <w:color w:val="auto"/>
        </w:rPr>
      </w:pPr>
      <w:bookmarkStart w:id="29" w:name="_Toc224383484"/>
      <w:bookmarkStart w:id="30" w:name="_Toc224564565"/>
      <w:r w:rsidRPr="00D33C9F">
        <w:rPr>
          <w:rFonts w:ascii="Times New Roman" w:hAnsi="Times New Roman" w:cs="Times New Roman"/>
          <w:color w:val="auto"/>
        </w:rPr>
        <w:lastRenderedPageBreak/>
        <w:t>References</w:t>
      </w:r>
      <w:bookmarkEnd w:id="29"/>
      <w:bookmarkEnd w:id="30"/>
    </w:p>
    <w:p w14:paraId="7E952E84" w14:textId="77777777" w:rsidR="00ED2E90" w:rsidRPr="00ED2E90" w:rsidRDefault="00ED2E90" w:rsidP="00ED2E90">
      <w:pPr>
        <w:pStyle w:val="NormalWeb"/>
        <w:spacing w:line="360" w:lineRule="auto"/>
        <w:rPr>
          <w:sz w:val="22"/>
          <w:szCs w:val="22"/>
        </w:rPr>
      </w:pPr>
      <w:r w:rsidRPr="00ED2E90">
        <w:rPr>
          <w:sz w:val="22"/>
          <w:szCs w:val="22"/>
        </w:rPr>
        <w:t xml:space="preserve">Aye, C.M. and Maung, C.O., 2017. </w:t>
      </w:r>
      <w:r w:rsidRPr="00ED2E90">
        <w:rPr>
          <w:rStyle w:val="Emphasis"/>
          <w:rFonts w:eastAsiaTheme="majorEastAsia"/>
          <w:sz w:val="22"/>
          <w:szCs w:val="22"/>
        </w:rPr>
        <w:t>Force analysis of connecting rod of internal combustion engine</w:t>
      </w:r>
      <w:r w:rsidRPr="00ED2E90">
        <w:rPr>
          <w:sz w:val="22"/>
          <w:szCs w:val="22"/>
        </w:rPr>
        <w:t xml:space="preserve">. International Journal of Scientific Engineering and Technology Research. Available at: </w:t>
      </w:r>
      <w:hyperlink r:id="rId19" w:tgtFrame="_new" w:history="1">
        <w:r w:rsidRPr="00ED2E90">
          <w:rPr>
            <w:rStyle w:val="Hyperlink"/>
            <w:rFonts w:eastAsiaTheme="majorEastAsia"/>
            <w:sz w:val="22"/>
            <w:szCs w:val="22"/>
          </w:rPr>
          <w:t>https://ijsetr.com/uploads/541623IJSETR1231-432.pdf</w:t>
        </w:r>
      </w:hyperlink>
    </w:p>
    <w:p w14:paraId="3C268606" w14:textId="77777777" w:rsidR="00ED2E90" w:rsidRPr="00ED2E90" w:rsidRDefault="00ED2E90" w:rsidP="00ED2E90">
      <w:pPr>
        <w:pStyle w:val="NormalWeb"/>
        <w:spacing w:line="360" w:lineRule="auto"/>
        <w:rPr>
          <w:sz w:val="22"/>
          <w:szCs w:val="22"/>
        </w:rPr>
      </w:pPr>
      <w:r w:rsidRPr="00ED2E90">
        <w:rPr>
          <w:sz w:val="22"/>
          <w:szCs w:val="22"/>
        </w:rPr>
        <w:t xml:space="preserve">Bickford, J.H., 2008. </w:t>
      </w:r>
      <w:r w:rsidRPr="00ED2E90">
        <w:rPr>
          <w:rStyle w:val="Emphasis"/>
          <w:rFonts w:eastAsiaTheme="majorEastAsia"/>
          <w:sz w:val="22"/>
          <w:szCs w:val="22"/>
        </w:rPr>
        <w:t>An Introduction to the Design and Behaviour of Bolted Joints</w:t>
      </w:r>
      <w:r w:rsidRPr="00ED2E90">
        <w:rPr>
          <w:sz w:val="22"/>
          <w:szCs w:val="22"/>
        </w:rPr>
        <w:t>. 4th ed. Boca Raton: CRC Press.</w:t>
      </w:r>
    </w:p>
    <w:p w14:paraId="2CF068A0" w14:textId="1E6DC87A" w:rsidR="00ED2E90" w:rsidRPr="00ED2E90" w:rsidRDefault="00ED2E90" w:rsidP="00ED2E90">
      <w:pPr>
        <w:pStyle w:val="NormalWeb"/>
        <w:spacing w:line="360" w:lineRule="auto"/>
        <w:rPr>
          <w:sz w:val="22"/>
          <w:szCs w:val="22"/>
        </w:rPr>
      </w:pPr>
      <w:r w:rsidRPr="00ED2E90">
        <w:rPr>
          <w:sz w:val="22"/>
          <w:szCs w:val="22"/>
        </w:rPr>
        <w:t xml:space="preserve">Ha, J.L., Fung, R.F., Chen, K.Y. and Hsien, S.C., 2006. Dynamic </w:t>
      </w:r>
      <w:r w:rsidR="00156CBD" w:rsidRPr="00ED2E90">
        <w:rPr>
          <w:sz w:val="22"/>
          <w:szCs w:val="22"/>
        </w:rPr>
        <w:t>modelling</w:t>
      </w:r>
      <w:r w:rsidRPr="00ED2E90">
        <w:rPr>
          <w:sz w:val="22"/>
          <w:szCs w:val="22"/>
        </w:rPr>
        <w:t xml:space="preserve"> and identification of a slider-crank mechanism. </w:t>
      </w:r>
      <w:r w:rsidRPr="00ED2E90">
        <w:rPr>
          <w:rStyle w:val="Emphasis"/>
          <w:rFonts w:eastAsiaTheme="majorEastAsia"/>
          <w:sz w:val="22"/>
          <w:szCs w:val="22"/>
        </w:rPr>
        <w:t>Journal of Sound and Vibration</w:t>
      </w:r>
      <w:r w:rsidRPr="00ED2E90">
        <w:rPr>
          <w:sz w:val="22"/>
          <w:szCs w:val="22"/>
        </w:rPr>
        <w:t>, 289(4), pp.1019–1044.</w:t>
      </w:r>
    </w:p>
    <w:p w14:paraId="1DEA90CD" w14:textId="77777777" w:rsidR="00ED2E90" w:rsidRPr="00ED2E90" w:rsidRDefault="00ED2E90" w:rsidP="00ED2E90">
      <w:pPr>
        <w:pStyle w:val="NormalWeb"/>
        <w:spacing w:line="360" w:lineRule="auto"/>
        <w:rPr>
          <w:sz w:val="22"/>
          <w:szCs w:val="22"/>
        </w:rPr>
      </w:pPr>
      <w:r w:rsidRPr="00ED2E90">
        <w:rPr>
          <w:sz w:val="22"/>
          <w:szCs w:val="22"/>
        </w:rPr>
        <w:t xml:space="preserve">Heywood, J.B., 2018. </w:t>
      </w:r>
      <w:r w:rsidRPr="00ED2E90">
        <w:rPr>
          <w:rStyle w:val="Emphasis"/>
          <w:rFonts w:eastAsiaTheme="majorEastAsia"/>
          <w:sz w:val="22"/>
          <w:szCs w:val="22"/>
        </w:rPr>
        <w:t>Internal Combustion Engine Fundamentals</w:t>
      </w:r>
      <w:r w:rsidRPr="00ED2E90">
        <w:rPr>
          <w:sz w:val="22"/>
          <w:szCs w:val="22"/>
        </w:rPr>
        <w:t>. 2nd ed. New York: McGraw-Hill Education.</w:t>
      </w:r>
    </w:p>
    <w:p w14:paraId="4AC1D7AC" w14:textId="77777777" w:rsidR="00ED2E90" w:rsidRPr="00ED2E90" w:rsidRDefault="00ED2E90" w:rsidP="00ED2E90">
      <w:pPr>
        <w:pStyle w:val="NormalWeb"/>
        <w:spacing w:line="360" w:lineRule="auto"/>
        <w:rPr>
          <w:sz w:val="22"/>
          <w:szCs w:val="22"/>
        </w:rPr>
      </w:pPr>
      <w:r w:rsidRPr="00ED2E90">
        <w:rPr>
          <w:sz w:val="22"/>
          <w:szCs w:val="22"/>
        </w:rPr>
        <w:t xml:space="preserve">Kumar, P., 2013. Force analysis of connecting rod in internal combustion engine. </w:t>
      </w:r>
      <w:r w:rsidRPr="00ED2E90">
        <w:rPr>
          <w:rStyle w:val="Emphasis"/>
          <w:rFonts w:eastAsiaTheme="majorEastAsia"/>
          <w:sz w:val="22"/>
          <w:szCs w:val="22"/>
        </w:rPr>
        <w:t>International Journal of Science and Research</w:t>
      </w:r>
      <w:r w:rsidRPr="00ED2E90">
        <w:rPr>
          <w:sz w:val="22"/>
          <w:szCs w:val="22"/>
        </w:rPr>
        <w:t xml:space="preserve">, 2(7). Available at: </w:t>
      </w:r>
      <w:hyperlink r:id="rId20" w:tgtFrame="_new" w:history="1">
        <w:r w:rsidRPr="00ED2E90">
          <w:rPr>
            <w:rStyle w:val="Hyperlink"/>
            <w:rFonts w:eastAsiaTheme="majorEastAsia"/>
            <w:sz w:val="22"/>
            <w:szCs w:val="22"/>
          </w:rPr>
          <w:t>https://www.ijsr.net/archive/v2i7/MDIwMTMxMjg%3D.pdf</w:t>
        </w:r>
      </w:hyperlink>
    </w:p>
    <w:p w14:paraId="097BBB1A" w14:textId="77777777" w:rsidR="00ED2E90" w:rsidRPr="00ED2E90" w:rsidRDefault="00ED2E90" w:rsidP="00ED2E90">
      <w:pPr>
        <w:pStyle w:val="NormalWeb"/>
        <w:spacing w:line="360" w:lineRule="auto"/>
        <w:rPr>
          <w:sz w:val="22"/>
          <w:szCs w:val="22"/>
        </w:rPr>
      </w:pPr>
      <w:r w:rsidRPr="00ED2E90">
        <w:rPr>
          <w:sz w:val="22"/>
          <w:szCs w:val="22"/>
        </w:rPr>
        <w:t xml:space="preserve">Lučić, M., 2022. </w:t>
      </w:r>
      <w:r w:rsidRPr="00ED2E90">
        <w:rPr>
          <w:rStyle w:val="Emphasis"/>
          <w:rFonts w:eastAsiaTheme="majorEastAsia"/>
          <w:sz w:val="22"/>
          <w:szCs w:val="22"/>
        </w:rPr>
        <w:t>Kinematic analysis of the slider-crank mechanism of an internal combustion engine using modern software</w:t>
      </w:r>
      <w:r w:rsidRPr="00ED2E90">
        <w:rPr>
          <w:sz w:val="22"/>
          <w:szCs w:val="22"/>
        </w:rPr>
        <w:t xml:space="preserve">. Available at: </w:t>
      </w:r>
      <w:hyperlink r:id="rId21" w:tgtFrame="_new" w:history="1">
        <w:r w:rsidRPr="00ED2E90">
          <w:rPr>
            <w:rStyle w:val="Hyperlink"/>
            <w:rFonts w:eastAsiaTheme="majorEastAsia"/>
            <w:sz w:val="22"/>
            <w:szCs w:val="22"/>
          </w:rPr>
          <w:t>https://www.researchgate.net/publication/359137066</w:t>
        </w:r>
      </w:hyperlink>
    </w:p>
    <w:p w14:paraId="6AC59136" w14:textId="77777777" w:rsidR="00ED2E90" w:rsidRPr="00ED2E90" w:rsidRDefault="00ED2E90" w:rsidP="00ED2E90">
      <w:pPr>
        <w:pStyle w:val="NormalWeb"/>
        <w:spacing w:line="360" w:lineRule="auto"/>
        <w:rPr>
          <w:sz w:val="22"/>
          <w:szCs w:val="22"/>
        </w:rPr>
      </w:pPr>
      <w:r w:rsidRPr="00ED2E90">
        <w:rPr>
          <w:sz w:val="22"/>
          <w:szCs w:val="22"/>
        </w:rPr>
        <w:t xml:space="preserve">Pulkrabek, W.W., 2014. </w:t>
      </w:r>
      <w:r w:rsidRPr="00ED2E90">
        <w:rPr>
          <w:rStyle w:val="Emphasis"/>
          <w:rFonts w:eastAsiaTheme="majorEastAsia"/>
          <w:sz w:val="22"/>
          <w:szCs w:val="22"/>
        </w:rPr>
        <w:t>Engineering Fundamentals of the Internal Combustion Engine</w:t>
      </w:r>
      <w:r w:rsidRPr="00ED2E90">
        <w:rPr>
          <w:sz w:val="22"/>
          <w:szCs w:val="22"/>
        </w:rPr>
        <w:t>. 2nd ed. Upper Saddle River: Pearson.</w:t>
      </w:r>
    </w:p>
    <w:p w14:paraId="3860AA5F" w14:textId="77777777" w:rsidR="00ED2E90" w:rsidRPr="00ED2E90" w:rsidRDefault="00ED2E90" w:rsidP="00ED2E90">
      <w:pPr>
        <w:pStyle w:val="NormalWeb"/>
        <w:spacing w:line="360" w:lineRule="auto"/>
        <w:rPr>
          <w:sz w:val="22"/>
          <w:szCs w:val="22"/>
        </w:rPr>
      </w:pPr>
      <w:r w:rsidRPr="00ED2E90">
        <w:rPr>
          <w:sz w:val="22"/>
          <w:szCs w:val="22"/>
        </w:rPr>
        <w:t xml:space="preserve">Shigley, J.E., Mischke, C.R. and </w:t>
      </w:r>
      <w:proofErr w:type="spellStart"/>
      <w:r w:rsidRPr="00ED2E90">
        <w:rPr>
          <w:sz w:val="22"/>
          <w:szCs w:val="22"/>
        </w:rPr>
        <w:t>Budynas</w:t>
      </w:r>
      <w:proofErr w:type="spellEnd"/>
      <w:r w:rsidRPr="00ED2E90">
        <w:rPr>
          <w:sz w:val="22"/>
          <w:szCs w:val="22"/>
        </w:rPr>
        <w:t xml:space="preserve">, R.G., 2020. </w:t>
      </w:r>
      <w:r w:rsidRPr="00ED2E90">
        <w:rPr>
          <w:rStyle w:val="Emphasis"/>
          <w:rFonts w:eastAsiaTheme="majorEastAsia"/>
          <w:sz w:val="22"/>
          <w:szCs w:val="22"/>
        </w:rPr>
        <w:t>Mechanical Engineering Design</w:t>
      </w:r>
      <w:r w:rsidRPr="00ED2E90">
        <w:rPr>
          <w:sz w:val="22"/>
          <w:szCs w:val="22"/>
        </w:rPr>
        <w:t>. 11th ed. New York: McGraw-Hill.</w:t>
      </w:r>
    </w:p>
    <w:p w14:paraId="6F74CBC3" w14:textId="77777777" w:rsidR="00ED2E90" w:rsidRPr="00ED2E90" w:rsidRDefault="00ED2E90" w:rsidP="00ED2E90">
      <w:pPr>
        <w:pStyle w:val="NormalWeb"/>
        <w:spacing w:line="360" w:lineRule="auto"/>
        <w:rPr>
          <w:sz w:val="22"/>
          <w:szCs w:val="22"/>
        </w:rPr>
      </w:pPr>
      <w:r w:rsidRPr="00ED2E90">
        <w:rPr>
          <w:sz w:val="22"/>
          <w:szCs w:val="22"/>
        </w:rPr>
        <w:t xml:space="preserve">Stone, R., 2012. </w:t>
      </w:r>
      <w:r w:rsidRPr="00ED2E90">
        <w:rPr>
          <w:rStyle w:val="Emphasis"/>
          <w:rFonts w:eastAsiaTheme="majorEastAsia"/>
          <w:sz w:val="22"/>
          <w:szCs w:val="22"/>
        </w:rPr>
        <w:t>Introduction to Internal Combustion Engines</w:t>
      </w:r>
      <w:r w:rsidRPr="00ED2E90">
        <w:rPr>
          <w:sz w:val="22"/>
          <w:szCs w:val="22"/>
        </w:rPr>
        <w:t>. 4th ed. Basingstoke: Palgrave Macmillan.</w:t>
      </w:r>
    </w:p>
    <w:p w14:paraId="6EB9DC17" w14:textId="77777777" w:rsidR="00ED2E90" w:rsidRPr="00ED2E90" w:rsidRDefault="00ED2E90" w:rsidP="00ED2E90">
      <w:pPr>
        <w:pStyle w:val="NormalWeb"/>
        <w:spacing w:line="360" w:lineRule="auto"/>
        <w:rPr>
          <w:sz w:val="22"/>
          <w:szCs w:val="22"/>
        </w:rPr>
      </w:pPr>
      <w:r w:rsidRPr="00ED2E90">
        <w:rPr>
          <w:sz w:val="22"/>
          <w:szCs w:val="22"/>
        </w:rPr>
        <w:t xml:space="preserve">Taylor, C.F., 1985. </w:t>
      </w:r>
      <w:r w:rsidRPr="00ED2E90">
        <w:rPr>
          <w:rStyle w:val="Emphasis"/>
          <w:rFonts w:eastAsiaTheme="majorEastAsia"/>
          <w:sz w:val="22"/>
          <w:szCs w:val="22"/>
        </w:rPr>
        <w:t>The Internal Combustion Engine in Theory and Practice</w:t>
      </w:r>
      <w:r w:rsidRPr="00ED2E90">
        <w:rPr>
          <w:sz w:val="22"/>
          <w:szCs w:val="22"/>
        </w:rPr>
        <w:t>. Cambridge, MA: MIT Press.</w:t>
      </w:r>
    </w:p>
    <w:p w14:paraId="6B3D600E" w14:textId="77777777" w:rsidR="00ED2E90" w:rsidRPr="00ED2E90" w:rsidRDefault="00ED2E90" w:rsidP="00ED2E90">
      <w:pPr>
        <w:pStyle w:val="NormalWeb"/>
        <w:spacing w:line="360" w:lineRule="auto"/>
        <w:rPr>
          <w:sz w:val="22"/>
          <w:szCs w:val="22"/>
        </w:rPr>
      </w:pPr>
      <w:r w:rsidRPr="00ED2E90">
        <w:rPr>
          <w:sz w:val="22"/>
          <w:szCs w:val="22"/>
        </w:rPr>
        <w:t xml:space="preserve">Witek, L., 2019. Stress and failure analysis of the connecting rod of diesel engine. </w:t>
      </w:r>
      <w:r w:rsidRPr="00ED2E90">
        <w:rPr>
          <w:rStyle w:val="Emphasis"/>
          <w:rFonts w:eastAsiaTheme="majorEastAsia"/>
          <w:sz w:val="22"/>
          <w:szCs w:val="22"/>
        </w:rPr>
        <w:t>Engineering Failure Analysis</w:t>
      </w:r>
      <w:r w:rsidRPr="00ED2E90">
        <w:rPr>
          <w:sz w:val="22"/>
          <w:szCs w:val="22"/>
        </w:rPr>
        <w:t>, 97, pp.674–690.</w:t>
      </w:r>
    </w:p>
    <w:p w14:paraId="782FBA55" w14:textId="77777777" w:rsidR="00384AE3" w:rsidRPr="00384AE3" w:rsidRDefault="00384AE3" w:rsidP="00384AE3"/>
    <w:sectPr w:rsidR="00384AE3" w:rsidRPr="00384A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100CF" w14:textId="77777777" w:rsidR="00083F07" w:rsidRDefault="00083F07" w:rsidP="000B72C8">
      <w:pPr>
        <w:spacing w:after="0" w:line="240" w:lineRule="auto"/>
      </w:pPr>
      <w:r>
        <w:separator/>
      </w:r>
    </w:p>
  </w:endnote>
  <w:endnote w:type="continuationSeparator" w:id="0">
    <w:p w14:paraId="2C504098" w14:textId="77777777" w:rsidR="00083F07" w:rsidRDefault="00083F07" w:rsidP="000B7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C67C0" w14:textId="77777777" w:rsidR="00083F07" w:rsidRDefault="00083F07" w:rsidP="000B72C8">
      <w:pPr>
        <w:spacing w:after="0" w:line="240" w:lineRule="auto"/>
      </w:pPr>
      <w:r>
        <w:separator/>
      </w:r>
    </w:p>
  </w:footnote>
  <w:footnote w:type="continuationSeparator" w:id="0">
    <w:p w14:paraId="77D456BD" w14:textId="77777777" w:rsidR="00083F07" w:rsidRDefault="00083F07" w:rsidP="000B7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12DD2"/>
    <w:multiLevelType w:val="hybridMultilevel"/>
    <w:tmpl w:val="C7AEE6DC"/>
    <w:lvl w:ilvl="0" w:tplc="0809000F">
      <w:start w:val="1"/>
      <w:numFmt w:val="decimal"/>
      <w:lvlText w:val="%1."/>
      <w:lvlJc w:val="left"/>
      <w:pPr>
        <w:ind w:left="0" w:hanging="360"/>
      </w:pPr>
      <w:rPr>
        <w:rFonts w:hint="default"/>
      </w:rPr>
    </w:lvl>
    <w:lvl w:ilvl="1" w:tplc="08090019">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23B64546"/>
    <w:multiLevelType w:val="multilevel"/>
    <w:tmpl w:val="C0925D52"/>
    <w:lvl w:ilvl="0">
      <w:start w:val="6"/>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0CC34DF"/>
    <w:multiLevelType w:val="multilevel"/>
    <w:tmpl w:val="5492E6E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EF052E"/>
    <w:multiLevelType w:val="multilevel"/>
    <w:tmpl w:val="2C9EF3A8"/>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42F73A8"/>
    <w:multiLevelType w:val="hybridMultilevel"/>
    <w:tmpl w:val="D9D44B4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D14433"/>
    <w:multiLevelType w:val="hybridMultilevel"/>
    <w:tmpl w:val="5AC22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0278643">
    <w:abstractNumId w:val="5"/>
  </w:num>
  <w:num w:numId="2" w16cid:durableId="1229074995">
    <w:abstractNumId w:val="3"/>
  </w:num>
  <w:num w:numId="3" w16cid:durableId="1339773959">
    <w:abstractNumId w:val="0"/>
  </w:num>
  <w:num w:numId="4" w16cid:durableId="1218125709">
    <w:abstractNumId w:val="1"/>
  </w:num>
  <w:num w:numId="5" w16cid:durableId="511992263">
    <w:abstractNumId w:val="4"/>
  </w:num>
  <w:num w:numId="6" w16cid:durableId="1270746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91E"/>
    <w:rsid w:val="000018EA"/>
    <w:rsid w:val="000078E2"/>
    <w:rsid w:val="00012EDA"/>
    <w:rsid w:val="00023669"/>
    <w:rsid w:val="0003237B"/>
    <w:rsid w:val="0005035F"/>
    <w:rsid w:val="00050BF1"/>
    <w:rsid w:val="00056B7F"/>
    <w:rsid w:val="000624C0"/>
    <w:rsid w:val="00071D9E"/>
    <w:rsid w:val="000814AF"/>
    <w:rsid w:val="00083F07"/>
    <w:rsid w:val="00092FAD"/>
    <w:rsid w:val="000A44BF"/>
    <w:rsid w:val="000B2FED"/>
    <w:rsid w:val="000B6D32"/>
    <w:rsid w:val="000B72C8"/>
    <w:rsid w:val="000C236E"/>
    <w:rsid w:val="000E245F"/>
    <w:rsid w:val="000F2DAF"/>
    <w:rsid w:val="000F4AC4"/>
    <w:rsid w:val="00105548"/>
    <w:rsid w:val="00112D90"/>
    <w:rsid w:val="00114A91"/>
    <w:rsid w:val="0011734E"/>
    <w:rsid w:val="001219EB"/>
    <w:rsid w:val="001247A4"/>
    <w:rsid w:val="00131347"/>
    <w:rsid w:val="001360B6"/>
    <w:rsid w:val="00136B2F"/>
    <w:rsid w:val="00141324"/>
    <w:rsid w:val="00142052"/>
    <w:rsid w:val="00147A3D"/>
    <w:rsid w:val="00156CBD"/>
    <w:rsid w:val="00157B39"/>
    <w:rsid w:val="00180350"/>
    <w:rsid w:val="001875D1"/>
    <w:rsid w:val="001B15E6"/>
    <w:rsid w:val="001B7030"/>
    <w:rsid w:val="001C71A3"/>
    <w:rsid w:val="001C796E"/>
    <w:rsid w:val="001D1FE5"/>
    <w:rsid w:val="001E24E6"/>
    <w:rsid w:val="001E345C"/>
    <w:rsid w:val="001E4A58"/>
    <w:rsid w:val="001E6423"/>
    <w:rsid w:val="001E7F41"/>
    <w:rsid w:val="001F2F6D"/>
    <w:rsid w:val="00203F14"/>
    <w:rsid w:val="002040CF"/>
    <w:rsid w:val="00226AF0"/>
    <w:rsid w:val="0023575D"/>
    <w:rsid w:val="00243D11"/>
    <w:rsid w:val="002812AC"/>
    <w:rsid w:val="00282C95"/>
    <w:rsid w:val="002935C3"/>
    <w:rsid w:val="002A0186"/>
    <w:rsid w:val="002A1557"/>
    <w:rsid w:val="002C15CD"/>
    <w:rsid w:val="002E5D98"/>
    <w:rsid w:val="002F292C"/>
    <w:rsid w:val="002F66A9"/>
    <w:rsid w:val="00302E3F"/>
    <w:rsid w:val="003141C4"/>
    <w:rsid w:val="00316820"/>
    <w:rsid w:val="00321E82"/>
    <w:rsid w:val="0032416C"/>
    <w:rsid w:val="00325E60"/>
    <w:rsid w:val="003265B7"/>
    <w:rsid w:val="00330102"/>
    <w:rsid w:val="00331664"/>
    <w:rsid w:val="003331B1"/>
    <w:rsid w:val="00342D3B"/>
    <w:rsid w:val="00343324"/>
    <w:rsid w:val="00346287"/>
    <w:rsid w:val="00350F05"/>
    <w:rsid w:val="00352859"/>
    <w:rsid w:val="00353F96"/>
    <w:rsid w:val="0036571A"/>
    <w:rsid w:val="003663E1"/>
    <w:rsid w:val="0037093C"/>
    <w:rsid w:val="00384AE3"/>
    <w:rsid w:val="003D03F4"/>
    <w:rsid w:val="003D415B"/>
    <w:rsid w:val="003E07D3"/>
    <w:rsid w:val="003E7B6E"/>
    <w:rsid w:val="003F0630"/>
    <w:rsid w:val="003F0F0B"/>
    <w:rsid w:val="0042720A"/>
    <w:rsid w:val="00437AFA"/>
    <w:rsid w:val="00444638"/>
    <w:rsid w:val="00446AE2"/>
    <w:rsid w:val="004521A3"/>
    <w:rsid w:val="0047370D"/>
    <w:rsid w:val="0049052A"/>
    <w:rsid w:val="00496D55"/>
    <w:rsid w:val="004A347E"/>
    <w:rsid w:val="004A681A"/>
    <w:rsid w:val="004B027F"/>
    <w:rsid w:val="004B6473"/>
    <w:rsid w:val="004C35B9"/>
    <w:rsid w:val="004D67B3"/>
    <w:rsid w:val="004D76FF"/>
    <w:rsid w:val="004F4C90"/>
    <w:rsid w:val="005065C7"/>
    <w:rsid w:val="00516E54"/>
    <w:rsid w:val="005253B4"/>
    <w:rsid w:val="00535912"/>
    <w:rsid w:val="00562F98"/>
    <w:rsid w:val="0057118F"/>
    <w:rsid w:val="0059435C"/>
    <w:rsid w:val="00595A74"/>
    <w:rsid w:val="005A082F"/>
    <w:rsid w:val="005A4D3F"/>
    <w:rsid w:val="005A5742"/>
    <w:rsid w:val="005B0005"/>
    <w:rsid w:val="005B101D"/>
    <w:rsid w:val="005B1D3D"/>
    <w:rsid w:val="005B32C2"/>
    <w:rsid w:val="005B73F4"/>
    <w:rsid w:val="005E2DEB"/>
    <w:rsid w:val="005F039A"/>
    <w:rsid w:val="005F0795"/>
    <w:rsid w:val="005F28CF"/>
    <w:rsid w:val="00602A33"/>
    <w:rsid w:val="0060723B"/>
    <w:rsid w:val="0061452D"/>
    <w:rsid w:val="00624FC8"/>
    <w:rsid w:val="00633393"/>
    <w:rsid w:val="00640939"/>
    <w:rsid w:val="00644A24"/>
    <w:rsid w:val="006502F7"/>
    <w:rsid w:val="00657239"/>
    <w:rsid w:val="00660B17"/>
    <w:rsid w:val="00667E2A"/>
    <w:rsid w:val="006A295C"/>
    <w:rsid w:val="006B689E"/>
    <w:rsid w:val="006C0F9B"/>
    <w:rsid w:val="006C3B4D"/>
    <w:rsid w:val="006D04E5"/>
    <w:rsid w:val="006D20C4"/>
    <w:rsid w:val="006D2CDB"/>
    <w:rsid w:val="006D452E"/>
    <w:rsid w:val="006D5C79"/>
    <w:rsid w:val="006E2B14"/>
    <w:rsid w:val="006E5F67"/>
    <w:rsid w:val="006F44D3"/>
    <w:rsid w:val="007033BA"/>
    <w:rsid w:val="00706A6C"/>
    <w:rsid w:val="00706D6A"/>
    <w:rsid w:val="00711203"/>
    <w:rsid w:val="00712DF8"/>
    <w:rsid w:val="0072050C"/>
    <w:rsid w:val="0072526D"/>
    <w:rsid w:val="00743337"/>
    <w:rsid w:val="00755532"/>
    <w:rsid w:val="00760CF2"/>
    <w:rsid w:val="00764B7F"/>
    <w:rsid w:val="0077287B"/>
    <w:rsid w:val="00781071"/>
    <w:rsid w:val="00781C98"/>
    <w:rsid w:val="00785DC3"/>
    <w:rsid w:val="007A6BED"/>
    <w:rsid w:val="007B1682"/>
    <w:rsid w:val="007B1F3B"/>
    <w:rsid w:val="007C0A72"/>
    <w:rsid w:val="007C7457"/>
    <w:rsid w:val="007C76F8"/>
    <w:rsid w:val="007D3E63"/>
    <w:rsid w:val="007E2A29"/>
    <w:rsid w:val="007E5830"/>
    <w:rsid w:val="007F1F38"/>
    <w:rsid w:val="00800D2E"/>
    <w:rsid w:val="00811850"/>
    <w:rsid w:val="00834DEA"/>
    <w:rsid w:val="00835163"/>
    <w:rsid w:val="008355FD"/>
    <w:rsid w:val="008501BB"/>
    <w:rsid w:val="008519C3"/>
    <w:rsid w:val="0085670B"/>
    <w:rsid w:val="0087480B"/>
    <w:rsid w:val="00896F09"/>
    <w:rsid w:val="008B5944"/>
    <w:rsid w:val="008D060F"/>
    <w:rsid w:val="008D11BD"/>
    <w:rsid w:val="008D5725"/>
    <w:rsid w:val="008E1BC4"/>
    <w:rsid w:val="008F0603"/>
    <w:rsid w:val="008F0D6B"/>
    <w:rsid w:val="008F691E"/>
    <w:rsid w:val="00904653"/>
    <w:rsid w:val="009048BD"/>
    <w:rsid w:val="00922102"/>
    <w:rsid w:val="00922287"/>
    <w:rsid w:val="00927E69"/>
    <w:rsid w:val="00933131"/>
    <w:rsid w:val="009331E4"/>
    <w:rsid w:val="00941D37"/>
    <w:rsid w:val="00947F53"/>
    <w:rsid w:val="009534E1"/>
    <w:rsid w:val="009541CB"/>
    <w:rsid w:val="009639E1"/>
    <w:rsid w:val="00965026"/>
    <w:rsid w:val="00973F68"/>
    <w:rsid w:val="0098083E"/>
    <w:rsid w:val="0099453C"/>
    <w:rsid w:val="00995EB9"/>
    <w:rsid w:val="00997317"/>
    <w:rsid w:val="009A0B21"/>
    <w:rsid w:val="009A19E2"/>
    <w:rsid w:val="009A22E5"/>
    <w:rsid w:val="009B037F"/>
    <w:rsid w:val="009B3ACC"/>
    <w:rsid w:val="009C015D"/>
    <w:rsid w:val="009C6823"/>
    <w:rsid w:val="009E43C6"/>
    <w:rsid w:val="00A002C3"/>
    <w:rsid w:val="00A0168B"/>
    <w:rsid w:val="00A050E1"/>
    <w:rsid w:val="00A07AE4"/>
    <w:rsid w:val="00A108DB"/>
    <w:rsid w:val="00A220EB"/>
    <w:rsid w:val="00A26370"/>
    <w:rsid w:val="00A347CD"/>
    <w:rsid w:val="00A40903"/>
    <w:rsid w:val="00A56886"/>
    <w:rsid w:val="00A61DC8"/>
    <w:rsid w:val="00A623A8"/>
    <w:rsid w:val="00A91212"/>
    <w:rsid w:val="00A92FFC"/>
    <w:rsid w:val="00A9571F"/>
    <w:rsid w:val="00AB1700"/>
    <w:rsid w:val="00AB5480"/>
    <w:rsid w:val="00AC0BFD"/>
    <w:rsid w:val="00AC3812"/>
    <w:rsid w:val="00AC55C8"/>
    <w:rsid w:val="00AD1DE3"/>
    <w:rsid w:val="00AD32DA"/>
    <w:rsid w:val="00AD50A6"/>
    <w:rsid w:val="00AD654F"/>
    <w:rsid w:val="00AE227C"/>
    <w:rsid w:val="00AF17D7"/>
    <w:rsid w:val="00AF78AF"/>
    <w:rsid w:val="00B02AAD"/>
    <w:rsid w:val="00B0422D"/>
    <w:rsid w:val="00B04E06"/>
    <w:rsid w:val="00B20F1C"/>
    <w:rsid w:val="00B5180B"/>
    <w:rsid w:val="00B5447A"/>
    <w:rsid w:val="00B54D68"/>
    <w:rsid w:val="00B568B2"/>
    <w:rsid w:val="00B5748D"/>
    <w:rsid w:val="00B64D63"/>
    <w:rsid w:val="00B64E68"/>
    <w:rsid w:val="00B67265"/>
    <w:rsid w:val="00B82CAD"/>
    <w:rsid w:val="00B8651B"/>
    <w:rsid w:val="00B87A8B"/>
    <w:rsid w:val="00B91F86"/>
    <w:rsid w:val="00B9527E"/>
    <w:rsid w:val="00BA18B1"/>
    <w:rsid w:val="00BB4304"/>
    <w:rsid w:val="00BB5B8F"/>
    <w:rsid w:val="00BC0E18"/>
    <w:rsid w:val="00BC64E9"/>
    <w:rsid w:val="00BD2F6D"/>
    <w:rsid w:val="00BD593C"/>
    <w:rsid w:val="00BE76D6"/>
    <w:rsid w:val="00BF7A55"/>
    <w:rsid w:val="00C10073"/>
    <w:rsid w:val="00C16C14"/>
    <w:rsid w:val="00C20419"/>
    <w:rsid w:val="00C216F6"/>
    <w:rsid w:val="00C372E0"/>
    <w:rsid w:val="00C42C4D"/>
    <w:rsid w:val="00C46A5A"/>
    <w:rsid w:val="00C52C1C"/>
    <w:rsid w:val="00C54A44"/>
    <w:rsid w:val="00C67AD8"/>
    <w:rsid w:val="00C730B9"/>
    <w:rsid w:val="00C77681"/>
    <w:rsid w:val="00C90368"/>
    <w:rsid w:val="00C961FE"/>
    <w:rsid w:val="00C9711E"/>
    <w:rsid w:val="00CA1053"/>
    <w:rsid w:val="00CA25AF"/>
    <w:rsid w:val="00CB0302"/>
    <w:rsid w:val="00CB7478"/>
    <w:rsid w:val="00CD6DD3"/>
    <w:rsid w:val="00CF4592"/>
    <w:rsid w:val="00CF589D"/>
    <w:rsid w:val="00CF7EEA"/>
    <w:rsid w:val="00D01AD3"/>
    <w:rsid w:val="00D0785A"/>
    <w:rsid w:val="00D12475"/>
    <w:rsid w:val="00D16712"/>
    <w:rsid w:val="00D20EEB"/>
    <w:rsid w:val="00D21944"/>
    <w:rsid w:val="00D314D4"/>
    <w:rsid w:val="00D33C9F"/>
    <w:rsid w:val="00D63E1B"/>
    <w:rsid w:val="00D73819"/>
    <w:rsid w:val="00D77AD9"/>
    <w:rsid w:val="00DA650A"/>
    <w:rsid w:val="00DB2AED"/>
    <w:rsid w:val="00DB3A49"/>
    <w:rsid w:val="00DB4540"/>
    <w:rsid w:val="00DC0008"/>
    <w:rsid w:val="00DC067D"/>
    <w:rsid w:val="00DC1138"/>
    <w:rsid w:val="00DE67E8"/>
    <w:rsid w:val="00DF222E"/>
    <w:rsid w:val="00DF6F35"/>
    <w:rsid w:val="00E02480"/>
    <w:rsid w:val="00E034F5"/>
    <w:rsid w:val="00E06BE2"/>
    <w:rsid w:val="00E2423E"/>
    <w:rsid w:val="00E24B7C"/>
    <w:rsid w:val="00E323E3"/>
    <w:rsid w:val="00E3602E"/>
    <w:rsid w:val="00E366B8"/>
    <w:rsid w:val="00E37A17"/>
    <w:rsid w:val="00E56989"/>
    <w:rsid w:val="00E57CFD"/>
    <w:rsid w:val="00E63E53"/>
    <w:rsid w:val="00E64100"/>
    <w:rsid w:val="00E74767"/>
    <w:rsid w:val="00E825B6"/>
    <w:rsid w:val="00E906C6"/>
    <w:rsid w:val="00E92E21"/>
    <w:rsid w:val="00EA41C5"/>
    <w:rsid w:val="00EA5693"/>
    <w:rsid w:val="00EB28D9"/>
    <w:rsid w:val="00EB3188"/>
    <w:rsid w:val="00EB76A8"/>
    <w:rsid w:val="00EC63E4"/>
    <w:rsid w:val="00EC6CB4"/>
    <w:rsid w:val="00ED2E90"/>
    <w:rsid w:val="00ED5CA2"/>
    <w:rsid w:val="00ED5F3F"/>
    <w:rsid w:val="00EE03C2"/>
    <w:rsid w:val="00EE674C"/>
    <w:rsid w:val="00EF0BAB"/>
    <w:rsid w:val="00F01665"/>
    <w:rsid w:val="00F07117"/>
    <w:rsid w:val="00F10B54"/>
    <w:rsid w:val="00F11AC2"/>
    <w:rsid w:val="00F14670"/>
    <w:rsid w:val="00F2071D"/>
    <w:rsid w:val="00F3731F"/>
    <w:rsid w:val="00F54F6C"/>
    <w:rsid w:val="00F55035"/>
    <w:rsid w:val="00F5575F"/>
    <w:rsid w:val="00F74D21"/>
    <w:rsid w:val="00F82B51"/>
    <w:rsid w:val="00F85632"/>
    <w:rsid w:val="00FA49EE"/>
    <w:rsid w:val="00FA7C06"/>
    <w:rsid w:val="00FB4B25"/>
    <w:rsid w:val="00FB7AE6"/>
    <w:rsid w:val="00FD3AE3"/>
    <w:rsid w:val="00FD48AF"/>
    <w:rsid w:val="00FD574C"/>
    <w:rsid w:val="00FD5A09"/>
    <w:rsid w:val="00FD5D59"/>
    <w:rsid w:val="00FD778D"/>
    <w:rsid w:val="00FD7C6A"/>
    <w:rsid w:val="00FE1271"/>
    <w:rsid w:val="00FE248D"/>
    <w:rsid w:val="00FE37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69488"/>
  <w15:chartTrackingRefBased/>
  <w15:docId w15:val="{A13EBEAB-CBE4-4B37-95E4-9494B65A8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9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69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9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9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9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9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9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9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9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9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69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9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9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9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9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9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9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91E"/>
    <w:rPr>
      <w:rFonts w:eastAsiaTheme="majorEastAsia" w:cstheme="majorBidi"/>
      <w:color w:val="272727" w:themeColor="text1" w:themeTint="D8"/>
    </w:rPr>
  </w:style>
  <w:style w:type="paragraph" w:styleId="Title">
    <w:name w:val="Title"/>
    <w:basedOn w:val="Normal"/>
    <w:next w:val="Normal"/>
    <w:link w:val="TitleChar"/>
    <w:uiPriority w:val="10"/>
    <w:qFormat/>
    <w:rsid w:val="008F69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9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9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9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91E"/>
    <w:pPr>
      <w:spacing w:before="160"/>
      <w:jc w:val="center"/>
    </w:pPr>
    <w:rPr>
      <w:i/>
      <w:iCs/>
      <w:color w:val="404040" w:themeColor="text1" w:themeTint="BF"/>
    </w:rPr>
  </w:style>
  <w:style w:type="character" w:customStyle="1" w:styleId="QuoteChar">
    <w:name w:val="Quote Char"/>
    <w:basedOn w:val="DefaultParagraphFont"/>
    <w:link w:val="Quote"/>
    <w:uiPriority w:val="29"/>
    <w:rsid w:val="008F691E"/>
    <w:rPr>
      <w:i/>
      <w:iCs/>
      <w:color w:val="404040" w:themeColor="text1" w:themeTint="BF"/>
    </w:rPr>
  </w:style>
  <w:style w:type="paragraph" w:styleId="ListParagraph">
    <w:name w:val="List Paragraph"/>
    <w:basedOn w:val="Normal"/>
    <w:uiPriority w:val="34"/>
    <w:qFormat/>
    <w:rsid w:val="008F691E"/>
    <w:pPr>
      <w:ind w:left="720"/>
      <w:contextualSpacing/>
    </w:pPr>
  </w:style>
  <w:style w:type="character" w:styleId="IntenseEmphasis">
    <w:name w:val="Intense Emphasis"/>
    <w:basedOn w:val="DefaultParagraphFont"/>
    <w:uiPriority w:val="21"/>
    <w:qFormat/>
    <w:rsid w:val="008F691E"/>
    <w:rPr>
      <w:i/>
      <w:iCs/>
      <w:color w:val="0F4761" w:themeColor="accent1" w:themeShade="BF"/>
    </w:rPr>
  </w:style>
  <w:style w:type="paragraph" w:styleId="IntenseQuote">
    <w:name w:val="Intense Quote"/>
    <w:basedOn w:val="Normal"/>
    <w:next w:val="Normal"/>
    <w:link w:val="IntenseQuoteChar"/>
    <w:uiPriority w:val="30"/>
    <w:qFormat/>
    <w:rsid w:val="008F69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91E"/>
    <w:rPr>
      <w:i/>
      <w:iCs/>
      <w:color w:val="0F4761" w:themeColor="accent1" w:themeShade="BF"/>
    </w:rPr>
  </w:style>
  <w:style w:type="character" w:styleId="IntenseReference">
    <w:name w:val="Intense Reference"/>
    <w:basedOn w:val="DefaultParagraphFont"/>
    <w:uiPriority w:val="32"/>
    <w:qFormat/>
    <w:rsid w:val="008F691E"/>
    <w:rPr>
      <w:b/>
      <w:bCs/>
      <w:smallCaps/>
      <w:color w:val="0F4761" w:themeColor="accent1" w:themeShade="BF"/>
      <w:spacing w:val="5"/>
    </w:rPr>
  </w:style>
  <w:style w:type="character" w:styleId="Hyperlink">
    <w:name w:val="Hyperlink"/>
    <w:basedOn w:val="DefaultParagraphFont"/>
    <w:uiPriority w:val="99"/>
    <w:unhideWhenUsed/>
    <w:rsid w:val="00E02480"/>
    <w:rPr>
      <w:color w:val="467886" w:themeColor="hyperlink"/>
      <w:u w:val="single"/>
    </w:rPr>
  </w:style>
  <w:style w:type="character" w:styleId="UnresolvedMention">
    <w:name w:val="Unresolved Mention"/>
    <w:basedOn w:val="DefaultParagraphFont"/>
    <w:uiPriority w:val="99"/>
    <w:semiHidden/>
    <w:unhideWhenUsed/>
    <w:rsid w:val="00E02480"/>
    <w:rPr>
      <w:color w:val="605E5C"/>
      <w:shd w:val="clear" w:color="auto" w:fill="E1DFDD"/>
    </w:rPr>
  </w:style>
  <w:style w:type="paragraph" w:styleId="TOCHeading">
    <w:name w:val="TOC Heading"/>
    <w:basedOn w:val="Heading1"/>
    <w:next w:val="Normal"/>
    <w:uiPriority w:val="39"/>
    <w:unhideWhenUsed/>
    <w:qFormat/>
    <w:rsid w:val="00EE03C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E03C2"/>
    <w:pPr>
      <w:spacing w:after="100"/>
    </w:pPr>
  </w:style>
  <w:style w:type="paragraph" w:styleId="NormalWeb">
    <w:name w:val="Normal (Web)"/>
    <w:basedOn w:val="Normal"/>
    <w:uiPriority w:val="99"/>
    <w:semiHidden/>
    <w:unhideWhenUsed/>
    <w:rsid w:val="00AD654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ED2E90"/>
    <w:rPr>
      <w:i/>
      <w:iCs/>
    </w:rPr>
  </w:style>
  <w:style w:type="paragraph" w:styleId="TOC2">
    <w:name w:val="toc 2"/>
    <w:basedOn w:val="Normal"/>
    <w:next w:val="Normal"/>
    <w:autoRedefine/>
    <w:uiPriority w:val="39"/>
    <w:unhideWhenUsed/>
    <w:rsid w:val="000B72C8"/>
    <w:pPr>
      <w:spacing w:after="100"/>
      <w:ind w:left="240"/>
    </w:pPr>
  </w:style>
  <w:style w:type="paragraph" w:styleId="Header">
    <w:name w:val="header"/>
    <w:basedOn w:val="Normal"/>
    <w:link w:val="HeaderChar"/>
    <w:uiPriority w:val="99"/>
    <w:unhideWhenUsed/>
    <w:rsid w:val="000B7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2C8"/>
  </w:style>
  <w:style w:type="paragraph" w:styleId="Footer">
    <w:name w:val="footer"/>
    <w:basedOn w:val="Normal"/>
    <w:link w:val="FooterChar"/>
    <w:uiPriority w:val="99"/>
    <w:unhideWhenUsed/>
    <w:rsid w:val="000B7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2C8"/>
  </w:style>
  <w:style w:type="table" w:styleId="TableGrid">
    <w:name w:val="Table Grid"/>
    <w:basedOn w:val="TableNormal"/>
    <w:uiPriority w:val="39"/>
    <w:rsid w:val="00D77A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researchgate.net/publication/35913706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jsr.net/archive/v2i7/MDIwMTMxMjg%3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ijsetr.com/uploads/541623IJSETR1231-432.pdf?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2576</TotalTime>
  <Pages>18</Pages>
  <Words>2783</Words>
  <Characters>15865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Efa Jones (2306114)</dc:creator>
  <cp:keywords/>
  <dc:description/>
  <cp:lastModifiedBy>Efa Jones (2306114)</cp:lastModifiedBy>
  <cp:revision>344</cp:revision>
  <dcterms:created xsi:type="dcterms:W3CDTF">2026-03-13T21:47:00Z</dcterms:created>
  <dcterms:modified xsi:type="dcterms:W3CDTF">2026-03-16T14:49:00Z</dcterms:modified>
</cp:coreProperties>
</file>